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9FDB5" w14:textId="77777777" w:rsidR="001E0B20" w:rsidRDefault="001E0B20"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6"/>
          <w:szCs w:val="36"/>
        </w:rPr>
      </w:pPr>
      <w:bookmarkStart w:id="0" w:name="_GoBack"/>
      <w:bookmarkEnd w:id="0"/>
    </w:p>
    <w:p w14:paraId="712DE2F3" w14:textId="48CB17B9" w:rsidR="00534AC6" w:rsidRPr="002E03C0"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6"/>
          <w:szCs w:val="36"/>
        </w:rPr>
      </w:pPr>
      <w:r w:rsidRPr="002E03C0">
        <w:rPr>
          <w:rFonts w:ascii="Times New Roman" w:hAnsi="Times New Roman" w:cs="Times New Roman"/>
          <w:sz w:val="36"/>
          <w:szCs w:val="36"/>
        </w:rPr>
        <w:t xml:space="preserve">KSD WORKING PAPER </w:t>
      </w:r>
      <w:r>
        <w:rPr>
          <w:rFonts w:ascii="Times New Roman" w:hAnsi="Times New Roman" w:cs="Times New Roman"/>
          <w:sz w:val="36"/>
          <w:szCs w:val="36"/>
        </w:rPr>
        <w:t>2</w:t>
      </w:r>
    </w:p>
    <w:p w14:paraId="086874E6" w14:textId="77777777" w:rsidR="00534AC6" w:rsidRDefault="00534AC6" w:rsidP="00534AC6">
      <w:pPr>
        <w:pBdr>
          <w:top w:val="single" w:sz="4" w:space="1" w:color="auto"/>
          <w:left w:val="single" w:sz="4" w:space="4" w:color="auto"/>
          <w:bottom w:val="single" w:sz="4" w:space="1" w:color="auto"/>
          <w:right w:val="single" w:sz="4" w:space="4" w:color="auto"/>
        </w:pBdr>
        <w:ind w:firstLine="720"/>
        <w:jc w:val="center"/>
        <w:rPr>
          <w:rFonts w:ascii="Times New Roman" w:hAnsi="Times New Roman" w:cs="Times New Roman"/>
          <w:sz w:val="40"/>
          <w:szCs w:val="40"/>
        </w:rPr>
      </w:pPr>
    </w:p>
    <w:p w14:paraId="2A594F55" w14:textId="77777777" w:rsidR="00534AC6" w:rsidRDefault="00534AC6" w:rsidP="00534AC6">
      <w:pPr>
        <w:pBdr>
          <w:top w:val="single" w:sz="4" w:space="1" w:color="auto"/>
          <w:left w:val="single" w:sz="4" w:space="4" w:color="auto"/>
          <w:bottom w:val="single" w:sz="4" w:space="1" w:color="auto"/>
          <w:right w:val="single" w:sz="4" w:space="4" w:color="auto"/>
        </w:pBdr>
        <w:ind w:firstLine="720"/>
        <w:jc w:val="center"/>
        <w:rPr>
          <w:rFonts w:ascii="Times New Roman" w:hAnsi="Times New Roman" w:cs="Times New Roman"/>
          <w:sz w:val="40"/>
          <w:szCs w:val="40"/>
        </w:rPr>
      </w:pPr>
    </w:p>
    <w:p w14:paraId="56279D51" w14:textId="77777777" w:rsidR="001E0B20" w:rsidRDefault="001E0B20" w:rsidP="00534AC6">
      <w:pPr>
        <w:pBdr>
          <w:top w:val="single" w:sz="4" w:space="1" w:color="auto"/>
          <w:left w:val="single" w:sz="4" w:space="4" w:color="auto"/>
          <w:bottom w:val="single" w:sz="4" w:space="1" w:color="auto"/>
          <w:right w:val="single" w:sz="4" w:space="4" w:color="auto"/>
        </w:pBdr>
        <w:ind w:firstLine="720"/>
        <w:jc w:val="center"/>
        <w:rPr>
          <w:rFonts w:ascii="Times New Roman" w:hAnsi="Times New Roman" w:cs="Times New Roman"/>
          <w:sz w:val="40"/>
          <w:szCs w:val="40"/>
        </w:rPr>
      </w:pPr>
    </w:p>
    <w:p w14:paraId="3F453710" w14:textId="77777777" w:rsidR="00534AC6" w:rsidRDefault="00534AC6" w:rsidP="00534AC6">
      <w:pPr>
        <w:pBdr>
          <w:top w:val="single" w:sz="4" w:space="1" w:color="auto"/>
          <w:left w:val="single" w:sz="4" w:space="4" w:color="auto"/>
          <w:bottom w:val="single" w:sz="4" w:space="1" w:color="auto"/>
          <w:right w:val="single" w:sz="4" w:space="4" w:color="auto"/>
        </w:pBdr>
        <w:tabs>
          <w:tab w:val="left" w:pos="2460"/>
        </w:tabs>
        <w:ind w:firstLine="720"/>
        <w:rPr>
          <w:rFonts w:ascii="Times New Roman" w:hAnsi="Times New Roman" w:cs="Times New Roman"/>
          <w:b/>
          <w:sz w:val="40"/>
          <w:szCs w:val="40"/>
        </w:rPr>
      </w:pPr>
    </w:p>
    <w:p w14:paraId="5D5E29B7" w14:textId="206F3412" w:rsidR="00534AC6" w:rsidRDefault="001E0B20" w:rsidP="00534AC6">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THE FINANCIAL RETURNS TO ONSHORE AND OFFSHORE OVERSEAS STUDENTS AT BRITISH UNIVERSITIES </w:t>
      </w:r>
    </w:p>
    <w:p w14:paraId="00734792" w14:textId="77777777" w:rsidR="00534AC6" w:rsidRPr="003C3AC2" w:rsidRDefault="00534AC6" w:rsidP="00534AC6">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sz w:val="32"/>
          <w:szCs w:val="32"/>
        </w:rPr>
      </w:pPr>
    </w:p>
    <w:p w14:paraId="618D69B4" w14:textId="77777777" w:rsidR="00534AC6"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14:paraId="091D0B0B" w14:textId="77777777" w:rsidR="00534AC6"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14:paraId="3A3D4C1C" w14:textId="77777777" w:rsidR="00534AC6" w:rsidRPr="003C3AC2"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PAUL BENNELL</w:t>
      </w:r>
    </w:p>
    <w:p w14:paraId="5C9DA0F7" w14:textId="77777777" w:rsidR="00534AC6" w:rsidRPr="003C3AC2"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 xml:space="preserve">KNOWLEDGE AND SKILLS FOR DEVELOPMENT </w:t>
      </w:r>
    </w:p>
    <w:p w14:paraId="263518EC" w14:textId="77777777" w:rsidR="00534AC6" w:rsidRPr="003C3AC2"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sidRPr="003C3AC2">
        <w:rPr>
          <w:rFonts w:ascii="Times New Roman" w:hAnsi="Times New Roman" w:cs="Times New Roman"/>
          <w:sz w:val="32"/>
          <w:szCs w:val="32"/>
        </w:rPr>
        <w:t>BRIGHTON, UK</w:t>
      </w:r>
    </w:p>
    <w:p w14:paraId="5E09CC81" w14:textId="77777777" w:rsidR="00534AC6" w:rsidRPr="002E03C0"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14:paraId="38F76899" w14:textId="77777777" w:rsidR="00534AC6" w:rsidRPr="002E03C0"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14:paraId="06749977" w14:textId="77777777" w:rsidR="00534AC6"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14:paraId="42302294" w14:textId="77777777" w:rsidR="00534AC6"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40"/>
          <w:szCs w:val="40"/>
        </w:rPr>
      </w:pPr>
    </w:p>
    <w:p w14:paraId="4BAB5205" w14:textId="1006F40C" w:rsidR="00534AC6"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r>
        <w:rPr>
          <w:rFonts w:ascii="Times New Roman" w:hAnsi="Times New Roman" w:cs="Times New Roman"/>
          <w:sz w:val="32"/>
          <w:szCs w:val="32"/>
        </w:rPr>
        <w:t>APRIL</w:t>
      </w:r>
      <w:r>
        <w:rPr>
          <w:rFonts w:ascii="Times New Roman" w:hAnsi="Times New Roman" w:cs="Times New Roman"/>
          <w:sz w:val="32"/>
          <w:szCs w:val="32"/>
        </w:rPr>
        <w:t xml:space="preserve"> 2019</w:t>
      </w:r>
    </w:p>
    <w:p w14:paraId="067663E2" w14:textId="77777777" w:rsidR="00534AC6" w:rsidRDefault="00534AC6" w:rsidP="00534AC6">
      <w:pPr>
        <w:pBdr>
          <w:top w:val="single" w:sz="4" w:space="1" w:color="auto"/>
          <w:left w:val="single" w:sz="4" w:space="4" w:color="auto"/>
          <w:bottom w:val="single" w:sz="4" w:space="1" w:color="auto"/>
          <w:right w:val="single" w:sz="4" w:space="4" w:color="auto"/>
        </w:pBdr>
        <w:tabs>
          <w:tab w:val="left" w:pos="2460"/>
        </w:tabs>
        <w:ind w:firstLine="720"/>
        <w:jc w:val="center"/>
        <w:rPr>
          <w:rFonts w:ascii="Times New Roman" w:hAnsi="Times New Roman" w:cs="Times New Roman"/>
          <w:sz w:val="32"/>
          <w:szCs w:val="32"/>
        </w:rPr>
      </w:pPr>
    </w:p>
    <w:p w14:paraId="06E29552" w14:textId="77777777" w:rsidR="00534AC6" w:rsidRDefault="00534AC6" w:rsidP="00534AC6">
      <w:pPr>
        <w:pBdr>
          <w:top w:val="single" w:sz="4" w:space="1" w:color="auto"/>
          <w:left w:val="single" w:sz="4" w:space="4" w:color="auto"/>
          <w:bottom w:val="single" w:sz="4" w:space="1" w:color="auto"/>
          <w:right w:val="single" w:sz="4" w:space="4" w:color="auto"/>
        </w:pBdr>
        <w:rPr>
          <w:rFonts w:ascii="Times New Roman" w:hAnsi="Times New Roman" w:cs="Times New Roman"/>
          <w:b/>
          <w:sz w:val="32"/>
          <w:szCs w:val="32"/>
        </w:rPr>
      </w:pPr>
      <w:r>
        <w:rPr>
          <w:rFonts w:ascii="Times New Roman" w:hAnsi="Times New Roman" w:cs="Times New Roman"/>
          <w:b/>
          <w:sz w:val="32"/>
          <w:szCs w:val="32"/>
        </w:rPr>
        <w:br w:type="page"/>
      </w:r>
    </w:p>
    <w:p w14:paraId="25BFAEC8" w14:textId="77777777" w:rsidR="00D73ED3" w:rsidRDefault="00D73ED3" w:rsidP="00A05B02">
      <w:pPr>
        <w:widowControl w:val="0"/>
        <w:jc w:val="center"/>
        <w:rPr>
          <w:rFonts w:cstheme="minorHAnsi"/>
          <w:sz w:val="36"/>
          <w:szCs w:val="36"/>
        </w:rPr>
      </w:pPr>
    </w:p>
    <w:p w14:paraId="62F2F89F" w14:textId="77777777" w:rsidR="00A05B02" w:rsidRPr="00907CD6" w:rsidRDefault="00A05B02" w:rsidP="00A05B02">
      <w:pPr>
        <w:widowControl w:val="0"/>
        <w:jc w:val="center"/>
        <w:rPr>
          <w:rFonts w:cstheme="minorHAnsi"/>
          <w:sz w:val="36"/>
          <w:szCs w:val="36"/>
        </w:rPr>
      </w:pPr>
    </w:p>
    <w:p w14:paraId="1E38CC0C" w14:textId="77777777" w:rsidR="00A05B02" w:rsidRPr="00A12CB2" w:rsidRDefault="00A05B02" w:rsidP="00A05B02">
      <w:pPr>
        <w:widowControl w:val="0"/>
        <w:jc w:val="center"/>
        <w:rPr>
          <w:rFonts w:cstheme="minorHAnsi"/>
          <w:b/>
          <w:sz w:val="28"/>
          <w:szCs w:val="28"/>
        </w:rPr>
      </w:pPr>
      <w:r w:rsidRPr="00A12CB2">
        <w:rPr>
          <w:rFonts w:cstheme="minorHAnsi"/>
          <w:b/>
          <w:sz w:val="28"/>
          <w:szCs w:val="28"/>
        </w:rPr>
        <w:t>ABSTRACT</w:t>
      </w:r>
    </w:p>
    <w:p w14:paraId="03F8AB80" w14:textId="2EF6E343" w:rsidR="00A05B02" w:rsidRDefault="00A05B02" w:rsidP="00A05B02">
      <w:pPr>
        <w:widowControl w:val="0"/>
        <w:jc w:val="both"/>
        <w:rPr>
          <w:rFonts w:cstheme="minorHAnsi"/>
          <w:sz w:val="28"/>
          <w:szCs w:val="28"/>
        </w:rPr>
      </w:pPr>
      <w:r w:rsidRPr="00F83903">
        <w:rPr>
          <w:rFonts w:cstheme="minorHAnsi"/>
          <w:sz w:val="28"/>
          <w:szCs w:val="28"/>
        </w:rPr>
        <w:t xml:space="preserve">This paper </w:t>
      </w:r>
      <w:r>
        <w:rPr>
          <w:rFonts w:cstheme="minorHAnsi"/>
          <w:sz w:val="28"/>
          <w:szCs w:val="28"/>
        </w:rPr>
        <w:t>presents the key findings of a major survey of the financial returns to onshore and offshore overseas student provision a</w:t>
      </w:r>
      <w:r w:rsidR="00931AD0">
        <w:rPr>
          <w:rFonts w:cstheme="minorHAnsi"/>
          <w:sz w:val="28"/>
          <w:szCs w:val="28"/>
        </w:rPr>
        <w:t xml:space="preserve">t British universities. The two </w:t>
      </w:r>
      <w:r>
        <w:rPr>
          <w:rFonts w:cstheme="minorHAnsi"/>
          <w:sz w:val="28"/>
          <w:szCs w:val="28"/>
        </w:rPr>
        <w:t xml:space="preserve">main conclusions of this survey are (i) </w:t>
      </w:r>
      <w:r w:rsidRPr="00F83903">
        <w:rPr>
          <w:rFonts w:cstheme="minorHAnsi"/>
          <w:sz w:val="28"/>
          <w:szCs w:val="28"/>
        </w:rPr>
        <w:t xml:space="preserve">the need to maximise the recruitment of high-value onshore overseas students is the main financial driving force for the internationalisation of education in the UK. The income generated from onshore overseas students is now critical for the institutional survival of a sizeable minority of UK </w:t>
      </w:r>
      <w:r>
        <w:rPr>
          <w:rFonts w:cstheme="minorHAnsi"/>
          <w:sz w:val="28"/>
          <w:szCs w:val="28"/>
        </w:rPr>
        <w:t xml:space="preserve">universities; and (ii) the financial returns to offshore provision are generally quite low and, in overall terms, account for less than 4% of total tuition income. In the face of these low returns coupled with other non-financial factors, UK universities are increasingly rationalising/consolidating their offshore provision. </w:t>
      </w:r>
    </w:p>
    <w:p w14:paraId="75D7F762" w14:textId="77777777" w:rsidR="00A05B02" w:rsidRDefault="00A05B02" w:rsidP="00A05B02">
      <w:pPr>
        <w:widowControl w:val="0"/>
        <w:jc w:val="both"/>
        <w:rPr>
          <w:rFonts w:cstheme="minorHAnsi"/>
          <w:sz w:val="28"/>
          <w:szCs w:val="28"/>
        </w:rPr>
      </w:pPr>
    </w:p>
    <w:p w14:paraId="3079870A" w14:textId="41333928" w:rsidR="000F1E77" w:rsidRDefault="000F1E77" w:rsidP="00A05B02">
      <w:pPr>
        <w:widowControl w:val="0"/>
        <w:jc w:val="both"/>
        <w:rPr>
          <w:rFonts w:cstheme="minorHAnsi"/>
          <w:sz w:val="28"/>
          <w:szCs w:val="28"/>
        </w:rPr>
      </w:pPr>
    </w:p>
    <w:p w14:paraId="5675B538" w14:textId="5079417A" w:rsidR="00931AD0" w:rsidRDefault="00931AD0">
      <w:pPr>
        <w:spacing w:after="160" w:line="259" w:lineRule="auto"/>
        <w:rPr>
          <w:rFonts w:ascii="Arial" w:hAnsi="Arial" w:cs="Arial"/>
          <w:b/>
          <w:sz w:val="24"/>
          <w:szCs w:val="24"/>
          <w:highlight w:val="lightGray"/>
        </w:rPr>
      </w:pPr>
      <w:r>
        <w:rPr>
          <w:rFonts w:ascii="Arial" w:hAnsi="Arial" w:cs="Arial"/>
          <w:b/>
          <w:sz w:val="24"/>
          <w:szCs w:val="24"/>
          <w:highlight w:val="lightGray"/>
        </w:rPr>
        <w:br w:type="page"/>
      </w:r>
    </w:p>
    <w:p w14:paraId="44D1F862" w14:textId="77777777" w:rsidR="001E0B20" w:rsidRPr="00907CD6" w:rsidRDefault="001E0B20" w:rsidP="001E0B20">
      <w:pPr>
        <w:widowControl w:val="0"/>
        <w:jc w:val="center"/>
        <w:rPr>
          <w:rFonts w:cstheme="minorHAnsi"/>
          <w:sz w:val="36"/>
          <w:szCs w:val="36"/>
        </w:rPr>
      </w:pPr>
      <w:r w:rsidRPr="00907CD6">
        <w:rPr>
          <w:rFonts w:cstheme="minorHAnsi"/>
          <w:sz w:val="36"/>
          <w:szCs w:val="36"/>
        </w:rPr>
        <w:lastRenderedPageBreak/>
        <w:t>THE FINANCIAL RETURNS TO ONSHORE AND OFFSHORE OVERSEAS STUDENTS AT BRITISH UNIVERSITIES</w:t>
      </w:r>
    </w:p>
    <w:p w14:paraId="56D1D1BE" w14:textId="77777777" w:rsidR="00A05B02" w:rsidRDefault="00A05B02" w:rsidP="00A05B02">
      <w:pPr>
        <w:widowControl w:val="0"/>
        <w:rPr>
          <w:rFonts w:ascii="Arial" w:hAnsi="Arial" w:cs="Arial"/>
          <w:b/>
          <w:sz w:val="24"/>
          <w:szCs w:val="24"/>
          <w:highlight w:val="lightGray"/>
        </w:rPr>
      </w:pPr>
    </w:p>
    <w:p w14:paraId="7CB60AB8" w14:textId="77777777" w:rsidR="00A05B02" w:rsidRPr="0062190A" w:rsidRDefault="00A05B02" w:rsidP="00A05B02">
      <w:pPr>
        <w:pStyle w:val="ListParagraph"/>
        <w:widowControl w:val="0"/>
        <w:numPr>
          <w:ilvl w:val="0"/>
          <w:numId w:val="9"/>
        </w:numPr>
        <w:rPr>
          <w:rFonts w:cstheme="minorHAnsi"/>
          <w:b/>
          <w:sz w:val="32"/>
          <w:szCs w:val="32"/>
        </w:rPr>
      </w:pPr>
      <w:r w:rsidRPr="0062190A">
        <w:rPr>
          <w:rFonts w:cstheme="minorHAnsi"/>
          <w:b/>
          <w:sz w:val="32"/>
          <w:szCs w:val="32"/>
        </w:rPr>
        <w:t>INTRODUCTION</w:t>
      </w:r>
    </w:p>
    <w:p w14:paraId="6EC62BD4" w14:textId="77777777" w:rsidR="00A05B02" w:rsidRPr="00F83903" w:rsidRDefault="00A05B02" w:rsidP="00A05B02">
      <w:pPr>
        <w:widowControl w:val="0"/>
        <w:jc w:val="both"/>
        <w:rPr>
          <w:rFonts w:cstheme="minorHAnsi"/>
          <w:sz w:val="28"/>
          <w:szCs w:val="28"/>
        </w:rPr>
      </w:pPr>
      <w:r w:rsidRPr="00F83903">
        <w:rPr>
          <w:rFonts w:cstheme="minorHAnsi"/>
          <w:sz w:val="28"/>
          <w:szCs w:val="28"/>
        </w:rPr>
        <w:t xml:space="preserve">The internationalisation of </w:t>
      </w:r>
      <w:r>
        <w:rPr>
          <w:rFonts w:cstheme="minorHAnsi"/>
          <w:sz w:val="28"/>
          <w:szCs w:val="28"/>
        </w:rPr>
        <w:t xml:space="preserve">UK </w:t>
      </w:r>
      <w:r w:rsidRPr="00F83903">
        <w:rPr>
          <w:rFonts w:cstheme="minorHAnsi"/>
          <w:sz w:val="28"/>
          <w:szCs w:val="28"/>
        </w:rPr>
        <w:t xml:space="preserve">higher education provision comprises two components, namely onshore overseas students who are directly enrolled on degree and other courses at British universities and, secondly, offshore overseas students who study entirely for UK university qualifications without ever setting foot in the UK.  </w:t>
      </w:r>
    </w:p>
    <w:p w14:paraId="438C4EF0" w14:textId="1EAD1216" w:rsidR="00A05B02" w:rsidRDefault="00A05B02" w:rsidP="00A05B02">
      <w:pPr>
        <w:widowControl w:val="0"/>
        <w:jc w:val="both"/>
        <w:rPr>
          <w:rFonts w:cstheme="minorHAnsi"/>
          <w:sz w:val="28"/>
          <w:szCs w:val="28"/>
        </w:rPr>
      </w:pPr>
      <w:r w:rsidRPr="00F83903">
        <w:rPr>
          <w:rFonts w:cstheme="minorHAnsi"/>
          <w:sz w:val="28"/>
          <w:szCs w:val="28"/>
        </w:rPr>
        <w:t xml:space="preserve">A recent academic literature review of education internationalisation identified nearly 2,000 publications on this topic but not one focuses on the financial aspects of either onshore or offshore provision (Komutsky </w:t>
      </w:r>
      <w:r w:rsidR="002D33CA">
        <w:rPr>
          <w:rFonts w:cstheme="minorHAnsi"/>
          <w:sz w:val="28"/>
          <w:szCs w:val="28"/>
        </w:rPr>
        <w:t xml:space="preserve">and Putty, 2015). This is very </w:t>
      </w:r>
      <w:r w:rsidRPr="00F83903">
        <w:rPr>
          <w:rFonts w:cstheme="minorHAnsi"/>
          <w:sz w:val="28"/>
          <w:szCs w:val="28"/>
        </w:rPr>
        <w:t xml:space="preserve">surprising given that it is generally accepted that one of the main motives for education internationalisation is income generation. In their widely cited 2007 article, Altbach and Knight state that ‘it is impossible to quantify the financial scope of academic internationalisation. But, the sums are large…’ (pp. 293). </w:t>
      </w:r>
    </w:p>
    <w:p w14:paraId="78BD2ED1" w14:textId="77777777" w:rsidR="00A05B02" w:rsidRDefault="00A05B02" w:rsidP="00A05B02">
      <w:pPr>
        <w:widowControl w:val="0"/>
        <w:jc w:val="both"/>
        <w:rPr>
          <w:rFonts w:cstheme="minorHAnsi"/>
          <w:sz w:val="28"/>
          <w:szCs w:val="28"/>
        </w:rPr>
      </w:pPr>
      <w:r>
        <w:rPr>
          <w:rFonts w:cstheme="minorHAnsi"/>
          <w:sz w:val="28"/>
          <w:szCs w:val="28"/>
        </w:rPr>
        <w:t>This paper presents the key findings of a major survey of the financial returns to onshore and offshore education provision for overseas students studying for degrees at UK universities in 2015/16. It focuses in particular on the financial returns from the three main types of offshore provision, namely validated and franchised courses at overseas collaborative partners, overseas distance learning courses, and overseas branch campuses. Revenue data for onshore overseas students at each UK university are collected annually by the Higher Education Statistics Agency (HESA).</w:t>
      </w:r>
    </w:p>
    <w:p w14:paraId="70D443B6" w14:textId="17BE4F17" w:rsidR="00442391" w:rsidRDefault="00442391" w:rsidP="00A05B02">
      <w:pPr>
        <w:widowControl w:val="0"/>
        <w:jc w:val="both"/>
        <w:rPr>
          <w:rFonts w:cstheme="minorHAnsi"/>
          <w:sz w:val="28"/>
          <w:szCs w:val="28"/>
        </w:rPr>
      </w:pPr>
      <w:r>
        <w:rPr>
          <w:rFonts w:cstheme="minorHAnsi"/>
          <w:sz w:val="28"/>
          <w:szCs w:val="28"/>
        </w:rPr>
        <w:t>The discussion is organised as follows: Section 2 describes the survey methodology and other data sources. Section 3 provides some basic contextual information on the numbers of UK and overseas students in the UK.</w:t>
      </w:r>
      <w:r w:rsidR="00C46CC1">
        <w:rPr>
          <w:rFonts w:cstheme="minorHAnsi"/>
          <w:sz w:val="28"/>
          <w:szCs w:val="28"/>
        </w:rPr>
        <w:t xml:space="preserve"> Sections 4 and 5 then present the main findings of the financial returns survey with respect to onshore and offshore overseas students respectively. Finally, section 6 draws together the main conclusions arising from the survey.</w:t>
      </w:r>
    </w:p>
    <w:p w14:paraId="3880EFAD" w14:textId="77777777" w:rsidR="00442391" w:rsidRDefault="00442391" w:rsidP="00A05B02">
      <w:pPr>
        <w:widowControl w:val="0"/>
        <w:jc w:val="both"/>
        <w:rPr>
          <w:rFonts w:cstheme="minorHAnsi"/>
          <w:sz w:val="28"/>
          <w:szCs w:val="28"/>
        </w:rPr>
      </w:pPr>
    </w:p>
    <w:p w14:paraId="1904DE77" w14:textId="77777777" w:rsidR="00442391" w:rsidRDefault="00442391" w:rsidP="00A05B02">
      <w:pPr>
        <w:widowControl w:val="0"/>
        <w:jc w:val="both"/>
        <w:rPr>
          <w:rFonts w:cstheme="minorHAnsi"/>
          <w:sz w:val="28"/>
          <w:szCs w:val="28"/>
        </w:rPr>
      </w:pPr>
    </w:p>
    <w:p w14:paraId="0CB9FBC5" w14:textId="77777777" w:rsidR="00A05B02" w:rsidRPr="00FA0429" w:rsidRDefault="00A05B02" w:rsidP="00A05B02">
      <w:pPr>
        <w:pStyle w:val="ListParagraph"/>
        <w:widowControl w:val="0"/>
        <w:numPr>
          <w:ilvl w:val="0"/>
          <w:numId w:val="9"/>
        </w:numPr>
        <w:jc w:val="both"/>
        <w:rPr>
          <w:rFonts w:cstheme="minorHAnsi"/>
          <w:b/>
          <w:sz w:val="28"/>
          <w:szCs w:val="28"/>
        </w:rPr>
      </w:pPr>
      <w:r w:rsidRPr="00FA0429">
        <w:rPr>
          <w:rFonts w:cstheme="minorHAnsi"/>
          <w:b/>
          <w:sz w:val="28"/>
          <w:szCs w:val="28"/>
        </w:rPr>
        <w:t>SURVEY METHODOLOGY</w:t>
      </w:r>
    </w:p>
    <w:p w14:paraId="55E814E2" w14:textId="242631FF" w:rsidR="00FE43BC" w:rsidRPr="00FE43BC" w:rsidRDefault="00FE43BC" w:rsidP="00A05B02">
      <w:pPr>
        <w:widowControl w:val="0"/>
        <w:jc w:val="both"/>
        <w:rPr>
          <w:rFonts w:cstheme="minorHAnsi"/>
          <w:b/>
          <w:sz w:val="28"/>
          <w:szCs w:val="28"/>
        </w:rPr>
      </w:pPr>
      <w:r w:rsidRPr="00FE43BC">
        <w:rPr>
          <w:rFonts w:cstheme="minorHAnsi"/>
          <w:b/>
          <w:sz w:val="28"/>
          <w:szCs w:val="28"/>
        </w:rPr>
        <w:t xml:space="preserve">2.1 Survey coverage and response rates </w:t>
      </w:r>
    </w:p>
    <w:p w14:paraId="55FC6126" w14:textId="43761591" w:rsidR="00A05B02" w:rsidRDefault="00A05B02" w:rsidP="00A05B02">
      <w:pPr>
        <w:widowControl w:val="0"/>
        <w:jc w:val="both"/>
        <w:rPr>
          <w:rFonts w:cstheme="minorHAnsi"/>
          <w:sz w:val="28"/>
          <w:szCs w:val="28"/>
        </w:rPr>
      </w:pPr>
      <w:r w:rsidRPr="00381E0A">
        <w:rPr>
          <w:rFonts w:cstheme="minorHAnsi"/>
          <w:sz w:val="28"/>
          <w:szCs w:val="28"/>
        </w:rPr>
        <w:t xml:space="preserve">A total of 130 universities </w:t>
      </w:r>
      <w:r>
        <w:rPr>
          <w:rFonts w:cstheme="minorHAnsi"/>
          <w:sz w:val="28"/>
          <w:szCs w:val="28"/>
        </w:rPr>
        <w:t xml:space="preserve">in the United Kingdom (England, Northern Ireland, Scotland and Wales) </w:t>
      </w:r>
      <w:r w:rsidRPr="00381E0A">
        <w:rPr>
          <w:rFonts w:cstheme="minorHAnsi"/>
          <w:sz w:val="28"/>
          <w:szCs w:val="28"/>
        </w:rPr>
        <w:t>were requested to provide basic information on the revenue</w:t>
      </w:r>
      <w:r>
        <w:rPr>
          <w:rFonts w:cstheme="minorHAnsi"/>
          <w:sz w:val="28"/>
          <w:szCs w:val="28"/>
        </w:rPr>
        <w:t>s</w:t>
      </w:r>
      <w:r w:rsidRPr="00381E0A">
        <w:rPr>
          <w:rFonts w:cstheme="minorHAnsi"/>
          <w:sz w:val="28"/>
          <w:szCs w:val="28"/>
        </w:rPr>
        <w:t xml:space="preserve"> and expenditure</w:t>
      </w:r>
      <w:r>
        <w:rPr>
          <w:rFonts w:cstheme="minorHAnsi"/>
          <w:sz w:val="28"/>
          <w:szCs w:val="28"/>
        </w:rPr>
        <w:t>s</w:t>
      </w:r>
      <w:r w:rsidRPr="00381E0A">
        <w:rPr>
          <w:rFonts w:cstheme="minorHAnsi"/>
          <w:sz w:val="28"/>
          <w:szCs w:val="28"/>
        </w:rPr>
        <w:t xml:space="preserve"> </w:t>
      </w:r>
      <w:r>
        <w:rPr>
          <w:rFonts w:cstheme="minorHAnsi"/>
          <w:sz w:val="28"/>
          <w:szCs w:val="28"/>
        </w:rPr>
        <w:t xml:space="preserve">with respect to </w:t>
      </w:r>
      <w:r w:rsidRPr="00381E0A">
        <w:rPr>
          <w:rFonts w:cstheme="minorHAnsi"/>
          <w:sz w:val="28"/>
          <w:szCs w:val="28"/>
        </w:rPr>
        <w:t>three main types of offshore provision. Initially, universities were requested to provide this information voluntarily. However,</w:t>
      </w:r>
      <w:r>
        <w:rPr>
          <w:rFonts w:cstheme="minorHAnsi"/>
          <w:b/>
          <w:sz w:val="28"/>
          <w:szCs w:val="28"/>
        </w:rPr>
        <w:t xml:space="preserve"> </w:t>
      </w:r>
      <w:r w:rsidRPr="00907CD6">
        <w:rPr>
          <w:rFonts w:cstheme="minorHAnsi"/>
          <w:sz w:val="28"/>
          <w:szCs w:val="28"/>
        </w:rPr>
        <w:t>vir</w:t>
      </w:r>
      <w:r>
        <w:rPr>
          <w:rFonts w:cstheme="minorHAnsi"/>
          <w:sz w:val="28"/>
          <w:szCs w:val="28"/>
        </w:rPr>
        <w:t>tually all</w:t>
      </w:r>
      <w:r w:rsidRPr="00F83903">
        <w:rPr>
          <w:rFonts w:cstheme="minorHAnsi"/>
          <w:sz w:val="28"/>
          <w:szCs w:val="28"/>
        </w:rPr>
        <w:t xml:space="preserve"> </w:t>
      </w:r>
      <w:r>
        <w:rPr>
          <w:rFonts w:cstheme="minorHAnsi"/>
          <w:sz w:val="28"/>
          <w:szCs w:val="28"/>
        </w:rPr>
        <w:t xml:space="preserve">requests for </w:t>
      </w:r>
      <w:r w:rsidRPr="00F83903">
        <w:rPr>
          <w:rFonts w:cstheme="minorHAnsi"/>
          <w:sz w:val="28"/>
          <w:szCs w:val="28"/>
        </w:rPr>
        <w:t>information are now formally dealt</w:t>
      </w:r>
      <w:r>
        <w:rPr>
          <w:rFonts w:cstheme="minorHAnsi"/>
          <w:sz w:val="28"/>
          <w:szCs w:val="28"/>
        </w:rPr>
        <w:t xml:space="preserve"> by UK universities</w:t>
      </w:r>
      <w:r w:rsidRPr="00F83903">
        <w:rPr>
          <w:rFonts w:cstheme="minorHAnsi"/>
          <w:sz w:val="28"/>
          <w:szCs w:val="28"/>
        </w:rPr>
        <w:t xml:space="preserve"> under the Freedom of Information Acts (FOIA) for England, Wales and Northern Ireland and Scotland. </w:t>
      </w:r>
    </w:p>
    <w:p w14:paraId="4E27CB91" w14:textId="77777777" w:rsidR="00A05B02" w:rsidRDefault="00A05B02" w:rsidP="00A05B02">
      <w:pPr>
        <w:widowControl w:val="0"/>
        <w:jc w:val="both"/>
        <w:rPr>
          <w:rFonts w:cstheme="minorHAnsi"/>
          <w:sz w:val="28"/>
          <w:szCs w:val="28"/>
        </w:rPr>
      </w:pPr>
      <w:r w:rsidRPr="00F83903">
        <w:rPr>
          <w:rFonts w:cstheme="minorHAnsi"/>
          <w:sz w:val="28"/>
          <w:szCs w:val="28"/>
        </w:rPr>
        <w:t xml:space="preserve">The </w:t>
      </w:r>
      <w:r>
        <w:rPr>
          <w:rFonts w:cstheme="minorHAnsi"/>
          <w:sz w:val="28"/>
          <w:szCs w:val="28"/>
        </w:rPr>
        <w:t>s</w:t>
      </w:r>
      <w:r w:rsidRPr="00F83903">
        <w:rPr>
          <w:rFonts w:cstheme="minorHAnsi"/>
          <w:sz w:val="28"/>
          <w:szCs w:val="28"/>
        </w:rPr>
        <w:t xml:space="preserve">urvey excluded the 35 ‘higher education providers’ with less than 5,000 </w:t>
      </w:r>
      <w:r>
        <w:rPr>
          <w:rFonts w:cstheme="minorHAnsi"/>
          <w:sz w:val="28"/>
          <w:szCs w:val="28"/>
        </w:rPr>
        <w:t xml:space="preserve">offshore </w:t>
      </w:r>
      <w:r w:rsidRPr="00F83903">
        <w:rPr>
          <w:rFonts w:cstheme="minorHAnsi"/>
          <w:sz w:val="28"/>
          <w:szCs w:val="28"/>
        </w:rPr>
        <w:t xml:space="preserve">students in 2015/16 because they have very little offshore provision (a total </w:t>
      </w:r>
      <w:r>
        <w:rPr>
          <w:rFonts w:cstheme="minorHAnsi"/>
          <w:sz w:val="28"/>
          <w:szCs w:val="28"/>
        </w:rPr>
        <w:t xml:space="preserve">between them </w:t>
      </w:r>
      <w:r w:rsidRPr="00F83903">
        <w:rPr>
          <w:rFonts w:cstheme="minorHAnsi"/>
          <w:sz w:val="28"/>
          <w:szCs w:val="28"/>
        </w:rPr>
        <w:t xml:space="preserve">of only 5,600 students in this year). </w:t>
      </w:r>
    </w:p>
    <w:p w14:paraId="67B94E91" w14:textId="2B6E8909" w:rsidR="00A05B02" w:rsidRDefault="00A05B02" w:rsidP="00A05B02">
      <w:pPr>
        <w:widowControl w:val="0"/>
        <w:jc w:val="both"/>
        <w:rPr>
          <w:rFonts w:cstheme="minorHAnsi"/>
          <w:sz w:val="28"/>
          <w:szCs w:val="28"/>
        </w:rPr>
      </w:pPr>
      <w:r w:rsidRPr="00F83903">
        <w:rPr>
          <w:rFonts w:cstheme="minorHAnsi"/>
          <w:sz w:val="28"/>
          <w:szCs w:val="28"/>
        </w:rPr>
        <w:t xml:space="preserve">The overall survey </w:t>
      </w:r>
      <w:r w:rsidR="00442391">
        <w:rPr>
          <w:rFonts w:cstheme="minorHAnsi"/>
          <w:sz w:val="28"/>
          <w:szCs w:val="28"/>
        </w:rPr>
        <w:t>response rate was 70%</w:t>
      </w:r>
      <w:r>
        <w:rPr>
          <w:rFonts w:cstheme="minorHAnsi"/>
          <w:sz w:val="28"/>
          <w:szCs w:val="28"/>
        </w:rPr>
        <w:t>. A total of 36</w:t>
      </w:r>
      <w:r w:rsidRPr="00F83903">
        <w:rPr>
          <w:rFonts w:cstheme="minorHAnsi"/>
          <w:sz w:val="28"/>
          <w:szCs w:val="28"/>
        </w:rPr>
        <w:t xml:space="preserve"> of the 89 universities with overseas partnerships provided information on both expenditures and revenues with another 27 only able or prepared to furnish revenue data. Only </w:t>
      </w:r>
      <w:r>
        <w:rPr>
          <w:rFonts w:cstheme="minorHAnsi"/>
          <w:sz w:val="28"/>
          <w:szCs w:val="28"/>
        </w:rPr>
        <w:t>17</w:t>
      </w:r>
      <w:r w:rsidRPr="00F83903">
        <w:rPr>
          <w:rFonts w:cstheme="minorHAnsi"/>
          <w:sz w:val="28"/>
          <w:szCs w:val="28"/>
        </w:rPr>
        <w:t xml:space="preserve"> of the 86 universities with overseas distance learning students provided both revenue and expenditure data with an</w:t>
      </w:r>
      <w:r>
        <w:rPr>
          <w:rFonts w:cstheme="minorHAnsi"/>
          <w:sz w:val="28"/>
          <w:szCs w:val="28"/>
        </w:rPr>
        <w:t>other 20</w:t>
      </w:r>
      <w:r w:rsidRPr="00F83903">
        <w:rPr>
          <w:rFonts w:cstheme="minorHAnsi"/>
          <w:sz w:val="28"/>
          <w:szCs w:val="28"/>
        </w:rPr>
        <w:t xml:space="preserve"> furnishing </w:t>
      </w:r>
      <w:r>
        <w:rPr>
          <w:rFonts w:cstheme="minorHAnsi"/>
          <w:sz w:val="28"/>
          <w:szCs w:val="28"/>
        </w:rPr>
        <w:t xml:space="preserve">only </w:t>
      </w:r>
      <w:r w:rsidRPr="00F83903">
        <w:rPr>
          <w:rFonts w:cstheme="minorHAnsi"/>
          <w:sz w:val="28"/>
          <w:szCs w:val="28"/>
        </w:rPr>
        <w:t xml:space="preserve">revenue figures. The corresponding figures for the 20 universities with overseas branch campuses are seven and four. </w:t>
      </w:r>
      <w:r>
        <w:rPr>
          <w:rFonts w:cstheme="minorHAnsi"/>
          <w:sz w:val="28"/>
          <w:szCs w:val="28"/>
        </w:rPr>
        <w:t xml:space="preserve">Three </w:t>
      </w:r>
      <w:r w:rsidRPr="00F83903">
        <w:rPr>
          <w:rFonts w:cstheme="minorHAnsi"/>
          <w:sz w:val="28"/>
          <w:szCs w:val="28"/>
        </w:rPr>
        <w:t>universities did not respond at all</w:t>
      </w:r>
      <w:r>
        <w:rPr>
          <w:rFonts w:cstheme="minorHAnsi"/>
          <w:sz w:val="28"/>
          <w:szCs w:val="28"/>
        </w:rPr>
        <w:t>.</w:t>
      </w:r>
      <w:r w:rsidRPr="00F83903">
        <w:rPr>
          <w:rFonts w:cstheme="minorHAnsi"/>
          <w:sz w:val="28"/>
          <w:szCs w:val="28"/>
        </w:rPr>
        <w:t xml:space="preserve"> The sample of universities is </w:t>
      </w:r>
      <w:r>
        <w:rPr>
          <w:rFonts w:cstheme="minorHAnsi"/>
          <w:sz w:val="28"/>
          <w:szCs w:val="28"/>
        </w:rPr>
        <w:t xml:space="preserve">broadly </w:t>
      </w:r>
      <w:r w:rsidRPr="00F83903">
        <w:rPr>
          <w:rFonts w:cstheme="minorHAnsi"/>
          <w:sz w:val="28"/>
          <w:szCs w:val="28"/>
        </w:rPr>
        <w:t>representative of the university population as a whole</w:t>
      </w:r>
      <w:r>
        <w:rPr>
          <w:rFonts w:cstheme="minorHAnsi"/>
          <w:sz w:val="28"/>
          <w:szCs w:val="28"/>
        </w:rPr>
        <w:t xml:space="preserve"> with respect to both onshore and offshore student enrolments</w:t>
      </w:r>
      <w:r w:rsidRPr="00F83903">
        <w:rPr>
          <w:rFonts w:cstheme="minorHAnsi"/>
          <w:sz w:val="28"/>
          <w:szCs w:val="28"/>
        </w:rPr>
        <w:t>.</w:t>
      </w:r>
    </w:p>
    <w:p w14:paraId="4B080929" w14:textId="77777777" w:rsidR="00A05B02" w:rsidRDefault="00A05B02" w:rsidP="00A05B02">
      <w:pPr>
        <w:widowControl w:val="0"/>
        <w:jc w:val="both"/>
        <w:rPr>
          <w:rFonts w:cstheme="minorHAnsi"/>
          <w:sz w:val="28"/>
          <w:szCs w:val="28"/>
        </w:rPr>
      </w:pPr>
      <w:r w:rsidRPr="00F83903">
        <w:rPr>
          <w:rFonts w:cstheme="minorHAnsi"/>
          <w:sz w:val="28"/>
          <w:szCs w:val="28"/>
        </w:rPr>
        <w:t>Section 43(2) of the FOIA allows public bodies to withhold information if its disclosure is deemed to be prejudicial to their commercial interests.  Thirty-one of the 113 survey universities (26.5%) issued refusal notices. Refusal rates were appreciably lower among Scotti</w:t>
      </w:r>
      <w:r>
        <w:rPr>
          <w:rFonts w:cstheme="minorHAnsi"/>
          <w:sz w:val="28"/>
          <w:szCs w:val="28"/>
        </w:rPr>
        <w:t>sh universities</w:t>
      </w:r>
      <w:r w:rsidRPr="00F83903">
        <w:rPr>
          <w:rFonts w:cstheme="minorHAnsi"/>
          <w:sz w:val="28"/>
          <w:szCs w:val="28"/>
        </w:rPr>
        <w:t xml:space="preserve">. </w:t>
      </w:r>
    </w:p>
    <w:p w14:paraId="0E5446BC" w14:textId="77777777" w:rsidR="00A05B02" w:rsidRPr="00F83903" w:rsidRDefault="00A05B02" w:rsidP="00A05B02">
      <w:pPr>
        <w:widowControl w:val="0"/>
        <w:jc w:val="both"/>
        <w:rPr>
          <w:rFonts w:cstheme="minorHAnsi"/>
          <w:sz w:val="28"/>
          <w:szCs w:val="28"/>
        </w:rPr>
      </w:pPr>
      <w:r w:rsidRPr="00F83903">
        <w:rPr>
          <w:rFonts w:cstheme="minorHAnsi"/>
          <w:sz w:val="28"/>
          <w:szCs w:val="28"/>
        </w:rPr>
        <w:t xml:space="preserve">The following </w:t>
      </w:r>
      <w:r>
        <w:rPr>
          <w:rFonts w:cstheme="minorHAnsi"/>
          <w:sz w:val="28"/>
          <w:szCs w:val="28"/>
        </w:rPr>
        <w:t>extract</w:t>
      </w:r>
      <w:r w:rsidRPr="00F83903">
        <w:rPr>
          <w:rFonts w:cstheme="minorHAnsi"/>
          <w:sz w:val="28"/>
          <w:szCs w:val="28"/>
        </w:rPr>
        <w:t xml:space="preserve"> </w:t>
      </w:r>
      <w:r>
        <w:rPr>
          <w:rFonts w:cstheme="minorHAnsi"/>
          <w:sz w:val="28"/>
          <w:szCs w:val="28"/>
        </w:rPr>
        <w:t xml:space="preserve">from a refusal notice is </w:t>
      </w:r>
      <w:r w:rsidRPr="00F83903">
        <w:rPr>
          <w:rFonts w:cstheme="minorHAnsi"/>
          <w:sz w:val="28"/>
          <w:szCs w:val="28"/>
        </w:rPr>
        <w:t xml:space="preserve">typical of their reasoning in refusing to divulge this information. </w:t>
      </w:r>
    </w:p>
    <w:p w14:paraId="522A4FCB" w14:textId="77777777" w:rsidR="00A05B02" w:rsidRPr="00F83903" w:rsidRDefault="00A05B02" w:rsidP="00A05B02">
      <w:pPr>
        <w:widowControl w:val="0"/>
        <w:jc w:val="both"/>
        <w:rPr>
          <w:rFonts w:cstheme="minorHAnsi"/>
          <w:sz w:val="28"/>
          <w:szCs w:val="28"/>
        </w:rPr>
      </w:pPr>
      <w:r w:rsidRPr="00F83903">
        <w:rPr>
          <w:rFonts w:cstheme="minorHAnsi"/>
          <w:sz w:val="28"/>
          <w:szCs w:val="28"/>
        </w:rPr>
        <w:t xml:space="preserve"> ‘Course provision is in an increasingly competitive environment and the University competes globally with other higher education institutions for </w:t>
      </w:r>
      <w:r w:rsidRPr="00F83903">
        <w:rPr>
          <w:rFonts w:cstheme="minorHAnsi"/>
          <w:sz w:val="28"/>
          <w:szCs w:val="28"/>
        </w:rPr>
        <w:lastRenderedPageBreak/>
        <w:t>students and the fees for these activities are unregulated. Provision of information on income and cost for each of these activities would allow those in possession of it to access the scale and profitability of each and henceforth would give competitors an advantage over the University if they were in possession of it’ (Warwick University).</w:t>
      </w:r>
    </w:p>
    <w:p w14:paraId="3C44131C" w14:textId="5CAF74F2" w:rsidR="00A05B02" w:rsidRPr="00F83903" w:rsidRDefault="00A05B02" w:rsidP="00A05B02">
      <w:pPr>
        <w:widowControl w:val="0"/>
        <w:jc w:val="both"/>
        <w:rPr>
          <w:rFonts w:cstheme="minorHAnsi"/>
          <w:sz w:val="28"/>
          <w:szCs w:val="28"/>
        </w:rPr>
      </w:pPr>
      <w:r w:rsidRPr="00F83903">
        <w:rPr>
          <w:rFonts w:cstheme="minorHAnsi"/>
          <w:sz w:val="28"/>
          <w:szCs w:val="28"/>
        </w:rPr>
        <w:t xml:space="preserve">With the increasing privatisation of core activities by universities in the UK, </w:t>
      </w:r>
      <w:r w:rsidR="0074489B">
        <w:rPr>
          <w:rFonts w:cstheme="minorHAnsi"/>
          <w:sz w:val="28"/>
          <w:szCs w:val="28"/>
        </w:rPr>
        <w:t>these</w:t>
      </w:r>
      <w:r w:rsidRPr="00F83903">
        <w:rPr>
          <w:rFonts w:cstheme="minorHAnsi"/>
          <w:sz w:val="28"/>
          <w:szCs w:val="28"/>
        </w:rPr>
        <w:t xml:space="preserve"> universities </w:t>
      </w:r>
      <w:r w:rsidR="0074489B">
        <w:rPr>
          <w:rFonts w:cstheme="minorHAnsi"/>
          <w:sz w:val="28"/>
          <w:szCs w:val="28"/>
        </w:rPr>
        <w:t xml:space="preserve">can more easily </w:t>
      </w:r>
      <w:r w:rsidRPr="00F83903">
        <w:rPr>
          <w:rFonts w:cstheme="minorHAnsi"/>
          <w:sz w:val="28"/>
          <w:szCs w:val="28"/>
        </w:rPr>
        <w:t xml:space="preserve">invoke FOIA section 43(2) by refusing to provide ‘commercially sensitive’ information. In these circumstances, it is difficult to determine just how sensitive this information really is. Partial public sector privatisation may, therefore, be undermining the overall effectiveness of FOI legislation.  </w:t>
      </w:r>
    </w:p>
    <w:p w14:paraId="1A9DF663" w14:textId="67203166" w:rsidR="00A05B02" w:rsidRDefault="00A05B02" w:rsidP="00A05B02">
      <w:pPr>
        <w:widowControl w:val="0"/>
        <w:jc w:val="both"/>
        <w:rPr>
          <w:rFonts w:cstheme="minorHAnsi"/>
          <w:sz w:val="28"/>
          <w:szCs w:val="28"/>
        </w:rPr>
      </w:pPr>
      <w:r w:rsidRPr="00F83903">
        <w:rPr>
          <w:rFonts w:cstheme="minorHAnsi"/>
          <w:sz w:val="28"/>
          <w:szCs w:val="28"/>
        </w:rPr>
        <w:t xml:space="preserve">Another issue is that the majority of universities do not collect systematically expenditure data on offshore provision especially for distance learning courses. Nearly half of the survey universities refused to furnish this information because they estimated that it would take more than </w:t>
      </w:r>
      <w:r>
        <w:rPr>
          <w:rFonts w:cstheme="minorHAnsi"/>
          <w:sz w:val="28"/>
          <w:szCs w:val="28"/>
        </w:rPr>
        <w:t xml:space="preserve">the maximum permitted </w:t>
      </w:r>
      <w:r w:rsidRPr="00F83903">
        <w:rPr>
          <w:rFonts w:cstheme="minorHAnsi"/>
          <w:sz w:val="28"/>
          <w:szCs w:val="28"/>
        </w:rPr>
        <w:t xml:space="preserve">hours to assemble. Somewhat perversely, therefore, the more inefficient a university is in collecting information about its activities, the more </w:t>
      </w:r>
      <w:r w:rsidR="00C46CC1">
        <w:rPr>
          <w:rFonts w:cstheme="minorHAnsi"/>
          <w:sz w:val="28"/>
          <w:szCs w:val="28"/>
        </w:rPr>
        <w:t>un</w:t>
      </w:r>
      <w:r w:rsidRPr="00F83903">
        <w:rPr>
          <w:rFonts w:cstheme="minorHAnsi"/>
          <w:sz w:val="28"/>
          <w:szCs w:val="28"/>
        </w:rPr>
        <w:t xml:space="preserve">likely </w:t>
      </w:r>
      <w:r>
        <w:rPr>
          <w:rFonts w:cstheme="minorHAnsi"/>
          <w:sz w:val="28"/>
          <w:szCs w:val="28"/>
        </w:rPr>
        <w:t>it is that this information will ever be forthcoming</w:t>
      </w:r>
      <w:r w:rsidRPr="00F83903">
        <w:rPr>
          <w:rFonts w:cstheme="minorHAnsi"/>
          <w:sz w:val="28"/>
          <w:szCs w:val="28"/>
        </w:rPr>
        <w:t xml:space="preserve">. Moreover, the inability to provide even basic expenditure information undermines the oft-repeated claim of universities that their offshore provision is an entirely separate commercial activity and does not fall under the FOIA. In practice, </w:t>
      </w:r>
      <w:r w:rsidR="00C46CC1">
        <w:rPr>
          <w:rFonts w:cstheme="minorHAnsi"/>
          <w:sz w:val="28"/>
          <w:szCs w:val="28"/>
        </w:rPr>
        <w:t xml:space="preserve">there is </w:t>
      </w:r>
      <w:r w:rsidRPr="00F83903">
        <w:rPr>
          <w:rFonts w:cstheme="minorHAnsi"/>
          <w:sz w:val="28"/>
          <w:szCs w:val="28"/>
        </w:rPr>
        <w:t>no separate financial a</w:t>
      </w:r>
      <w:r w:rsidR="00C46CC1">
        <w:rPr>
          <w:rFonts w:cstheme="minorHAnsi"/>
          <w:sz w:val="28"/>
          <w:szCs w:val="28"/>
        </w:rPr>
        <w:t>ccounting of offshore provision</w:t>
      </w:r>
      <w:r w:rsidRPr="00F83903">
        <w:rPr>
          <w:rFonts w:cstheme="minorHAnsi"/>
          <w:sz w:val="28"/>
          <w:szCs w:val="28"/>
        </w:rPr>
        <w:t xml:space="preserve"> nor is the major cost element, faculty time spent managing overseas partnerships and supervising distance learning students, separately recorded at most universities.</w:t>
      </w:r>
    </w:p>
    <w:p w14:paraId="6858C0B3" w14:textId="2FE594A8" w:rsidR="00FE43BC" w:rsidRPr="00FE43BC" w:rsidRDefault="00FE43BC" w:rsidP="00A05B02">
      <w:pPr>
        <w:widowControl w:val="0"/>
        <w:jc w:val="both"/>
        <w:rPr>
          <w:rFonts w:cstheme="minorHAnsi"/>
          <w:b/>
          <w:sz w:val="28"/>
          <w:szCs w:val="28"/>
        </w:rPr>
      </w:pPr>
      <w:r w:rsidRPr="00FE43BC">
        <w:rPr>
          <w:rFonts w:cstheme="minorHAnsi"/>
          <w:b/>
          <w:sz w:val="28"/>
          <w:szCs w:val="28"/>
        </w:rPr>
        <w:t>2.2. University classification</w:t>
      </w:r>
    </w:p>
    <w:p w14:paraId="3901E5F1" w14:textId="591411E9" w:rsidR="00A05B02" w:rsidRDefault="00A05B02" w:rsidP="00A05B02">
      <w:pPr>
        <w:widowControl w:val="0"/>
        <w:jc w:val="both"/>
        <w:rPr>
          <w:rFonts w:cstheme="minorHAnsi"/>
          <w:sz w:val="28"/>
          <w:szCs w:val="28"/>
        </w:rPr>
      </w:pPr>
      <w:r>
        <w:rPr>
          <w:rFonts w:cstheme="minorHAnsi"/>
          <w:sz w:val="28"/>
          <w:szCs w:val="28"/>
        </w:rPr>
        <w:t>For the purposes of this survey, UK universities are categorised as follows: ‘ancient’ universities established before the 19</w:t>
      </w:r>
      <w:r w:rsidRPr="00996340">
        <w:rPr>
          <w:rFonts w:cstheme="minorHAnsi"/>
          <w:sz w:val="28"/>
          <w:szCs w:val="28"/>
          <w:vertAlign w:val="superscript"/>
        </w:rPr>
        <w:t>th</w:t>
      </w:r>
      <w:r>
        <w:rPr>
          <w:rFonts w:cstheme="minorHAnsi"/>
          <w:sz w:val="28"/>
          <w:szCs w:val="28"/>
        </w:rPr>
        <w:t xml:space="preserve"> century; ‘redbrick’ universities established between 1800 and 1945; ‘plate-glass’ universities established between 1945 and 1991; and ex-polytechnics and teach</w:t>
      </w:r>
      <w:r w:rsidR="00C46CC1">
        <w:rPr>
          <w:rFonts w:cstheme="minorHAnsi"/>
          <w:sz w:val="28"/>
          <w:szCs w:val="28"/>
        </w:rPr>
        <w:t>er</w:t>
      </w:r>
      <w:r>
        <w:rPr>
          <w:rFonts w:cstheme="minorHAnsi"/>
          <w:sz w:val="28"/>
          <w:szCs w:val="28"/>
        </w:rPr>
        <w:t xml:space="preserve"> training colleges established after 1991.  </w:t>
      </w:r>
    </w:p>
    <w:p w14:paraId="1584ADA7" w14:textId="1E06911F" w:rsidR="00FE43BC" w:rsidRPr="00FE43BC" w:rsidRDefault="00FE43BC" w:rsidP="00A05B02">
      <w:pPr>
        <w:widowControl w:val="0"/>
        <w:jc w:val="both"/>
        <w:rPr>
          <w:rFonts w:cstheme="minorHAnsi"/>
          <w:b/>
          <w:sz w:val="28"/>
          <w:szCs w:val="28"/>
        </w:rPr>
      </w:pPr>
      <w:r w:rsidRPr="00FE43BC">
        <w:rPr>
          <w:rFonts w:cstheme="minorHAnsi"/>
          <w:b/>
          <w:sz w:val="28"/>
          <w:szCs w:val="28"/>
        </w:rPr>
        <w:t>2.3 Types of offshore provision</w:t>
      </w:r>
    </w:p>
    <w:p w14:paraId="5735B8AA" w14:textId="1F6B1F91" w:rsidR="00FE43BC" w:rsidRPr="00F83903" w:rsidRDefault="00FE43BC" w:rsidP="00FE43BC">
      <w:pPr>
        <w:jc w:val="both"/>
        <w:rPr>
          <w:rFonts w:cstheme="minorHAnsi"/>
          <w:sz w:val="28"/>
          <w:szCs w:val="28"/>
        </w:rPr>
      </w:pPr>
      <w:r>
        <w:rPr>
          <w:rFonts w:cstheme="minorHAnsi"/>
          <w:sz w:val="28"/>
          <w:szCs w:val="28"/>
        </w:rPr>
        <w:lastRenderedPageBreak/>
        <w:t>The UK Higher Education Statistics Agency (</w:t>
      </w:r>
      <w:r w:rsidRPr="00F83903">
        <w:rPr>
          <w:rFonts w:cstheme="minorHAnsi"/>
          <w:sz w:val="28"/>
          <w:szCs w:val="28"/>
        </w:rPr>
        <w:t>HESA</w:t>
      </w:r>
      <w:r>
        <w:rPr>
          <w:rFonts w:cstheme="minorHAnsi"/>
          <w:sz w:val="28"/>
          <w:szCs w:val="28"/>
        </w:rPr>
        <w:t>)</w:t>
      </w:r>
      <w:r w:rsidRPr="00F83903">
        <w:rPr>
          <w:rFonts w:cstheme="minorHAnsi"/>
          <w:sz w:val="28"/>
          <w:szCs w:val="28"/>
        </w:rPr>
        <w:t xml:space="preserve"> classifies offshore provision into the following main categories:</w:t>
      </w:r>
    </w:p>
    <w:p w14:paraId="42FA3AE2" w14:textId="77777777" w:rsidR="00FE43BC" w:rsidRPr="00F83903" w:rsidRDefault="00FE43BC" w:rsidP="00FE43BC">
      <w:pPr>
        <w:pStyle w:val="ListParagraph"/>
        <w:numPr>
          <w:ilvl w:val="0"/>
          <w:numId w:val="18"/>
        </w:numPr>
        <w:jc w:val="both"/>
        <w:rPr>
          <w:rFonts w:cstheme="minorHAnsi"/>
          <w:sz w:val="28"/>
          <w:szCs w:val="28"/>
        </w:rPr>
      </w:pPr>
      <w:r w:rsidRPr="00F83903">
        <w:rPr>
          <w:rFonts w:cstheme="minorHAnsi"/>
          <w:sz w:val="28"/>
          <w:szCs w:val="28"/>
        </w:rPr>
        <w:t>Overseas branch campus (OBC) set up and wholly owned by a UK university (‘reporting provider’) and, as such, ‘it is seen as no different from any other campus of the provider’.</w:t>
      </w:r>
    </w:p>
    <w:p w14:paraId="14B1C3E0" w14:textId="77777777" w:rsidR="00FE43BC" w:rsidRPr="00F83903" w:rsidRDefault="00FE43BC" w:rsidP="00FE43BC">
      <w:pPr>
        <w:pStyle w:val="ListParagraph"/>
        <w:numPr>
          <w:ilvl w:val="0"/>
          <w:numId w:val="18"/>
        </w:numPr>
        <w:jc w:val="both"/>
        <w:rPr>
          <w:rFonts w:cstheme="minorHAnsi"/>
          <w:sz w:val="28"/>
          <w:szCs w:val="28"/>
        </w:rPr>
      </w:pPr>
      <w:r w:rsidRPr="00F83903">
        <w:rPr>
          <w:rFonts w:cstheme="minorHAnsi"/>
          <w:sz w:val="28"/>
          <w:szCs w:val="28"/>
        </w:rPr>
        <w:t>Distance, flexible or distributed learning (DL) which ‘generally do not require the student to attend particular classes or events at particular times and particular locations’.</w:t>
      </w:r>
    </w:p>
    <w:p w14:paraId="02B41EB4" w14:textId="77777777" w:rsidR="00FE43BC" w:rsidRPr="00F83903" w:rsidRDefault="00FE43BC" w:rsidP="00FE43BC">
      <w:pPr>
        <w:pStyle w:val="ListParagraph"/>
        <w:numPr>
          <w:ilvl w:val="0"/>
          <w:numId w:val="18"/>
        </w:numPr>
        <w:jc w:val="both"/>
        <w:rPr>
          <w:rFonts w:cstheme="minorHAnsi"/>
          <w:sz w:val="28"/>
          <w:szCs w:val="28"/>
        </w:rPr>
      </w:pPr>
      <w:r w:rsidRPr="00F83903">
        <w:rPr>
          <w:rFonts w:cstheme="minorHAnsi"/>
          <w:sz w:val="28"/>
          <w:szCs w:val="28"/>
        </w:rPr>
        <w:t>Overseas collaborative/franchised provision which denotes provision ‘leading to an award of an awarding provider delivered and/or assessed through an arrangement with an overseas partner organisation’.</w:t>
      </w:r>
    </w:p>
    <w:p w14:paraId="6BA6D317" w14:textId="77777777" w:rsidR="00FE43BC" w:rsidRDefault="00FE43BC" w:rsidP="00FE43BC">
      <w:pPr>
        <w:pStyle w:val="ListParagraph"/>
        <w:numPr>
          <w:ilvl w:val="0"/>
          <w:numId w:val="18"/>
        </w:numPr>
        <w:jc w:val="both"/>
        <w:rPr>
          <w:rFonts w:cstheme="minorHAnsi"/>
          <w:sz w:val="28"/>
          <w:szCs w:val="28"/>
        </w:rPr>
      </w:pPr>
      <w:r w:rsidRPr="00F83903">
        <w:rPr>
          <w:rFonts w:cstheme="minorHAnsi"/>
          <w:sz w:val="28"/>
          <w:szCs w:val="28"/>
        </w:rPr>
        <w:t>Students studying for an award of a UK university</w:t>
      </w:r>
      <w:r>
        <w:rPr>
          <w:rFonts w:cstheme="minorHAnsi"/>
          <w:sz w:val="28"/>
          <w:szCs w:val="28"/>
        </w:rPr>
        <w:t xml:space="preserve"> who are not registered with this </w:t>
      </w:r>
      <w:r w:rsidRPr="00F83903">
        <w:rPr>
          <w:rFonts w:cstheme="minorHAnsi"/>
          <w:sz w:val="28"/>
          <w:szCs w:val="28"/>
        </w:rPr>
        <w:t>university i.e. they are studying for an award at an overseas education/training institution that has been validated by the UK university. The main difference between franchised and validated degrees is that, for the latter type of degrees, the overseas partner does not follow the curriculum of the UK university.</w:t>
      </w:r>
    </w:p>
    <w:p w14:paraId="530A86F4" w14:textId="20A52925" w:rsidR="00FE43BC" w:rsidRDefault="00FE43BC" w:rsidP="00FE43BC">
      <w:pPr>
        <w:ind w:left="360"/>
        <w:jc w:val="both"/>
        <w:rPr>
          <w:rFonts w:cstheme="minorHAnsi"/>
          <w:sz w:val="28"/>
          <w:szCs w:val="28"/>
        </w:rPr>
      </w:pPr>
      <w:r>
        <w:rPr>
          <w:rFonts w:cstheme="minorHAnsi"/>
          <w:sz w:val="28"/>
          <w:szCs w:val="28"/>
        </w:rPr>
        <w:t>In addition, overseas students can be enrolled on articulation/advanced standing courses at overseas partners which enable them to complete the remaining two three years of their UK university degree at the UK campus. These are commonly referred to as 1+2 and 2+2 provision models</w:t>
      </w:r>
      <w:r w:rsidR="007E5111">
        <w:rPr>
          <w:rFonts w:cstheme="minorHAnsi"/>
          <w:sz w:val="28"/>
          <w:szCs w:val="28"/>
        </w:rPr>
        <w:t>.</w:t>
      </w:r>
    </w:p>
    <w:p w14:paraId="7B283BE4" w14:textId="77777777" w:rsidR="007E5111" w:rsidRPr="00FE43BC" w:rsidRDefault="007E5111" w:rsidP="00FE43BC">
      <w:pPr>
        <w:ind w:left="360"/>
        <w:jc w:val="both"/>
        <w:rPr>
          <w:rFonts w:cstheme="minorHAnsi"/>
          <w:sz w:val="28"/>
          <w:szCs w:val="28"/>
        </w:rPr>
      </w:pPr>
    </w:p>
    <w:p w14:paraId="18DF2E50" w14:textId="77777777" w:rsidR="00A05B02" w:rsidRPr="00EA66DC" w:rsidRDefault="00A05B02" w:rsidP="00A05B02">
      <w:pPr>
        <w:pStyle w:val="ListParagraph"/>
        <w:widowControl w:val="0"/>
        <w:numPr>
          <w:ilvl w:val="0"/>
          <w:numId w:val="9"/>
        </w:numPr>
        <w:rPr>
          <w:rFonts w:cstheme="minorHAnsi"/>
          <w:b/>
          <w:sz w:val="28"/>
          <w:szCs w:val="28"/>
        </w:rPr>
      </w:pPr>
      <w:r w:rsidRPr="00EA66DC">
        <w:rPr>
          <w:rFonts w:cstheme="minorHAnsi"/>
          <w:b/>
          <w:sz w:val="28"/>
          <w:szCs w:val="28"/>
        </w:rPr>
        <w:t xml:space="preserve">BRITISH AND OVERSEAS STUDENTS AT UK UNIVERSITIES: </w:t>
      </w:r>
    </w:p>
    <w:p w14:paraId="45006BC9" w14:textId="77777777" w:rsidR="00A05B02" w:rsidRPr="00153FD6" w:rsidRDefault="00A05B02" w:rsidP="00A05B02">
      <w:pPr>
        <w:pStyle w:val="ListParagraph"/>
        <w:widowControl w:val="0"/>
        <w:rPr>
          <w:rFonts w:cstheme="minorHAnsi"/>
          <w:b/>
          <w:sz w:val="28"/>
          <w:szCs w:val="28"/>
        </w:rPr>
      </w:pPr>
      <w:r w:rsidRPr="00153FD6">
        <w:rPr>
          <w:rFonts w:cstheme="minorHAnsi"/>
          <w:b/>
          <w:sz w:val="28"/>
          <w:szCs w:val="28"/>
        </w:rPr>
        <w:t>AN OVERVIEW</w:t>
      </w:r>
    </w:p>
    <w:p w14:paraId="290FE593" w14:textId="77777777" w:rsidR="00A05B02" w:rsidRDefault="00A05B02" w:rsidP="00A05B02">
      <w:pPr>
        <w:widowControl w:val="0"/>
        <w:jc w:val="both"/>
        <w:rPr>
          <w:rFonts w:cstheme="minorHAnsi"/>
          <w:sz w:val="28"/>
          <w:szCs w:val="28"/>
        </w:rPr>
      </w:pPr>
      <w:r>
        <w:rPr>
          <w:rFonts w:cstheme="minorHAnsi"/>
          <w:b/>
          <w:sz w:val="28"/>
          <w:szCs w:val="28"/>
        </w:rPr>
        <w:t xml:space="preserve">3.1 </w:t>
      </w:r>
      <w:r w:rsidRPr="00F83903">
        <w:rPr>
          <w:rFonts w:cstheme="minorHAnsi"/>
          <w:b/>
          <w:sz w:val="28"/>
          <w:szCs w:val="28"/>
        </w:rPr>
        <w:t>UK students</w:t>
      </w:r>
    </w:p>
    <w:p w14:paraId="61E6FA7D" w14:textId="77777777" w:rsidR="00A05B02" w:rsidRDefault="00A05B02" w:rsidP="00A05B02">
      <w:pPr>
        <w:widowControl w:val="0"/>
        <w:jc w:val="both"/>
        <w:rPr>
          <w:rFonts w:cstheme="minorHAnsi"/>
          <w:sz w:val="28"/>
          <w:szCs w:val="28"/>
        </w:rPr>
      </w:pPr>
      <w:r w:rsidRPr="00F83903">
        <w:rPr>
          <w:rFonts w:cstheme="minorHAnsi"/>
          <w:sz w:val="28"/>
          <w:szCs w:val="28"/>
        </w:rPr>
        <w:t xml:space="preserve">Enrolments of UK domiciled students rose steadily from 1.6 million 1996 to a peak of 2.1 million during 2009-11 but then, largely as the result of the hike in UK annual tuition fees from £3,000 to £9,000 in 2011/12, fell back to 1.9 million in 2016/17 (a decline of 10.2%). </w:t>
      </w:r>
      <w:r>
        <w:rPr>
          <w:rFonts w:cstheme="minorHAnsi"/>
          <w:sz w:val="28"/>
          <w:szCs w:val="28"/>
        </w:rPr>
        <w:t>Even so, t</w:t>
      </w:r>
      <w:r w:rsidRPr="00F83903">
        <w:rPr>
          <w:rFonts w:cstheme="minorHAnsi"/>
          <w:sz w:val="28"/>
          <w:szCs w:val="28"/>
        </w:rPr>
        <w:t xml:space="preserve">he overall price elasticity of demand for university education is very low at 0.05 (a 200% fee increase divided by a 10% fall in enrolments after four years). Total UK student fee income has, therefore, increased almost threefold to around £17bn but, at the same time, </w:t>
      </w:r>
      <w:r w:rsidRPr="00F83903">
        <w:rPr>
          <w:rFonts w:cstheme="minorHAnsi"/>
          <w:sz w:val="28"/>
          <w:szCs w:val="28"/>
        </w:rPr>
        <w:lastRenderedPageBreak/>
        <w:t>government-funded teaching and research grants have been</w:t>
      </w:r>
      <w:r>
        <w:rPr>
          <w:rFonts w:cstheme="minorHAnsi"/>
          <w:sz w:val="28"/>
          <w:szCs w:val="28"/>
        </w:rPr>
        <w:t xml:space="preserve"> seriously reduced</w:t>
      </w:r>
      <w:r w:rsidRPr="00F83903">
        <w:rPr>
          <w:rFonts w:cstheme="minorHAnsi"/>
          <w:sz w:val="28"/>
          <w:szCs w:val="28"/>
        </w:rPr>
        <w:t>.</w:t>
      </w:r>
      <w:r w:rsidRPr="00F83903">
        <w:rPr>
          <w:rStyle w:val="FootnoteReference"/>
          <w:rFonts w:cstheme="minorHAnsi"/>
          <w:sz w:val="28"/>
          <w:szCs w:val="28"/>
        </w:rPr>
        <w:footnoteReference w:id="1"/>
      </w:r>
    </w:p>
    <w:p w14:paraId="75246F30" w14:textId="77777777" w:rsidR="00A05B02" w:rsidRDefault="00A05B02" w:rsidP="00A05B02">
      <w:pPr>
        <w:widowControl w:val="0"/>
        <w:jc w:val="both"/>
        <w:rPr>
          <w:rFonts w:cstheme="minorHAnsi"/>
          <w:b/>
          <w:sz w:val="28"/>
          <w:szCs w:val="28"/>
        </w:rPr>
      </w:pPr>
      <w:r>
        <w:rPr>
          <w:rFonts w:cstheme="minorHAnsi"/>
          <w:b/>
          <w:sz w:val="28"/>
          <w:szCs w:val="28"/>
        </w:rPr>
        <w:t xml:space="preserve">3.2 </w:t>
      </w:r>
      <w:r w:rsidRPr="00F83903">
        <w:rPr>
          <w:rFonts w:cstheme="minorHAnsi"/>
          <w:b/>
          <w:sz w:val="28"/>
          <w:szCs w:val="28"/>
        </w:rPr>
        <w:t xml:space="preserve">Onshore overseas </w:t>
      </w:r>
      <w:r>
        <w:rPr>
          <w:rFonts w:cstheme="minorHAnsi"/>
          <w:b/>
          <w:sz w:val="28"/>
          <w:szCs w:val="28"/>
        </w:rPr>
        <w:t>students</w:t>
      </w:r>
    </w:p>
    <w:p w14:paraId="11CA8637" w14:textId="04BB2B5D" w:rsidR="00A05B02" w:rsidRPr="00F83903" w:rsidRDefault="00A05B02" w:rsidP="00A05B02">
      <w:pPr>
        <w:widowControl w:val="0"/>
        <w:jc w:val="both"/>
        <w:rPr>
          <w:rFonts w:cstheme="minorHAnsi"/>
          <w:sz w:val="28"/>
          <w:szCs w:val="28"/>
        </w:rPr>
      </w:pPr>
      <w:r w:rsidRPr="00F83903">
        <w:rPr>
          <w:rFonts w:cstheme="minorHAnsi"/>
          <w:sz w:val="28"/>
          <w:szCs w:val="28"/>
        </w:rPr>
        <w:t xml:space="preserve">Onshore overseas student enrolments at UK universities have </w:t>
      </w:r>
      <w:r w:rsidR="00931AD0">
        <w:rPr>
          <w:rFonts w:cstheme="minorHAnsi"/>
          <w:sz w:val="28"/>
          <w:szCs w:val="28"/>
        </w:rPr>
        <w:t xml:space="preserve">more than </w:t>
      </w:r>
      <w:r w:rsidRPr="00F83903">
        <w:rPr>
          <w:rFonts w:cstheme="minorHAnsi"/>
          <w:sz w:val="28"/>
          <w:szCs w:val="28"/>
        </w:rPr>
        <w:t>doubled in the last 20 years – from 198,000 in 1996/7 to</w:t>
      </w:r>
      <w:r w:rsidR="00931AD0">
        <w:rPr>
          <w:rFonts w:cstheme="minorHAnsi"/>
          <w:sz w:val="28"/>
          <w:szCs w:val="28"/>
        </w:rPr>
        <w:t xml:space="preserve"> 458,000</w:t>
      </w:r>
      <w:r>
        <w:rPr>
          <w:rFonts w:cstheme="minorHAnsi"/>
          <w:sz w:val="28"/>
          <w:szCs w:val="28"/>
        </w:rPr>
        <w:t xml:space="preserve"> in 2017/18</w:t>
      </w:r>
      <w:r w:rsidRPr="00F83903">
        <w:rPr>
          <w:rFonts w:cstheme="minorHAnsi"/>
          <w:sz w:val="28"/>
          <w:szCs w:val="28"/>
        </w:rPr>
        <w:t>. Slightly more than 80% of this increase is accounted for by non-EU overs</w:t>
      </w:r>
      <w:r w:rsidR="00C46CC1">
        <w:rPr>
          <w:rFonts w:cstheme="minorHAnsi"/>
          <w:sz w:val="28"/>
          <w:szCs w:val="28"/>
        </w:rPr>
        <w:t xml:space="preserve">eas students. Despite </w:t>
      </w:r>
      <w:r w:rsidRPr="00F83903">
        <w:rPr>
          <w:rFonts w:cstheme="minorHAnsi"/>
          <w:sz w:val="28"/>
          <w:szCs w:val="28"/>
        </w:rPr>
        <w:t xml:space="preserve">concerted efforts to increase overseas student enrolments, the overall numbers of both EU and non-EU students have remained fairly constant since 2010/11. EU students pay the same tuition fees as UK students so demand for UK university education among European students has </w:t>
      </w:r>
      <w:r>
        <w:rPr>
          <w:rFonts w:cstheme="minorHAnsi"/>
          <w:sz w:val="28"/>
          <w:szCs w:val="28"/>
        </w:rPr>
        <w:t xml:space="preserve">also </w:t>
      </w:r>
      <w:r w:rsidRPr="00F83903">
        <w:rPr>
          <w:rFonts w:cstheme="minorHAnsi"/>
          <w:sz w:val="28"/>
          <w:szCs w:val="28"/>
        </w:rPr>
        <w:t xml:space="preserve">been price inelastic. Tuition fees for both undergraduate and postgraduate non-EU onshore students have increased appreciably. With little likelihood of significant reductions in these high levels of tuition fees coupled with rapidly intensifying foreign competition for onshore overseas students and the likely fallout from BREXIT, the number of onshore overseas university students in the UK is unlikely to increase appreciably in the next decade.   </w:t>
      </w:r>
    </w:p>
    <w:p w14:paraId="218BB689" w14:textId="77777777" w:rsidR="00A05B02" w:rsidRDefault="00A05B02" w:rsidP="00A05B02">
      <w:pPr>
        <w:widowControl w:val="0"/>
        <w:jc w:val="both"/>
        <w:rPr>
          <w:rFonts w:cstheme="minorHAnsi"/>
          <w:sz w:val="28"/>
          <w:szCs w:val="28"/>
        </w:rPr>
      </w:pPr>
      <w:r>
        <w:rPr>
          <w:rFonts w:cstheme="minorHAnsi"/>
          <w:b/>
          <w:sz w:val="28"/>
          <w:szCs w:val="28"/>
        </w:rPr>
        <w:t xml:space="preserve">3.3. </w:t>
      </w:r>
      <w:r w:rsidRPr="00F83903">
        <w:rPr>
          <w:rFonts w:cstheme="minorHAnsi"/>
          <w:b/>
          <w:sz w:val="28"/>
          <w:szCs w:val="28"/>
        </w:rPr>
        <w:t>Offshore overseas students</w:t>
      </w:r>
    </w:p>
    <w:p w14:paraId="07E67559" w14:textId="3FDADAC2" w:rsidR="00A05B02" w:rsidRPr="00F83903" w:rsidRDefault="00A05B02" w:rsidP="00A05B02">
      <w:pPr>
        <w:widowControl w:val="0"/>
        <w:jc w:val="both"/>
        <w:rPr>
          <w:rFonts w:cstheme="minorHAnsi"/>
          <w:sz w:val="28"/>
          <w:szCs w:val="28"/>
        </w:rPr>
      </w:pPr>
      <w:r w:rsidRPr="00F83903">
        <w:rPr>
          <w:rFonts w:cstheme="minorHAnsi"/>
          <w:sz w:val="28"/>
          <w:szCs w:val="28"/>
        </w:rPr>
        <w:t>During the last 30 years, offshore overseas student enrolments have grown impressively - from an estimated 50,000 in the mid</w:t>
      </w:r>
      <w:r>
        <w:rPr>
          <w:rFonts w:cstheme="minorHAnsi"/>
          <w:sz w:val="28"/>
          <w:szCs w:val="28"/>
        </w:rPr>
        <w:t>-</w:t>
      </w:r>
      <w:r w:rsidRPr="00F83903">
        <w:rPr>
          <w:rFonts w:cstheme="minorHAnsi"/>
          <w:sz w:val="28"/>
          <w:szCs w:val="28"/>
        </w:rPr>
        <w:t xml:space="preserve">1980s (almost all of which were distance learners) to an estimated </w:t>
      </w:r>
      <w:r w:rsidR="00931AD0">
        <w:rPr>
          <w:rFonts w:cstheme="minorHAnsi"/>
          <w:sz w:val="28"/>
          <w:szCs w:val="28"/>
        </w:rPr>
        <w:t>140,000 in 1996-97 to 403,000</w:t>
      </w:r>
      <w:r>
        <w:rPr>
          <w:rFonts w:cstheme="minorHAnsi"/>
          <w:sz w:val="28"/>
          <w:szCs w:val="28"/>
        </w:rPr>
        <w:t xml:space="preserve"> in 2017/18</w:t>
      </w:r>
      <w:r w:rsidRPr="00F83903">
        <w:rPr>
          <w:rFonts w:cstheme="minorHAnsi"/>
          <w:sz w:val="28"/>
          <w:szCs w:val="28"/>
        </w:rPr>
        <w:t>, a six-fold increase. Rapid growth from the late 1980s-early 1990s was largely driven by the profit-seeking, entrepreneurial flair of the ex-polytechnic universities many of which were keen to seek out new market opportunities both domestically and overseas. However, largely as a result of wider UK university concerns about reputational damage due to low quality provision among overseas franchise and validation partners, offshore enrolments stagnated from the late 1990s; they increased by b</w:t>
      </w:r>
      <w:r>
        <w:rPr>
          <w:rFonts w:cstheme="minorHAnsi"/>
          <w:sz w:val="28"/>
          <w:szCs w:val="28"/>
        </w:rPr>
        <w:t>arely 4% between 2002 and 2007</w:t>
      </w:r>
      <w:r w:rsidRPr="00F83903">
        <w:rPr>
          <w:rFonts w:cstheme="minorHAnsi"/>
          <w:sz w:val="28"/>
          <w:szCs w:val="28"/>
        </w:rPr>
        <w:t>.</w:t>
      </w:r>
    </w:p>
    <w:p w14:paraId="2F308710" w14:textId="77777777" w:rsidR="00A05B02" w:rsidRDefault="00A05B02" w:rsidP="00A05B02">
      <w:pPr>
        <w:widowControl w:val="0"/>
        <w:jc w:val="both"/>
        <w:rPr>
          <w:rFonts w:cstheme="minorHAnsi"/>
          <w:sz w:val="28"/>
          <w:szCs w:val="28"/>
        </w:rPr>
      </w:pPr>
      <w:r w:rsidRPr="00F83903">
        <w:rPr>
          <w:rFonts w:cstheme="minorHAnsi"/>
          <w:sz w:val="28"/>
          <w:szCs w:val="28"/>
        </w:rPr>
        <w:t xml:space="preserve">No robust research has been undertaken on the reasons for the surge in offshore provision that occurred after 2008 but a key factor is likely to be the increasing pace of commercialisation in the university sector in the UK which, as noted above, has been driven by the privatisation of university funding, particularly </w:t>
      </w:r>
      <w:r w:rsidRPr="00F83903">
        <w:rPr>
          <w:rFonts w:cstheme="minorHAnsi"/>
          <w:sz w:val="28"/>
          <w:szCs w:val="28"/>
        </w:rPr>
        <w:lastRenderedPageBreak/>
        <w:t xml:space="preserve">since 2010. </w:t>
      </w:r>
    </w:p>
    <w:p w14:paraId="73BA3F56" w14:textId="6434576D" w:rsidR="00A05B02" w:rsidRDefault="00A05B02" w:rsidP="00A05B02">
      <w:pPr>
        <w:widowControl w:val="0"/>
        <w:jc w:val="both"/>
        <w:rPr>
          <w:rFonts w:cstheme="minorHAnsi"/>
          <w:sz w:val="28"/>
          <w:szCs w:val="28"/>
        </w:rPr>
      </w:pPr>
      <w:r w:rsidRPr="0088158E">
        <w:rPr>
          <w:rFonts w:cstheme="minorHAnsi"/>
          <w:b/>
          <w:sz w:val="28"/>
          <w:szCs w:val="28"/>
        </w:rPr>
        <w:t>Overall shares:</w:t>
      </w:r>
      <w:r>
        <w:rPr>
          <w:rFonts w:cstheme="minorHAnsi"/>
          <w:sz w:val="28"/>
          <w:szCs w:val="28"/>
        </w:rPr>
        <w:t xml:space="preserve"> </w:t>
      </w:r>
      <w:r w:rsidRPr="00F83903">
        <w:rPr>
          <w:rFonts w:cstheme="minorHAnsi"/>
          <w:sz w:val="28"/>
          <w:szCs w:val="28"/>
        </w:rPr>
        <w:t xml:space="preserve">The overall share of onshore and offshore overseas students has almost doubled during the last 20 years - from 17% in 1996/97 </w:t>
      </w:r>
      <w:r w:rsidR="00442391">
        <w:rPr>
          <w:rFonts w:cstheme="minorHAnsi"/>
          <w:sz w:val="28"/>
          <w:szCs w:val="28"/>
        </w:rPr>
        <w:t>to 31% in 2016/17</w:t>
      </w:r>
      <w:r w:rsidRPr="00F83903">
        <w:rPr>
          <w:rFonts w:cstheme="minorHAnsi"/>
          <w:sz w:val="28"/>
          <w:szCs w:val="28"/>
        </w:rPr>
        <w:t xml:space="preserve">. With foreign students comprising almost one-third of all students studying for UK university degrees, this </w:t>
      </w:r>
      <w:r w:rsidR="0074489B">
        <w:rPr>
          <w:rFonts w:cstheme="minorHAnsi"/>
          <w:sz w:val="28"/>
          <w:szCs w:val="28"/>
        </w:rPr>
        <w:t xml:space="preserve">is </w:t>
      </w:r>
      <w:r w:rsidRPr="00F83903">
        <w:rPr>
          <w:rFonts w:cstheme="minorHAnsi"/>
          <w:sz w:val="28"/>
          <w:szCs w:val="28"/>
        </w:rPr>
        <w:t>a significant level of internationali</w:t>
      </w:r>
      <w:r>
        <w:rPr>
          <w:rFonts w:cstheme="minorHAnsi"/>
          <w:sz w:val="28"/>
          <w:szCs w:val="28"/>
        </w:rPr>
        <w:t xml:space="preserve">sation of education provision. </w:t>
      </w:r>
      <w:r w:rsidRPr="00F83903">
        <w:rPr>
          <w:rFonts w:cstheme="minorHAnsi"/>
          <w:sz w:val="28"/>
          <w:szCs w:val="28"/>
        </w:rPr>
        <w:t>Whereas onshore and offshore enrolment shares accounted for 10% and 7% of all students enrolled o</w:t>
      </w:r>
      <w:r>
        <w:rPr>
          <w:rFonts w:cstheme="minorHAnsi"/>
          <w:sz w:val="28"/>
          <w:szCs w:val="28"/>
        </w:rPr>
        <w:t>n university courses in 1996/97</w:t>
      </w:r>
      <w:r w:rsidRPr="00F83903">
        <w:rPr>
          <w:rFonts w:cstheme="minorHAnsi"/>
          <w:sz w:val="28"/>
          <w:szCs w:val="28"/>
        </w:rPr>
        <w:t>, this had narrowed to 16% and 15% respectively in 2016/17.</w:t>
      </w:r>
    </w:p>
    <w:p w14:paraId="470AEA6E" w14:textId="77777777" w:rsidR="0074489B" w:rsidRDefault="0074489B" w:rsidP="00A05B02">
      <w:pPr>
        <w:widowControl w:val="0"/>
        <w:jc w:val="both"/>
        <w:rPr>
          <w:rFonts w:cstheme="minorHAnsi"/>
          <w:sz w:val="28"/>
          <w:szCs w:val="28"/>
        </w:rPr>
      </w:pPr>
    </w:p>
    <w:p w14:paraId="4B1CADDE" w14:textId="77777777" w:rsidR="00A05B02" w:rsidRDefault="00A05B02" w:rsidP="00A05B02">
      <w:pPr>
        <w:pStyle w:val="ListParagraph"/>
        <w:widowControl w:val="0"/>
        <w:numPr>
          <w:ilvl w:val="0"/>
          <w:numId w:val="10"/>
        </w:numPr>
        <w:jc w:val="both"/>
        <w:rPr>
          <w:rFonts w:cstheme="minorHAnsi"/>
          <w:b/>
          <w:sz w:val="28"/>
          <w:szCs w:val="28"/>
        </w:rPr>
      </w:pPr>
      <w:r w:rsidRPr="00DF112A">
        <w:rPr>
          <w:rFonts w:cstheme="minorHAnsi"/>
          <w:b/>
          <w:sz w:val="28"/>
          <w:szCs w:val="28"/>
        </w:rPr>
        <w:t>FINANCIAL RETURNS: ONSHORE OVERSEAS STUDENTS</w:t>
      </w:r>
    </w:p>
    <w:p w14:paraId="2646FF95" w14:textId="77777777" w:rsidR="00A05B02" w:rsidRPr="00DF112A" w:rsidRDefault="00A05B02" w:rsidP="00A05B02">
      <w:pPr>
        <w:widowControl w:val="0"/>
        <w:jc w:val="both"/>
        <w:rPr>
          <w:rFonts w:cstheme="minorHAnsi"/>
          <w:b/>
          <w:sz w:val="28"/>
          <w:szCs w:val="28"/>
        </w:rPr>
      </w:pPr>
      <w:r>
        <w:rPr>
          <w:rFonts w:cstheme="minorHAnsi"/>
          <w:b/>
          <w:sz w:val="28"/>
          <w:szCs w:val="28"/>
        </w:rPr>
        <w:t>4.1 Overall returns</w:t>
      </w:r>
    </w:p>
    <w:p w14:paraId="0CC7BA1E" w14:textId="2615505C" w:rsidR="00A05B02" w:rsidRPr="000672E5" w:rsidRDefault="00A05B02" w:rsidP="00A05B02">
      <w:pPr>
        <w:widowControl w:val="0"/>
        <w:jc w:val="both"/>
        <w:rPr>
          <w:rFonts w:cstheme="minorHAnsi"/>
          <w:sz w:val="28"/>
          <w:szCs w:val="28"/>
        </w:rPr>
      </w:pPr>
      <w:r w:rsidRPr="000672E5">
        <w:rPr>
          <w:rFonts w:cstheme="minorHAnsi"/>
          <w:sz w:val="28"/>
          <w:szCs w:val="28"/>
        </w:rPr>
        <w:t xml:space="preserve">The income generated from the increasing number of </w:t>
      </w:r>
      <w:r>
        <w:rPr>
          <w:rFonts w:cstheme="minorHAnsi"/>
          <w:sz w:val="28"/>
          <w:szCs w:val="28"/>
        </w:rPr>
        <w:t xml:space="preserve">onshore </w:t>
      </w:r>
      <w:r w:rsidRPr="000672E5">
        <w:rPr>
          <w:rFonts w:cstheme="minorHAnsi"/>
          <w:sz w:val="28"/>
          <w:szCs w:val="28"/>
        </w:rPr>
        <w:t xml:space="preserve">overseas students studying at UK universities has become critical for the overall financial viability and sustainability for the higher education sector as a whole. </w:t>
      </w:r>
      <w:r>
        <w:rPr>
          <w:rFonts w:cstheme="minorHAnsi"/>
          <w:sz w:val="28"/>
          <w:szCs w:val="28"/>
        </w:rPr>
        <w:t>T</w:t>
      </w:r>
      <w:r w:rsidRPr="000672E5">
        <w:rPr>
          <w:rFonts w:cstheme="minorHAnsi"/>
          <w:sz w:val="28"/>
          <w:szCs w:val="28"/>
        </w:rPr>
        <w:t>he degree of financial dependence on overseas student fees varies considerably between individual universities, but, in 2016/17, overseas student fee income of £5.5 billion amounted to almost one-half of UK student fee income of £11.3 billion. Overseas student fee income has grown nearly tenfold since the mid-1990s as indeed have UK home fees. In England, overseas fees increased from 5% of total university income in 1996/97 to 16.4% in 2016/17. The corresponding increase for England home student fees is from 12% to 34%</w:t>
      </w:r>
      <w:r w:rsidR="0074489B">
        <w:rPr>
          <w:rFonts w:cstheme="minorHAnsi"/>
          <w:sz w:val="28"/>
          <w:szCs w:val="28"/>
        </w:rPr>
        <w:t>.</w:t>
      </w:r>
      <w:r w:rsidRPr="000672E5">
        <w:rPr>
          <w:rFonts w:cstheme="minorHAnsi"/>
          <w:sz w:val="28"/>
          <w:szCs w:val="28"/>
        </w:rPr>
        <w:t xml:space="preserve">  </w:t>
      </w:r>
    </w:p>
    <w:p w14:paraId="653BD335" w14:textId="03E842A3" w:rsidR="00A05B02" w:rsidRDefault="00A05B02" w:rsidP="00A05B02">
      <w:pPr>
        <w:widowControl w:val="0"/>
        <w:jc w:val="both"/>
      </w:pPr>
      <w:r w:rsidRPr="000672E5">
        <w:rPr>
          <w:rFonts w:cstheme="minorHAnsi"/>
          <w:sz w:val="28"/>
          <w:szCs w:val="28"/>
        </w:rPr>
        <w:t xml:space="preserve">With the </w:t>
      </w:r>
      <w:r>
        <w:rPr>
          <w:rFonts w:cstheme="minorHAnsi"/>
          <w:sz w:val="28"/>
          <w:szCs w:val="28"/>
        </w:rPr>
        <w:t xml:space="preserve">very large </w:t>
      </w:r>
      <w:r w:rsidRPr="000672E5">
        <w:rPr>
          <w:rFonts w:cstheme="minorHAnsi"/>
          <w:sz w:val="28"/>
          <w:szCs w:val="28"/>
        </w:rPr>
        <w:t>increase in UK undergraduate tuition fees, the non-EU-UK student fee differential has narrowed considerably during the last 20 years. However, in 2016/17, the average non-EU student tuition f</w:t>
      </w:r>
      <w:r>
        <w:rPr>
          <w:rFonts w:cstheme="minorHAnsi"/>
          <w:sz w:val="28"/>
          <w:szCs w:val="28"/>
        </w:rPr>
        <w:t xml:space="preserve">ee income of £15,200 </w:t>
      </w:r>
      <w:r w:rsidRPr="00637CBE">
        <w:rPr>
          <w:rFonts w:cstheme="minorHAnsi"/>
          <w:sz w:val="28"/>
          <w:szCs w:val="28"/>
        </w:rPr>
        <w:t>was still nearly three times higher than the a</w:t>
      </w:r>
      <w:r>
        <w:rPr>
          <w:rFonts w:cstheme="minorHAnsi"/>
          <w:sz w:val="28"/>
          <w:szCs w:val="28"/>
        </w:rPr>
        <w:t>verage UK student fee</w:t>
      </w:r>
      <w:r>
        <w:rPr>
          <w:rStyle w:val="FootnoteReference"/>
          <w:rFonts w:cstheme="minorHAnsi"/>
          <w:sz w:val="28"/>
          <w:szCs w:val="28"/>
        </w:rPr>
        <w:footnoteReference w:id="2"/>
      </w:r>
      <w:r>
        <w:rPr>
          <w:rFonts w:cstheme="minorHAnsi"/>
          <w:sz w:val="28"/>
          <w:szCs w:val="28"/>
        </w:rPr>
        <w:t>.</w:t>
      </w:r>
    </w:p>
    <w:p w14:paraId="43228EF1" w14:textId="77777777" w:rsidR="00A05B02" w:rsidRDefault="00A05B02" w:rsidP="00A05B02">
      <w:pPr>
        <w:widowControl w:val="0"/>
        <w:jc w:val="both"/>
        <w:rPr>
          <w:rFonts w:cstheme="minorHAnsi"/>
          <w:b/>
          <w:sz w:val="28"/>
          <w:szCs w:val="28"/>
        </w:rPr>
      </w:pPr>
      <w:r>
        <w:rPr>
          <w:rFonts w:cstheme="minorHAnsi"/>
          <w:b/>
          <w:sz w:val="28"/>
          <w:szCs w:val="28"/>
        </w:rPr>
        <w:lastRenderedPageBreak/>
        <w:t xml:space="preserve">4.2 </w:t>
      </w:r>
      <w:r w:rsidRPr="000672E5">
        <w:rPr>
          <w:rFonts w:cstheme="minorHAnsi"/>
          <w:b/>
          <w:sz w:val="28"/>
          <w:szCs w:val="28"/>
        </w:rPr>
        <w:t>Country and university variations</w:t>
      </w:r>
    </w:p>
    <w:p w14:paraId="1FD2829A" w14:textId="516186B5" w:rsidR="00A05B02" w:rsidRPr="000672E5" w:rsidRDefault="00A05B02" w:rsidP="00A05B02">
      <w:pPr>
        <w:widowControl w:val="0"/>
        <w:jc w:val="both"/>
        <w:rPr>
          <w:rFonts w:cstheme="minorHAnsi"/>
          <w:sz w:val="28"/>
          <w:szCs w:val="28"/>
        </w:rPr>
      </w:pPr>
      <w:r w:rsidRPr="000672E5">
        <w:rPr>
          <w:rFonts w:cstheme="minorHAnsi"/>
          <w:sz w:val="28"/>
          <w:szCs w:val="28"/>
        </w:rPr>
        <w:t>The relative importance of overseas student fees varies markedly both with respect to country, university category, and individual universities. Given low home fee levels in Scotland, overseas student fee income expressed as percentage of home fee income is relatively much high</w:t>
      </w:r>
      <w:r w:rsidR="00442391">
        <w:rPr>
          <w:rFonts w:cstheme="minorHAnsi"/>
          <w:sz w:val="28"/>
          <w:szCs w:val="28"/>
        </w:rPr>
        <w:t>er than in England</w:t>
      </w:r>
      <w:r w:rsidRPr="000672E5">
        <w:rPr>
          <w:rFonts w:cstheme="minorHAnsi"/>
          <w:sz w:val="28"/>
          <w:szCs w:val="28"/>
        </w:rPr>
        <w:t xml:space="preserve">.  </w:t>
      </w:r>
    </w:p>
    <w:p w14:paraId="2E88D423" w14:textId="1AB89631" w:rsidR="00A05B02" w:rsidRDefault="00A05B02" w:rsidP="00A05B02">
      <w:pPr>
        <w:widowControl w:val="0"/>
        <w:jc w:val="both"/>
        <w:rPr>
          <w:rFonts w:cstheme="minorHAnsi"/>
          <w:sz w:val="28"/>
          <w:szCs w:val="28"/>
        </w:rPr>
      </w:pPr>
      <w:r w:rsidRPr="000672E5">
        <w:rPr>
          <w:rFonts w:cstheme="minorHAnsi"/>
          <w:sz w:val="28"/>
          <w:szCs w:val="28"/>
        </w:rPr>
        <w:t>There is a strong negative relationship between a university’s degree of dependence on overseas student fee inco</w:t>
      </w:r>
      <w:r w:rsidR="00442391">
        <w:rPr>
          <w:rFonts w:cstheme="minorHAnsi"/>
          <w:sz w:val="28"/>
          <w:szCs w:val="28"/>
        </w:rPr>
        <w:t>me and its ranking (see figure 1</w:t>
      </w:r>
      <w:r w:rsidRPr="000672E5">
        <w:rPr>
          <w:rFonts w:cstheme="minorHAnsi"/>
          <w:sz w:val="28"/>
          <w:szCs w:val="28"/>
        </w:rPr>
        <w:t>). At the highest ranked universities, total overseas fee income (expressed as a percentage of UK fee income) is typically well above 30% compared to less than 10% at the lowest ranked universities. Almost all the ex-polytechnic universities have overseas student income shares of less than 20% whereas the foreign income share at 80% of the ancient and redbrick unive</w:t>
      </w:r>
      <w:r>
        <w:rPr>
          <w:rFonts w:cstheme="minorHAnsi"/>
          <w:sz w:val="28"/>
          <w:szCs w:val="28"/>
        </w:rPr>
        <w:t>rsities</w:t>
      </w:r>
      <w:r w:rsidR="00442391">
        <w:rPr>
          <w:rFonts w:cstheme="minorHAnsi"/>
          <w:sz w:val="28"/>
          <w:szCs w:val="28"/>
        </w:rPr>
        <w:t xml:space="preserve"> is over 30% (see table 1)</w:t>
      </w:r>
      <w:r w:rsidRPr="000672E5">
        <w:rPr>
          <w:rFonts w:cstheme="minorHAnsi"/>
          <w:sz w:val="28"/>
          <w:szCs w:val="28"/>
        </w:rPr>
        <w:t xml:space="preserve">.   The relative profitability of overseas students (i.e. the ratio of average fee income/student for overseas and UK students) and the enrolment share of overseas students (as a percentage of UK students) are </w:t>
      </w:r>
      <w:r w:rsidR="00B75C91">
        <w:rPr>
          <w:rFonts w:cstheme="minorHAnsi"/>
          <w:sz w:val="28"/>
          <w:szCs w:val="28"/>
        </w:rPr>
        <w:t xml:space="preserve">also </w:t>
      </w:r>
      <w:r w:rsidRPr="000672E5">
        <w:rPr>
          <w:rFonts w:cstheme="minorHAnsi"/>
          <w:sz w:val="28"/>
          <w:szCs w:val="28"/>
        </w:rPr>
        <w:t xml:space="preserve">both </w:t>
      </w:r>
      <w:r>
        <w:rPr>
          <w:rFonts w:cstheme="minorHAnsi"/>
          <w:sz w:val="28"/>
          <w:szCs w:val="28"/>
        </w:rPr>
        <w:t xml:space="preserve">quite </w:t>
      </w:r>
      <w:r w:rsidRPr="000672E5">
        <w:rPr>
          <w:rFonts w:cstheme="minorHAnsi"/>
          <w:sz w:val="28"/>
          <w:szCs w:val="28"/>
        </w:rPr>
        <w:t>strongly correlated with</w:t>
      </w:r>
      <w:r>
        <w:rPr>
          <w:rFonts w:cstheme="minorHAnsi"/>
          <w:sz w:val="28"/>
          <w:szCs w:val="28"/>
        </w:rPr>
        <w:t xml:space="preserve"> university ran</w:t>
      </w:r>
      <w:r w:rsidR="00442391">
        <w:rPr>
          <w:rFonts w:cstheme="minorHAnsi"/>
          <w:sz w:val="28"/>
          <w:szCs w:val="28"/>
        </w:rPr>
        <w:t>king (see table 2</w:t>
      </w:r>
      <w:r w:rsidRPr="000672E5">
        <w:rPr>
          <w:rFonts w:cstheme="minorHAnsi"/>
          <w:sz w:val="28"/>
          <w:szCs w:val="28"/>
        </w:rPr>
        <w:t xml:space="preserve">). </w:t>
      </w:r>
      <w:r>
        <w:rPr>
          <w:rFonts w:cstheme="minorHAnsi"/>
          <w:sz w:val="28"/>
          <w:szCs w:val="28"/>
        </w:rPr>
        <w:t xml:space="preserve">  </w:t>
      </w:r>
    </w:p>
    <w:p w14:paraId="523F015B" w14:textId="77777777" w:rsidR="00A05B02" w:rsidRDefault="00A05B02" w:rsidP="00A05B02">
      <w:pPr>
        <w:widowControl w:val="0"/>
        <w:jc w:val="both"/>
        <w:rPr>
          <w:rFonts w:cstheme="minorHAnsi"/>
          <w:sz w:val="28"/>
          <w:szCs w:val="28"/>
        </w:rPr>
      </w:pPr>
      <w:r w:rsidRPr="000672E5">
        <w:rPr>
          <w:rFonts w:cstheme="minorHAnsi"/>
          <w:sz w:val="28"/>
          <w:szCs w:val="28"/>
        </w:rPr>
        <w:t xml:space="preserve">The high status </w:t>
      </w:r>
      <w:r>
        <w:rPr>
          <w:rFonts w:cstheme="minorHAnsi"/>
          <w:sz w:val="28"/>
          <w:szCs w:val="28"/>
        </w:rPr>
        <w:t xml:space="preserve">universities in England </w:t>
      </w:r>
      <w:r w:rsidRPr="000672E5">
        <w:rPr>
          <w:rFonts w:cstheme="minorHAnsi"/>
          <w:sz w:val="28"/>
          <w:szCs w:val="28"/>
        </w:rPr>
        <w:t>are</w:t>
      </w:r>
      <w:r>
        <w:rPr>
          <w:rFonts w:cstheme="minorHAnsi"/>
          <w:sz w:val="28"/>
          <w:szCs w:val="28"/>
        </w:rPr>
        <w:t xml:space="preserve"> </w:t>
      </w:r>
      <w:r w:rsidRPr="000672E5">
        <w:rPr>
          <w:rFonts w:cstheme="minorHAnsi"/>
          <w:sz w:val="28"/>
          <w:szCs w:val="28"/>
        </w:rPr>
        <w:t xml:space="preserve">in a win-win situation since they charge the highest fees for overseas students while, at the same time, attract the largest numbers of these students. By contrast, the predominantly ex-polytechnic universities are in a lose-lose situation since they generally charge much lower fees for overseas students but, with a few exceptions, are still unable to attract large numbers of overseas students to the UK.   </w:t>
      </w:r>
    </w:p>
    <w:p w14:paraId="5623D434" w14:textId="1A92A666" w:rsidR="00A05B02" w:rsidRPr="000672E5" w:rsidRDefault="001F1FE7" w:rsidP="00A05B02">
      <w:pPr>
        <w:widowControl w:val="0"/>
        <w:jc w:val="both"/>
        <w:rPr>
          <w:rFonts w:cstheme="minorHAnsi"/>
          <w:sz w:val="28"/>
          <w:szCs w:val="28"/>
        </w:rPr>
      </w:pPr>
      <w:r>
        <w:rPr>
          <w:rFonts w:cstheme="minorHAnsi"/>
          <w:sz w:val="28"/>
          <w:szCs w:val="28"/>
        </w:rPr>
        <w:t>One possible explanation for thi</w:t>
      </w:r>
      <w:r w:rsidR="00A05B02" w:rsidRPr="000672E5">
        <w:rPr>
          <w:rFonts w:cstheme="minorHAnsi"/>
          <w:sz w:val="28"/>
          <w:szCs w:val="28"/>
        </w:rPr>
        <w:t xml:space="preserve">s high level of internationalisation with respect to onshore overseas students is </w:t>
      </w:r>
      <w:r>
        <w:rPr>
          <w:rFonts w:cstheme="minorHAnsi"/>
          <w:sz w:val="28"/>
          <w:szCs w:val="28"/>
        </w:rPr>
        <w:t>that it is mainly the consequence of</w:t>
      </w:r>
      <w:r w:rsidR="00A05B02" w:rsidRPr="000672E5">
        <w:rPr>
          <w:rFonts w:cstheme="minorHAnsi"/>
          <w:sz w:val="28"/>
          <w:szCs w:val="28"/>
        </w:rPr>
        <w:t xml:space="preserve"> to a</w:t>
      </w:r>
      <w:r>
        <w:rPr>
          <w:rFonts w:cstheme="minorHAnsi"/>
          <w:sz w:val="28"/>
          <w:szCs w:val="28"/>
        </w:rPr>
        <w:t>n essentially</w:t>
      </w:r>
      <w:r w:rsidR="00A05B02" w:rsidRPr="000672E5">
        <w:rPr>
          <w:rFonts w:cstheme="minorHAnsi"/>
          <w:sz w:val="28"/>
          <w:szCs w:val="28"/>
        </w:rPr>
        <w:t xml:space="preserve"> parochial, pragmatic response of universities to the withdrawal of UK </w:t>
      </w:r>
      <w:r w:rsidR="00A05B02">
        <w:rPr>
          <w:rFonts w:cstheme="minorHAnsi"/>
          <w:sz w:val="28"/>
          <w:szCs w:val="28"/>
        </w:rPr>
        <w:t xml:space="preserve">central </w:t>
      </w:r>
      <w:r w:rsidR="00A05B02" w:rsidRPr="000672E5">
        <w:rPr>
          <w:rFonts w:cstheme="minorHAnsi"/>
          <w:sz w:val="28"/>
          <w:szCs w:val="28"/>
        </w:rPr>
        <w:t>government funding coupled with the impact of very sizeable UK home student</w:t>
      </w:r>
      <w:r>
        <w:rPr>
          <w:rFonts w:cstheme="minorHAnsi"/>
          <w:sz w:val="28"/>
          <w:szCs w:val="28"/>
        </w:rPr>
        <w:t xml:space="preserve">. However, most expert commentators regard this high level of internationalisation as </w:t>
      </w:r>
      <w:r w:rsidR="00A05B02" w:rsidRPr="000672E5">
        <w:rPr>
          <w:rFonts w:cstheme="minorHAnsi"/>
          <w:sz w:val="28"/>
          <w:szCs w:val="28"/>
        </w:rPr>
        <w:t>the unfolding of a much longer</w:t>
      </w:r>
      <w:r>
        <w:rPr>
          <w:rFonts w:cstheme="minorHAnsi"/>
          <w:sz w:val="28"/>
          <w:szCs w:val="28"/>
        </w:rPr>
        <w:t>-term</w:t>
      </w:r>
      <w:r w:rsidR="00A05B02" w:rsidRPr="000672E5">
        <w:rPr>
          <w:rFonts w:cstheme="minorHAnsi"/>
          <w:sz w:val="28"/>
          <w:szCs w:val="28"/>
        </w:rPr>
        <w:t xml:space="preserve">, more profoundly significant historical and irreversible process of student internationalisation linked to the globalisation of higher education as a whole. The evidence from Scotland, where home student fees remain low and government central funding is still high, suggests that universities are </w:t>
      </w:r>
      <w:r w:rsidR="00A05B02">
        <w:rPr>
          <w:rFonts w:cstheme="minorHAnsi"/>
          <w:sz w:val="28"/>
          <w:szCs w:val="28"/>
        </w:rPr>
        <w:t xml:space="preserve">still </w:t>
      </w:r>
      <w:r w:rsidR="00A05B02" w:rsidRPr="000672E5">
        <w:rPr>
          <w:rFonts w:cstheme="minorHAnsi"/>
          <w:sz w:val="28"/>
          <w:szCs w:val="28"/>
        </w:rPr>
        <w:t xml:space="preserve">strongly committed to increasing overseas student enrolments as a part of a long term strategic goal of strategic </w:t>
      </w:r>
      <w:r w:rsidR="00A05B02" w:rsidRPr="000672E5">
        <w:rPr>
          <w:rFonts w:cstheme="minorHAnsi"/>
          <w:sz w:val="28"/>
          <w:szCs w:val="28"/>
        </w:rPr>
        <w:lastRenderedPageBreak/>
        <w:t xml:space="preserve">global engagement. Income diversification is certainly part of this process of global engagement but </w:t>
      </w:r>
      <w:r w:rsidR="0074489B">
        <w:rPr>
          <w:rFonts w:cstheme="minorHAnsi"/>
          <w:sz w:val="28"/>
          <w:szCs w:val="28"/>
        </w:rPr>
        <w:t xml:space="preserve">the </w:t>
      </w:r>
      <w:r w:rsidR="00A05B02" w:rsidRPr="000672E5">
        <w:rPr>
          <w:rFonts w:cstheme="minorHAnsi"/>
          <w:sz w:val="28"/>
          <w:szCs w:val="28"/>
        </w:rPr>
        <w:t xml:space="preserve">desire to internationalise the university’s activities as a whole is clearly apparent. Any </w:t>
      </w:r>
      <w:r w:rsidR="00A05B02">
        <w:rPr>
          <w:rFonts w:cstheme="minorHAnsi"/>
          <w:sz w:val="28"/>
          <w:szCs w:val="28"/>
        </w:rPr>
        <w:t xml:space="preserve">significant </w:t>
      </w:r>
      <w:r w:rsidR="00A05B02" w:rsidRPr="000672E5">
        <w:rPr>
          <w:rFonts w:cstheme="minorHAnsi"/>
          <w:sz w:val="28"/>
          <w:szCs w:val="28"/>
        </w:rPr>
        <w:t xml:space="preserve">reduction in home student fees (as promised by the Labour Party) would also provide a powerful test </w:t>
      </w:r>
      <w:r w:rsidR="00A05B02">
        <w:rPr>
          <w:rFonts w:cstheme="minorHAnsi"/>
          <w:sz w:val="28"/>
          <w:szCs w:val="28"/>
        </w:rPr>
        <w:t>of the commitment of</w:t>
      </w:r>
      <w:r w:rsidR="00A05B02" w:rsidRPr="000672E5">
        <w:rPr>
          <w:rFonts w:cstheme="minorHAnsi"/>
          <w:sz w:val="28"/>
          <w:szCs w:val="28"/>
        </w:rPr>
        <w:t xml:space="preserve"> British universities to continue to recruit such large numbers of foreign students.     </w:t>
      </w:r>
    </w:p>
    <w:p w14:paraId="3790A80E" w14:textId="77777777" w:rsidR="00A05B02" w:rsidRDefault="00A05B02" w:rsidP="00A05B02">
      <w:pPr>
        <w:widowControl w:val="0"/>
        <w:jc w:val="both"/>
        <w:rPr>
          <w:rFonts w:cstheme="minorHAnsi"/>
          <w:sz w:val="28"/>
          <w:szCs w:val="28"/>
        </w:rPr>
      </w:pPr>
      <w:r w:rsidRPr="000672E5">
        <w:rPr>
          <w:rFonts w:cstheme="minorHAnsi"/>
          <w:sz w:val="28"/>
          <w:szCs w:val="28"/>
        </w:rPr>
        <w:t xml:space="preserve">It is interesting to note that the recently published report by the </w:t>
      </w:r>
      <w:r>
        <w:rPr>
          <w:rFonts w:cstheme="minorHAnsi"/>
          <w:sz w:val="28"/>
          <w:szCs w:val="28"/>
        </w:rPr>
        <w:t xml:space="preserve">UK </w:t>
      </w:r>
      <w:r w:rsidRPr="000672E5">
        <w:rPr>
          <w:rFonts w:cstheme="minorHAnsi"/>
          <w:sz w:val="28"/>
          <w:szCs w:val="28"/>
        </w:rPr>
        <w:t>Migration Advisory Committee on the ‘Impact of international students in the UK’, which was commissioned by the UK government, fails to recognise the financial importance of overseas students to the UK university sector. The report’s analysis of the ‘financial impact (of overseas students) on institutions’ is limited to just one pag</w:t>
      </w:r>
      <w:r>
        <w:rPr>
          <w:rFonts w:cstheme="minorHAnsi"/>
          <w:sz w:val="28"/>
          <w:szCs w:val="28"/>
        </w:rPr>
        <w:t xml:space="preserve">e and is, therefore, rather </w:t>
      </w:r>
      <w:r w:rsidRPr="000672E5">
        <w:rPr>
          <w:rFonts w:cstheme="minorHAnsi"/>
          <w:sz w:val="28"/>
          <w:szCs w:val="28"/>
        </w:rPr>
        <w:t xml:space="preserve">superficial. The report’s key recommendation not to </w:t>
      </w:r>
      <w:r>
        <w:rPr>
          <w:rFonts w:cstheme="minorHAnsi"/>
          <w:sz w:val="28"/>
          <w:szCs w:val="28"/>
        </w:rPr>
        <w:t xml:space="preserve">relax </w:t>
      </w:r>
      <w:r w:rsidRPr="000672E5">
        <w:rPr>
          <w:rFonts w:cstheme="minorHAnsi"/>
          <w:sz w:val="28"/>
          <w:szCs w:val="28"/>
        </w:rPr>
        <w:t xml:space="preserve">significantly immigration controls on overseas students, in particular by no longer including them in the government’s overall immigration quotas, is due in part to this </w:t>
      </w:r>
      <w:r>
        <w:rPr>
          <w:rFonts w:cstheme="minorHAnsi"/>
          <w:sz w:val="28"/>
          <w:szCs w:val="28"/>
        </w:rPr>
        <w:t>shortcoming in recognising</w:t>
      </w:r>
      <w:r w:rsidRPr="000672E5">
        <w:rPr>
          <w:rFonts w:cstheme="minorHAnsi"/>
          <w:sz w:val="28"/>
          <w:szCs w:val="28"/>
        </w:rPr>
        <w:t xml:space="preserve"> the financial significance of the overseas students for the UK university sector.       </w:t>
      </w:r>
    </w:p>
    <w:p w14:paraId="518E96A8" w14:textId="77777777" w:rsidR="007E5111" w:rsidRDefault="007E5111" w:rsidP="00A05B02">
      <w:pPr>
        <w:widowControl w:val="0"/>
        <w:rPr>
          <w:rFonts w:cstheme="minorHAnsi"/>
          <w:b/>
          <w:sz w:val="28"/>
          <w:szCs w:val="28"/>
        </w:rPr>
      </w:pPr>
    </w:p>
    <w:p w14:paraId="438C00C5" w14:textId="77777777" w:rsidR="00A05B02" w:rsidRPr="000672E5" w:rsidRDefault="00A05B02" w:rsidP="00A05B02">
      <w:pPr>
        <w:widowControl w:val="0"/>
        <w:rPr>
          <w:rFonts w:cstheme="minorHAnsi"/>
          <w:b/>
          <w:sz w:val="28"/>
          <w:szCs w:val="28"/>
        </w:rPr>
      </w:pPr>
      <w:r>
        <w:rPr>
          <w:rFonts w:cstheme="minorHAnsi"/>
          <w:b/>
          <w:sz w:val="28"/>
          <w:szCs w:val="28"/>
        </w:rPr>
        <w:t>5.</w:t>
      </w:r>
      <w:r w:rsidRPr="000672E5">
        <w:rPr>
          <w:rFonts w:cstheme="minorHAnsi"/>
          <w:b/>
          <w:sz w:val="28"/>
          <w:szCs w:val="28"/>
        </w:rPr>
        <w:t xml:space="preserve"> </w:t>
      </w:r>
      <w:r>
        <w:rPr>
          <w:rFonts w:cstheme="minorHAnsi"/>
          <w:b/>
          <w:sz w:val="28"/>
          <w:szCs w:val="28"/>
        </w:rPr>
        <w:t xml:space="preserve">FINANCIAL RETURNS: </w:t>
      </w:r>
      <w:r w:rsidRPr="000672E5">
        <w:rPr>
          <w:rFonts w:cstheme="minorHAnsi"/>
          <w:b/>
          <w:sz w:val="28"/>
          <w:szCs w:val="28"/>
        </w:rPr>
        <w:t>OFFSHORE STUDENTS</w:t>
      </w:r>
    </w:p>
    <w:p w14:paraId="6D065DAE" w14:textId="77777777" w:rsidR="00A05B02" w:rsidRPr="000672E5" w:rsidRDefault="00A05B02" w:rsidP="00A05B02">
      <w:pPr>
        <w:widowControl w:val="0"/>
        <w:jc w:val="both"/>
        <w:rPr>
          <w:rFonts w:cstheme="minorHAnsi"/>
          <w:b/>
          <w:sz w:val="28"/>
          <w:szCs w:val="28"/>
        </w:rPr>
      </w:pPr>
      <w:r>
        <w:rPr>
          <w:rFonts w:cstheme="minorHAnsi"/>
          <w:b/>
          <w:sz w:val="28"/>
          <w:szCs w:val="28"/>
        </w:rPr>
        <w:t xml:space="preserve">5.1 </w:t>
      </w:r>
      <w:r w:rsidRPr="000672E5">
        <w:rPr>
          <w:rFonts w:cstheme="minorHAnsi"/>
          <w:b/>
          <w:sz w:val="28"/>
          <w:szCs w:val="28"/>
        </w:rPr>
        <w:t>Overseas partnerships</w:t>
      </w:r>
    </w:p>
    <w:p w14:paraId="2844CD6E" w14:textId="568811E3" w:rsidR="00A05B02" w:rsidRPr="000672E5" w:rsidRDefault="00A05B02" w:rsidP="00A05B02">
      <w:pPr>
        <w:widowControl w:val="0"/>
        <w:jc w:val="both"/>
        <w:rPr>
          <w:rFonts w:cstheme="minorHAnsi"/>
          <w:sz w:val="28"/>
          <w:szCs w:val="28"/>
        </w:rPr>
      </w:pPr>
      <w:r w:rsidRPr="000672E5">
        <w:rPr>
          <w:rFonts w:cstheme="minorHAnsi"/>
          <w:b/>
          <w:sz w:val="28"/>
          <w:szCs w:val="28"/>
        </w:rPr>
        <w:t>Theoretical issues</w:t>
      </w:r>
      <w:r w:rsidRPr="000672E5">
        <w:rPr>
          <w:rFonts w:cstheme="minorHAnsi"/>
          <w:sz w:val="28"/>
          <w:szCs w:val="28"/>
        </w:rPr>
        <w:t xml:space="preserve">: The resource intensity of the inputs expended by a university along with the level of income generated by overseas </w:t>
      </w:r>
      <w:r w:rsidR="001F1FE7">
        <w:rPr>
          <w:rFonts w:cstheme="minorHAnsi"/>
          <w:sz w:val="28"/>
          <w:szCs w:val="28"/>
        </w:rPr>
        <w:t xml:space="preserve">teaching </w:t>
      </w:r>
      <w:r w:rsidRPr="000672E5">
        <w:rPr>
          <w:rFonts w:cstheme="minorHAnsi"/>
          <w:sz w:val="28"/>
          <w:szCs w:val="28"/>
        </w:rPr>
        <w:t xml:space="preserve">partnerships are </w:t>
      </w:r>
      <w:r w:rsidR="0074489B">
        <w:rPr>
          <w:rFonts w:cstheme="minorHAnsi"/>
          <w:sz w:val="28"/>
          <w:szCs w:val="28"/>
        </w:rPr>
        <w:t xml:space="preserve">the </w:t>
      </w:r>
      <w:r w:rsidRPr="000672E5">
        <w:rPr>
          <w:rFonts w:cstheme="minorHAnsi"/>
          <w:sz w:val="28"/>
          <w:szCs w:val="28"/>
        </w:rPr>
        <w:t>two key factors in explaining the underlying economics of offshore partnerships. Where the UK university inputs are relatively low, the income earned from the partnership is essentially a form of rent. This is especially the case with high-enrolment validat</w:t>
      </w:r>
      <w:r w:rsidR="001F1FE7">
        <w:rPr>
          <w:rFonts w:cstheme="minorHAnsi"/>
          <w:sz w:val="28"/>
          <w:szCs w:val="28"/>
        </w:rPr>
        <w:t>ion</w:t>
      </w:r>
      <w:r w:rsidRPr="000672E5">
        <w:rPr>
          <w:rFonts w:cstheme="minorHAnsi"/>
          <w:sz w:val="28"/>
          <w:szCs w:val="28"/>
        </w:rPr>
        <w:t xml:space="preserve"> and</w:t>
      </w:r>
      <w:r w:rsidR="001F1FE7">
        <w:rPr>
          <w:rFonts w:cstheme="minorHAnsi"/>
          <w:sz w:val="28"/>
          <w:szCs w:val="28"/>
        </w:rPr>
        <w:t>, to a lesser, extent franchise</w:t>
      </w:r>
      <w:r w:rsidRPr="000672E5">
        <w:rPr>
          <w:rFonts w:cstheme="minorHAnsi"/>
          <w:sz w:val="28"/>
          <w:szCs w:val="28"/>
        </w:rPr>
        <w:t xml:space="preserve">, courses. At the other extreme, fully collaborative partnerships typically involve relatively high inputs </w:t>
      </w:r>
      <w:r w:rsidR="0074489B">
        <w:rPr>
          <w:rFonts w:cstheme="minorHAnsi"/>
          <w:sz w:val="28"/>
          <w:szCs w:val="28"/>
        </w:rPr>
        <w:t>(</w:t>
      </w:r>
      <w:r w:rsidRPr="000672E5">
        <w:rPr>
          <w:rFonts w:cstheme="minorHAnsi"/>
          <w:sz w:val="28"/>
          <w:szCs w:val="28"/>
        </w:rPr>
        <w:t xml:space="preserve">especially of expensive </w:t>
      </w:r>
      <w:r w:rsidR="0074489B">
        <w:rPr>
          <w:rFonts w:cstheme="minorHAnsi"/>
          <w:sz w:val="28"/>
          <w:szCs w:val="28"/>
        </w:rPr>
        <w:t>‘</w:t>
      </w:r>
      <w:r w:rsidRPr="000672E5">
        <w:rPr>
          <w:rFonts w:cstheme="minorHAnsi"/>
          <w:sz w:val="28"/>
          <w:szCs w:val="28"/>
        </w:rPr>
        <w:t>fly-in-faculty</w:t>
      </w:r>
      <w:r w:rsidR="0074489B">
        <w:rPr>
          <w:rFonts w:cstheme="minorHAnsi"/>
          <w:sz w:val="28"/>
          <w:szCs w:val="28"/>
        </w:rPr>
        <w:t>’)</w:t>
      </w:r>
      <w:r w:rsidRPr="000672E5">
        <w:rPr>
          <w:rFonts w:cstheme="minorHAnsi"/>
          <w:sz w:val="28"/>
          <w:szCs w:val="28"/>
        </w:rPr>
        <w:t xml:space="preserve"> but have higher returns. The income earned from this type of partnership is a combination of pure rent and that which is earned from the provision of teaching and other support services.</w:t>
      </w:r>
    </w:p>
    <w:p w14:paraId="7289BA1E" w14:textId="06164E42" w:rsidR="00A05B02" w:rsidRDefault="00A05B02" w:rsidP="00A05B02">
      <w:pPr>
        <w:widowControl w:val="0"/>
        <w:jc w:val="both"/>
        <w:rPr>
          <w:rFonts w:cstheme="minorHAnsi"/>
          <w:sz w:val="28"/>
          <w:szCs w:val="28"/>
        </w:rPr>
      </w:pPr>
      <w:r w:rsidRPr="000672E5">
        <w:rPr>
          <w:rFonts w:cstheme="minorHAnsi"/>
          <w:sz w:val="28"/>
          <w:szCs w:val="28"/>
        </w:rPr>
        <w:t xml:space="preserve">In low-input overseas partnerships, once the validation or franchise fee per student has been negotiated, the UK partner university is effectively a price-taker with an infinitely elastic demand curve where the fee/student, (average </w:t>
      </w:r>
      <w:r w:rsidRPr="000672E5">
        <w:rPr>
          <w:rFonts w:cstheme="minorHAnsi"/>
          <w:sz w:val="28"/>
          <w:szCs w:val="28"/>
        </w:rPr>
        <w:lastRenderedPageBreak/>
        <w:t xml:space="preserve">revenue) always equals the marginal revenue earned by the last enrolled student. The fixed annual costs incurred by </w:t>
      </w:r>
      <w:r>
        <w:rPr>
          <w:rFonts w:cstheme="minorHAnsi"/>
          <w:sz w:val="28"/>
          <w:szCs w:val="28"/>
        </w:rPr>
        <w:t xml:space="preserve">a </w:t>
      </w:r>
      <w:r w:rsidRPr="000672E5">
        <w:rPr>
          <w:rFonts w:cstheme="minorHAnsi"/>
          <w:sz w:val="28"/>
          <w:szCs w:val="28"/>
        </w:rPr>
        <w:t>university in managing the overseas partnership, especially quality assurance, are usually relative</w:t>
      </w:r>
      <w:r>
        <w:rPr>
          <w:rFonts w:cstheme="minorHAnsi"/>
          <w:sz w:val="28"/>
          <w:szCs w:val="28"/>
        </w:rPr>
        <w:t>ly</w:t>
      </w:r>
      <w:r w:rsidRPr="000672E5">
        <w:rPr>
          <w:rFonts w:cstheme="minorHAnsi"/>
          <w:sz w:val="28"/>
          <w:szCs w:val="28"/>
        </w:rPr>
        <w:t xml:space="preserve"> low and marginal costs are even lower. In these supply and demand situations, marginal costs never exceed marginal revenue so even a strictly profit-maximising university would continue to allow partnership enrolments to increase indefinitely</w:t>
      </w:r>
      <w:r w:rsidR="00B75C91">
        <w:rPr>
          <w:rFonts w:cstheme="minorHAnsi"/>
          <w:sz w:val="28"/>
          <w:szCs w:val="28"/>
        </w:rPr>
        <w:t xml:space="preserve"> (see figure 2</w:t>
      </w:r>
      <w:r w:rsidRPr="000672E5">
        <w:rPr>
          <w:rFonts w:cstheme="minorHAnsi"/>
          <w:sz w:val="28"/>
          <w:szCs w:val="28"/>
        </w:rPr>
        <w:t>). Similarly, a re</w:t>
      </w:r>
      <w:r w:rsidR="001F1FE7">
        <w:rPr>
          <w:rFonts w:cstheme="minorHAnsi"/>
          <w:sz w:val="28"/>
          <w:szCs w:val="28"/>
        </w:rPr>
        <w:t>venue-</w:t>
      </w:r>
      <w:r w:rsidRPr="000672E5">
        <w:rPr>
          <w:rFonts w:cstheme="minorHAnsi"/>
          <w:sz w:val="28"/>
          <w:szCs w:val="28"/>
        </w:rPr>
        <w:t>maximising university, which is probably more typical of status-seeking not-for-profit organisations such as public universities, would never have to restrict partnership enrolments because total costs never exceed total income. This explains the strongly expansionist nature of these type of partnerships. As wi</w:t>
      </w:r>
      <w:r>
        <w:rPr>
          <w:rFonts w:cstheme="minorHAnsi"/>
          <w:sz w:val="28"/>
          <w:szCs w:val="28"/>
        </w:rPr>
        <w:t>ll be discussed below, most univ</w:t>
      </w:r>
      <w:r w:rsidRPr="000672E5">
        <w:rPr>
          <w:rFonts w:cstheme="minorHAnsi"/>
          <w:sz w:val="28"/>
          <w:szCs w:val="28"/>
        </w:rPr>
        <w:t xml:space="preserve">ersities have little idea about the total direct and imputed staff costs of their overseas partnerships and, thus, despite the rapid commercialisation of key areas of university operations during the last 10-15 years, they are a long way from behaving in the same way as a strongly cost-conscious, profit-maximising private enterprise. </w:t>
      </w:r>
    </w:p>
    <w:p w14:paraId="69BE1B28" w14:textId="7D37E420" w:rsidR="00A05B02" w:rsidRDefault="00A05B02" w:rsidP="00A05B02">
      <w:pPr>
        <w:widowControl w:val="0"/>
        <w:jc w:val="both"/>
        <w:rPr>
          <w:rFonts w:cstheme="minorHAnsi"/>
          <w:sz w:val="28"/>
          <w:szCs w:val="28"/>
        </w:rPr>
      </w:pPr>
      <w:r w:rsidRPr="000672E5">
        <w:rPr>
          <w:rFonts w:cstheme="minorHAnsi"/>
          <w:b/>
          <w:sz w:val="28"/>
          <w:szCs w:val="28"/>
        </w:rPr>
        <w:t>Gross and net returns/student</w:t>
      </w:r>
      <w:r w:rsidRPr="000672E5">
        <w:rPr>
          <w:rFonts w:cstheme="minorHAnsi"/>
          <w:sz w:val="28"/>
          <w:szCs w:val="28"/>
        </w:rPr>
        <w:t xml:space="preserve">: </w:t>
      </w:r>
      <w:r w:rsidR="001F1FE7">
        <w:rPr>
          <w:rFonts w:cstheme="minorHAnsi"/>
          <w:sz w:val="28"/>
          <w:szCs w:val="28"/>
        </w:rPr>
        <w:t>In 2015/16, t</w:t>
      </w:r>
      <w:r w:rsidRPr="000672E5">
        <w:rPr>
          <w:rFonts w:cstheme="minorHAnsi"/>
          <w:sz w:val="28"/>
          <w:szCs w:val="28"/>
        </w:rPr>
        <w:t>he median revenue/student among the 52 universit</w:t>
      </w:r>
      <w:r w:rsidR="001F1FE7">
        <w:rPr>
          <w:rFonts w:cstheme="minorHAnsi"/>
          <w:sz w:val="28"/>
          <w:szCs w:val="28"/>
        </w:rPr>
        <w:t xml:space="preserve">y respondents </w:t>
      </w:r>
      <w:r w:rsidRPr="000672E5">
        <w:rPr>
          <w:rFonts w:cstheme="minorHAnsi"/>
          <w:sz w:val="28"/>
          <w:szCs w:val="28"/>
        </w:rPr>
        <w:t xml:space="preserve">with </w:t>
      </w:r>
      <w:r w:rsidR="00C04F93">
        <w:rPr>
          <w:rFonts w:cstheme="minorHAnsi"/>
          <w:sz w:val="28"/>
          <w:szCs w:val="28"/>
        </w:rPr>
        <w:t>franchise and validat</w:t>
      </w:r>
      <w:r w:rsidR="001F1FE7">
        <w:rPr>
          <w:rFonts w:cstheme="minorHAnsi"/>
          <w:sz w:val="28"/>
          <w:szCs w:val="28"/>
        </w:rPr>
        <w:t>ion</w:t>
      </w:r>
      <w:r w:rsidR="00C04F93">
        <w:rPr>
          <w:rFonts w:cstheme="minorHAnsi"/>
          <w:sz w:val="28"/>
          <w:szCs w:val="28"/>
        </w:rPr>
        <w:t xml:space="preserve"> (</w:t>
      </w:r>
      <w:r w:rsidRPr="000672E5">
        <w:rPr>
          <w:rFonts w:cstheme="minorHAnsi"/>
          <w:sz w:val="28"/>
          <w:szCs w:val="28"/>
        </w:rPr>
        <w:t>FV</w:t>
      </w:r>
      <w:r w:rsidR="00C04F93">
        <w:rPr>
          <w:rFonts w:cstheme="minorHAnsi"/>
          <w:sz w:val="28"/>
          <w:szCs w:val="28"/>
        </w:rPr>
        <w:t>)</w:t>
      </w:r>
      <w:r w:rsidRPr="000672E5">
        <w:rPr>
          <w:rFonts w:cstheme="minorHAnsi"/>
          <w:sz w:val="28"/>
          <w:szCs w:val="28"/>
        </w:rPr>
        <w:t xml:space="preserve"> overseas courses was </w:t>
      </w:r>
      <w:r w:rsidR="00C04F93">
        <w:rPr>
          <w:rFonts w:cstheme="minorHAnsi"/>
          <w:sz w:val="28"/>
          <w:szCs w:val="28"/>
        </w:rPr>
        <w:t xml:space="preserve">only </w:t>
      </w:r>
      <w:r w:rsidRPr="000672E5">
        <w:rPr>
          <w:rFonts w:cstheme="minorHAnsi"/>
          <w:sz w:val="28"/>
          <w:szCs w:val="28"/>
        </w:rPr>
        <w:t>£636 with lower and upper quartile values of £412 and £1054 respectively. Average revenue</w:t>
      </w:r>
      <w:r w:rsidR="001F1FE7">
        <w:rPr>
          <w:rFonts w:cstheme="minorHAnsi"/>
          <w:sz w:val="28"/>
          <w:szCs w:val="28"/>
        </w:rPr>
        <w:t>/student was £710. FV</w:t>
      </w:r>
      <w:r w:rsidRPr="000672E5">
        <w:rPr>
          <w:rFonts w:cstheme="minorHAnsi"/>
          <w:sz w:val="28"/>
          <w:szCs w:val="28"/>
        </w:rPr>
        <w:t xml:space="preserve"> revenue/student is generally higher among the ex-polytechnic univer</w:t>
      </w:r>
      <w:r>
        <w:rPr>
          <w:rFonts w:cstheme="minorHAnsi"/>
          <w:sz w:val="28"/>
          <w:szCs w:val="28"/>
        </w:rPr>
        <w:t>s</w:t>
      </w:r>
      <w:r w:rsidR="00B75C91">
        <w:rPr>
          <w:rFonts w:cstheme="minorHAnsi"/>
          <w:sz w:val="28"/>
          <w:szCs w:val="28"/>
        </w:rPr>
        <w:t>ities (see table 3</w:t>
      </w:r>
      <w:r w:rsidR="003C4B90">
        <w:rPr>
          <w:rFonts w:cstheme="minorHAnsi"/>
          <w:sz w:val="28"/>
          <w:szCs w:val="28"/>
        </w:rPr>
        <w:t>)</w:t>
      </w:r>
      <w:r w:rsidRPr="000672E5">
        <w:rPr>
          <w:rFonts w:cstheme="minorHAnsi"/>
          <w:sz w:val="28"/>
          <w:szCs w:val="28"/>
        </w:rPr>
        <w:t xml:space="preserve">. </w:t>
      </w:r>
    </w:p>
    <w:p w14:paraId="7FB54B6E" w14:textId="73073869" w:rsidR="00C04F93" w:rsidRDefault="00A05B02" w:rsidP="00A05B02">
      <w:pPr>
        <w:widowControl w:val="0"/>
        <w:jc w:val="both"/>
        <w:rPr>
          <w:rFonts w:cstheme="minorHAnsi"/>
          <w:sz w:val="28"/>
          <w:szCs w:val="28"/>
        </w:rPr>
      </w:pPr>
      <w:r w:rsidRPr="000672E5">
        <w:rPr>
          <w:rFonts w:cstheme="minorHAnsi"/>
          <w:sz w:val="28"/>
          <w:szCs w:val="28"/>
        </w:rPr>
        <w:t>As a broad generalisation, universities which focus mainly on collaborative partnerships generate the highest revenue/student</w:t>
      </w:r>
      <w:r>
        <w:rPr>
          <w:rStyle w:val="FootnoteReference"/>
          <w:rFonts w:cstheme="minorHAnsi"/>
          <w:sz w:val="28"/>
          <w:szCs w:val="28"/>
        </w:rPr>
        <w:footnoteReference w:id="3"/>
      </w:r>
      <w:r w:rsidRPr="000672E5">
        <w:rPr>
          <w:rFonts w:cstheme="minorHAnsi"/>
          <w:sz w:val="28"/>
          <w:szCs w:val="28"/>
        </w:rPr>
        <w:t xml:space="preserve"> while universities which have mainly validation partn</w:t>
      </w:r>
      <w:r>
        <w:rPr>
          <w:rFonts w:cstheme="minorHAnsi"/>
          <w:sz w:val="28"/>
          <w:szCs w:val="28"/>
        </w:rPr>
        <w:t>erships have the lowest revenue</w:t>
      </w:r>
      <w:r w:rsidRPr="000672E5">
        <w:rPr>
          <w:rFonts w:cstheme="minorHAnsi"/>
          <w:sz w:val="28"/>
          <w:szCs w:val="28"/>
        </w:rPr>
        <w:t>/student. However, it is important to stress the very high dispersion of revenue/student across individual country partnerships not only between universities</w:t>
      </w:r>
      <w:r w:rsidR="007E5111">
        <w:rPr>
          <w:rFonts w:cstheme="minorHAnsi"/>
          <w:sz w:val="28"/>
          <w:szCs w:val="28"/>
        </w:rPr>
        <w:t xml:space="preserve"> (see figure 3)</w:t>
      </w:r>
      <w:r w:rsidRPr="000672E5">
        <w:rPr>
          <w:rFonts w:cstheme="minorHAnsi"/>
          <w:sz w:val="28"/>
          <w:szCs w:val="28"/>
        </w:rPr>
        <w:t xml:space="preserve"> but even within each university</w:t>
      </w:r>
      <w:r w:rsidR="00C04F93">
        <w:rPr>
          <w:rStyle w:val="FootnoteReference"/>
          <w:rFonts w:cstheme="minorHAnsi"/>
          <w:sz w:val="28"/>
          <w:szCs w:val="28"/>
        </w:rPr>
        <w:footnoteReference w:id="4"/>
      </w:r>
      <w:r w:rsidRPr="000672E5">
        <w:rPr>
          <w:rFonts w:cstheme="minorHAnsi"/>
          <w:sz w:val="28"/>
          <w:szCs w:val="28"/>
        </w:rPr>
        <w:t xml:space="preserve">. </w:t>
      </w:r>
    </w:p>
    <w:p w14:paraId="3B8FFB84" w14:textId="5A83C3FB" w:rsidR="00931AD0" w:rsidRPr="000672E5" w:rsidRDefault="00A05B02" w:rsidP="00931AD0">
      <w:pPr>
        <w:widowControl w:val="0"/>
        <w:jc w:val="both"/>
        <w:rPr>
          <w:rFonts w:cstheme="minorHAnsi"/>
          <w:sz w:val="28"/>
          <w:szCs w:val="28"/>
        </w:rPr>
      </w:pPr>
      <w:r w:rsidRPr="000672E5">
        <w:rPr>
          <w:rFonts w:cstheme="minorHAnsi"/>
          <w:sz w:val="28"/>
          <w:szCs w:val="28"/>
        </w:rPr>
        <w:lastRenderedPageBreak/>
        <w:t>A total of 32 universities provided overseas partnership expenditure data. Nineteen universities stated that this information was not collected and retrieving it would exceed the FOIA 18 hour time limit. Only one university</w:t>
      </w:r>
      <w:r w:rsidR="00931AD0">
        <w:rPr>
          <w:rFonts w:cstheme="minorHAnsi"/>
          <w:sz w:val="28"/>
          <w:szCs w:val="28"/>
        </w:rPr>
        <w:t xml:space="preserve"> </w:t>
      </w:r>
      <w:r w:rsidR="00931AD0" w:rsidRPr="000672E5">
        <w:rPr>
          <w:rFonts w:cstheme="minorHAnsi"/>
          <w:sz w:val="28"/>
          <w:szCs w:val="28"/>
        </w:rPr>
        <w:t xml:space="preserve">declined to furnish this information on the grounds that it would enable ‘commercially sensitive’ net returns to be calculated. </w:t>
      </w:r>
    </w:p>
    <w:p w14:paraId="1AE230F2" w14:textId="611FC875" w:rsidR="00C04F93" w:rsidRDefault="00931AD0" w:rsidP="00C04F93">
      <w:pPr>
        <w:widowControl w:val="0"/>
        <w:jc w:val="both"/>
        <w:rPr>
          <w:rFonts w:cstheme="minorHAnsi"/>
          <w:sz w:val="28"/>
          <w:szCs w:val="28"/>
        </w:rPr>
      </w:pPr>
      <w:r w:rsidRPr="000672E5">
        <w:rPr>
          <w:rFonts w:cstheme="minorHAnsi"/>
          <w:sz w:val="28"/>
          <w:szCs w:val="28"/>
        </w:rPr>
        <w:t>The costs of overseas partnerships are higher than would be expected from simple rent-earning. Total expenditure as a percentage of total revenue was only less than 25% for 16% of universities and was over 50% at nearly two-thi</w:t>
      </w:r>
      <w:r>
        <w:rPr>
          <w:rFonts w:cstheme="minorHAnsi"/>
          <w:sz w:val="28"/>
          <w:szCs w:val="28"/>
        </w:rPr>
        <w:t>rd</w:t>
      </w:r>
      <w:r w:rsidR="003C4B90">
        <w:rPr>
          <w:rFonts w:cstheme="minorHAnsi"/>
          <w:sz w:val="28"/>
          <w:szCs w:val="28"/>
        </w:rPr>
        <w:t xml:space="preserve">s of universities (see </w:t>
      </w:r>
      <w:r w:rsidR="00C04F93">
        <w:rPr>
          <w:rFonts w:cstheme="minorHAnsi"/>
          <w:sz w:val="28"/>
          <w:szCs w:val="28"/>
        </w:rPr>
        <w:t>table 4</w:t>
      </w:r>
      <w:r w:rsidRPr="000672E5">
        <w:rPr>
          <w:rFonts w:cstheme="minorHAnsi"/>
          <w:sz w:val="28"/>
          <w:szCs w:val="28"/>
        </w:rPr>
        <w:t xml:space="preserve">). This indicates that </w:t>
      </w:r>
      <w:r>
        <w:rPr>
          <w:rFonts w:cstheme="minorHAnsi"/>
          <w:sz w:val="28"/>
          <w:szCs w:val="28"/>
        </w:rPr>
        <w:t xml:space="preserve">a good proportion of </w:t>
      </w:r>
      <w:r w:rsidR="00C04F93" w:rsidRPr="000672E5">
        <w:rPr>
          <w:rFonts w:cstheme="minorHAnsi"/>
          <w:sz w:val="28"/>
          <w:szCs w:val="28"/>
        </w:rPr>
        <w:t xml:space="preserve">universities have to make relatively large resource commitments in order to deliver on their partnership commitments, especially when this involves teaching visits by UK faculty.     </w:t>
      </w:r>
    </w:p>
    <w:p w14:paraId="727C82BC" w14:textId="581F31E3" w:rsidR="00C04F93" w:rsidRDefault="00C04F93" w:rsidP="00C04F93">
      <w:pPr>
        <w:widowControl w:val="0"/>
        <w:jc w:val="both"/>
        <w:rPr>
          <w:rFonts w:cstheme="minorHAnsi"/>
          <w:sz w:val="28"/>
          <w:szCs w:val="28"/>
        </w:rPr>
      </w:pPr>
      <w:r w:rsidRPr="000672E5">
        <w:rPr>
          <w:rFonts w:cstheme="minorHAnsi"/>
          <w:sz w:val="28"/>
          <w:szCs w:val="28"/>
        </w:rPr>
        <w:t xml:space="preserve">Absolute net returns are </w:t>
      </w:r>
      <w:r w:rsidR="007E5111">
        <w:rPr>
          <w:rFonts w:cstheme="minorHAnsi"/>
          <w:sz w:val="28"/>
          <w:szCs w:val="28"/>
        </w:rPr>
        <w:t xml:space="preserve">generally </w:t>
      </w:r>
      <w:r w:rsidRPr="000672E5">
        <w:rPr>
          <w:rFonts w:cstheme="minorHAnsi"/>
          <w:sz w:val="28"/>
          <w:szCs w:val="28"/>
        </w:rPr>
        <w:t>low for most overseas partne</w:t>
      </w:r>
      <w:r>
        <w:rPr>
          <w:rFonts w:cstheme="minorHAnsi"/>
          <w:sz w:val="28"/>
          <w:szCs w:val="28"/>
        </w:rPr>
        <w:t>rships (see table 5</w:t>
      </w:r>
      <w:r w:rsidR="0053570D">
        <w:rPr>
          <w:rFonts w:cstheme="minorHAnsi"/>
          <w:sz w:val="28"/>
          <w:szCs w:val="28"/>
        </w:rPr>
        <w:t xml:space="preserve"> and figure 4</w:t>
      </w:r>
      <w:r w:rsidRPr="000672E5">
        <w:rPr>
          <w:rFonts w:cstheme="minorHAnsi"/>
          <w:sz w:val="28"/>
          <w:szCs w:val="28"/>
        </w:rPr>
        <w:t>). The median val</w:t>
      </w:r>
      <w:r>
        <w:rPr>
          <w:rFonts w:cstheme="minorHAnsi"/>
          <w:sz w:val="28"/>
          <w:szCs w:val="28"/>
        </w:rPr>
        <w:t>ue was</w:t>
      </w:r>
      <w:r w:rsidRPr="000672E5">
        <w:rPr>
          <w:rFonts w:cstheme="minorHAnsi"/>
          <w:sz w:val="28"/>
          <w:szCs w:val="28"/>
        </w:rPr>
        <w:t xml:space="preserve"> </w:t>
      </w:r>
      <w:r>
        <w:rPr>
          <w:rFonts w:cstheme="minorHAnsi"/>
          <w:sz w:val="28"/>
          <w:szCs w:val="28"/>
        </w:rPr>
        <w:t>only £271</w:t>
      </w:r>
      <w:r w:rsidR="001F1FE7">
        <w:rPr>
          <w:rFonts w:cstheme="minorHAnsi"/>
          <w:sz w:val="28"/>
          <w:szCs w:val="28"/>
        </w:rPr>
        <w:t xml:space="preserve"> in 2015/16. Profit</w:t>
      </w:r>
      <w:r w:rsidRPr="000672E5">
        <w:rPr>
          <w:rFonts w:cstheme="minorHAnsi"/>
          <w:sz w:val="28"/>
          <w:szCs w:val="28"/>
        </w:rPr>
        <w:t xml:space="preserve">/student was less than £200 at one-third of universities and only more than £500 per annum at 18% of universities. This is a consequence of low revenue/student coupled with relatively high expenditure per student.  Once again, though, these aggregate figures mask very large variations across partnerships </w:t>
      </w:r>
      <w:r>
        <w:rPr>
          <w:rFonts w:cstheme="minorHAnsi"/>
          <w:sz w:val="28"/>
          <w:szCs w:val="28"/>
        </w:rPr>
        <w:t xml:space="preserve">even </w:t>
      </w:r>
      <w:r w:rsidRPr="000672E5">
        <w:rPr>
          <w:rFonts w:cstheme="minorHAnsi"/>
          <w:sz w:val="28"/>
          <w:szCs w:val="28"/>
        </w:rPr>
        <w:t>within one university</w:t>
      </w:r>
      <w:r>
        <w:rPr>
          <w:rFonts w:cstheme="minorHAnsi"/>
          <w:sz w:val="28"/>
          <w:szCs w:val="28"/>
        </w:rPr>
        <w:t>.</w:t>
      </w:r>
      <w:r w:rsidRPr="000672E5">
        <w:rPr>
          <w:rFonts w:cstheme="minorHAnsi"/>
          <w:sz w:val="28"/>
          <w:szCs w:val="28"/>
        </w:rPr>
        <w:t xml:space="preserve"> </w:t>
      </w:r>
      <w:r w:rsidR="001F1FE7">
        <w:rPr>
          <w:rFonts w:cstheme="minorHAnsi"/>
          <w:sz w:val="28"/>
          <w:szCs w:val="28"/>
        </w:rPr>
        <w:t>For example, profit</w:t>
      </w:r>
      <w:r w:rsidRPr="000672E5">
        <w:rPr>
          <w:rFonts w:cstheme="minorHAnsi"/>
          <w:sz w:val="28"/>
          <w:szCs w:val="28"/>
        </w:rPr>
        <w:t xml:space="preserve">/student for the </w:t>
      </w:r>
      <w:r>
        <w:rPr>
          <w:rFonts w:cstheme="minorHAnsi"/>
          <w:sz w:val="28"/>
          <w:szCs w:val="28"/>
        </w:rPr>
        <w:t xml:space="preserve">nine </w:t>
      </w:r>
      <w:r w:rsidR="007E5111">
        <w:rPr>
          <w:rFonts w:cstheme="minorHAnsi"/>
          <w:sz w:val="28"/>
          <w:szCs w:val="28"/>
        </w:rPr>
        <w:t xml:space="preserve">main </w:t>
      </w:r>
      <w:r w:rsidRPr="000672E5">
        <w:rPr>
          <w:rFonts w:cstheme="minorHAnsi"/>
          <w:sz w:val="28"/>
          <w:szCs w:val="28"/>
        </w:rPr>
        <w:t>partnership</w:t>
      </w:r>
      <w:r>
        <w:rPr>
          <w:rFonts w:cstheme="minorHAnsi"/>
          <w:sz w:val="28"/>
          <w:szCs w:val="28"/>
        </w:rPr>
        <w:t>s</w:t>
      </w:r>
      <w:r w:rsidRPr="000672E5">
        <w:rPr>
          <w:rFonts w:cstheme="minorHAnsi"/>
          <w:sz w:val="28"/>
          <w:szCs w:val="28"/>
        </w:rPr>
        <w:t xml:space="preserve"> at Cardiff Metropolitan University ranged from </w:t>
      </w:r>
      <w:r>
        <w:rPr>
          <w:rFonts w:cstheme="minorHAnsi"/>
          <w:sz w:val="28"/>
          <w:szCs w:val="28"/>
        </w:rPr>
        <w:t>£42</w:t>
      </w:r>
      <w:r w:rsidRPr="000672E5">
        <w:rPr>
          <w:rFonts w:cstheme="minorHAnsi"/>
          <w:sz w:val="28"/>
          <w:szCs w:val="28"/>
        </w:rPr>
        <w:t xml:space="preserve"> to </w:t>
      </w:r>
      <w:r>
        <w:rPr>
          <w:rFonts w:cstheme="minorHAnsi"/>
          <w:sz w:val="28"/>
          <w:szCs w:val="28"/>
        </w:rPr>
        <w:t>£574</w:t>
      </w:r>
      <w:r w:rsidRPr="000672E5">
        <w:rPr>
          <w:rFonts w:cstheme="minorHAnsi"/>
          <w:sz w:val="28"/>
          <w:szCs w:val="28"/>
        </w:rPr>
        <w:t xml:space="preserve"> and </w:t>
      </w:r>
      <w:r>
        <w:rPr>
          <w:rFonts w:cstheme="minorHAnsi"/>
          <w:sz w:val="28"/>
          <w:szCs w:val="28"/>
        </w:rPr>
        <w:t xml:space="preserve">for </w:t>
      </w:r>
      <w:r w:rsidRPr="000672E5">
        <w:rPr>
          <w:rFonts w:cstheme="minorHAnsi"/>
          <w:sz w:val="28"/>
          <w:szCs w:val="28"/>
        </w:rPr>
        <w:t xml:space="preserve">London Metropolitan University from </w:t>
      </w:r>
      <w:r>
        <w:rPr>
          <w:rFonts w:cstheme="minorHAnsi"/>
          <w:sz w:val="28"/>
          <w:szCs w:val="28"/>
        </w:rPr>
        <w:t>£32</w:t>
      </w:r>
      <w:r w:rsidRPr="000672E5">
        <w:rPr>
          <w:rFonts w:cstheme="minorHAnsi"/>
          <w:sz w:val="28"/>
          <w:szCs w:val="28"/>
        </w:rPr>
        <w:t xml:space="preserve"> to </w:t>
      </w:r>
      <w:r>
        <w:rPr>
          <w:rFonts w:cstheme="minorHAnsi"/>
          <w:sz w:val="28"/>
          <w:szCs w:val="28"/>
        </w:rPr>
        <w:t>£463</w:t>
      </w:r>
      <w:r w:rsidRPr="000672E5">
        <w:rPr>
          <w:rFonts w:cstheme="minorHAnsi"/>
          <w:sz w:val="28"/>
          <w:szCs w:val="28"/>
        </w:rPr>
        <w:t>.</w:t>
      </w:r>
    </w:p>
    <w:p w14:paraId="2DB069CC" w14:textId="37251C5A" w:rsidR="00C04F93" w:rsidRPr="000672E5" w:rsidRDefault="00C04F93" w:rsidP="00C04F93">
      <w:pPr>
        <w:widowControl w:val="0"/>
        <w:jc w:val="both"/>
        <w:rPr>
          <w:rFonts w:cstheme="minorHAnsi"/>
          <w:sz w:val="28"/>
          <w:szCs w:val="28"/>
        </w:rPr>
      </w:pPr>
      <w:r w:rsidRPr="000672E5">
        <w:rPr>
          <w:rFonts w:cstheme="minorHAnsi"/>
          <w:sz w:val="28"/>
          <w:szCs w:val="28"/>
        </w:rPr>
        <w:t>Despite low absolute returns, the profitability of overseas partnerships is generally quite high. One-third are highly profitable with rates of return/student of over 50%, another one-third have returns of between 25-50% and the remaining one-third earn low returns (13%), just break even (9%), or have negative ra</w:t>
      </w:r>
      <w:r>
        <w:rPr>
          <w:rFonts w:cstheme="minorHAnsi"/>
          <w:sz w:val="28"/>
          <w:szCs w:val="28"/>
        </w:rPr>
        <w:t>tes of return (9%)</w:t>
      </w:r>
      <w:r w:rsidR="001F1FE7">
        <w:rPr>
          <w:rFonts w:cstheme="minorHAnsi"/>
          <w:sz w:val="28"/>
          <w:szCs w:val="28"/>
        </w:rPr>
        <w:t xml:space="preserve"> (see table 4</w:t>
      </w:r>
      <w:r w:rsidR="00FF5F00">
        <w:rPr>
          <w:rFonts w:cstheme="minorHAnsi"/>
          <w:sz w:val="28"/>
          <w:szCs w:val="28"/>
        </w:rPr>
        <w:t>)</w:t>
      </w:r>
      <w:r w:rsidRPr="000672E5">
        <w:rPr>
          <w:rFonts w:cstheme="minorHAnsi"/>
          <w:sz w:val="28"/>
          <w:szCs w:val="28"/>
        </w:rPr>
        <w:t>.</w:t>
      </w:r>
    </w:p>
    <w:p w14:paraId="63D7888E" w14:textId="77777777" w:rsidR="00C04F93" w:rsidRPr="000672E5" w:rsidRDefault="00C04F93" w:rsidP="00C04F93">
      <w:pPr>
        <w:widowControl w:val="0"/>
        <w:jc w:val="both"/>
        <w:rPr>
          <w:rFonts w:cstheme="minorHAnsi"/>
          <w:b/>
          <w:sz w:val="28"/>
          <w:szCs w:val="28"/>
        </w:rPr>
      </w:pPr>
      <w:r>
        <w:rPr>
          <w:rFonts w:cstheme="minorHAnsi"/>
          <w:b/>
          <w:sz w:val="28"/>
          <w:szCs w:val="28"/>
        </w:rPr>
        <w:t xml:space="preserve">5.2 </w:t>
      </w:r>
      <w:r w:rsidRPr="000672E5">
        <w:rPr>
          <w:rFonts w:cstheme="minorHAnsi"/>
          <w:b/>
          <w:sz w:val="28"/>
          <w:szCs w:val="28"/>
        </w:rPr>
        <w:t>Online distance learning</w:t>
      </w:r>
    </w:p>
    <w:p w14:paraId="5E9E9A6F" w14:textId="4EC3831C" w:rsidR="00C04F93" w:rsidRPr="000672E5" w:rsidRDefault="00C04F93" w:rsidP="00C04F93">
      <w:pPr>
        <w:widowControl w:val="0"/>
        <w:jc w:val="both"/>
        <w:rPr>
          <w:rFonts w:cstheme="minorHAnsi"/>
          <w:sz w:val="28"/>
          <w:szCs w:val="28"/>
        </w:rPr>
      </w:pPr>
      <w:r w:rsidRPr="000672E5">
        <w:rPr>
          <w:rFonts w:cstheme="minorHAnsi"/>
          <w:b/>
          <w:sz w:val="28"/>
          <w:szCs w:val="28"/>
        </w:rPr>
        <w:t>Theoretical issues</w:t>
      </w:r>
      <w:r w:rsidRPr="000672E5">
        <w:rPr>
          <w:rFonts w:cstheme="minorHAnsi"/>
          <w:sz w:val="28"/>
          <w:szCs w:val="28"/>
        </w:rPr>
        <w:t xml:space="preserve">: The income earned from distance learning is primarily from the delivery </w:t>
      </w:r>
      <w:r>
        <w:rPr>
          <w:rFonts w:cstheme="minorHAnsi"/>
          <w:sz w:val="28"/>
          <w:szCs w:val="28"/>
        </w:rPr>
        <w:t xml:space="preserve">of </w:t>
      </w:r>
      <w:r w:rsidRPr="000672E5">
        <w:rPr>
          <w:rFonts w:cstheme="minorHAnsi"/>
          <w:sz w:val="28"/>
          <w:szCs w:val="28"/>
        </w:rPr>
        <w:t>a specialised learning service although there is undoubtedly some element of rental income from high status providers such as London Uni</w:t>
      </w:r>
      <w:r w:rsidR="00FF5F00">
        <w:rPr>
          <w:rFonts w:cstheme="minorHAnsi"/>
          <w:sz w:val="28"/>
          <w:szCs w:val="28"/>
        </w:rPr>
        <w:t>versity. Since distance learning</w:t>
      </w:r>
      <w:r w:rsidRPr="000672E5">
        <w:rPr>
          <w:rFonts w:cstheme="minorHAnsi"/>
          <w:sz w:val="28"/>
          <w:szCs w:val="28"/>
        </w:rPr>
        <w:t xml:space="preserve"> providers provide a distinct service/product</w:t>
      </w:r>
      <w:r>
        <w:rPr>
          <w:rFonts w:cstheme="minorHAnsi"/>
          <w:sz w:val="28"/>
          <w:szCs w:val="28"/>
        </w:rPr>
        <w:t xml:space="preserve">, </w:t>
      </w:r>
      <w:r w:rsidRPr="000672E5">
        <w:rPr>
          <w:rFonts w:cstheme="minorHAnsi"/>
          <w:sz w:val="28"/>
          <w:szCs w:val="28"/>
        </w:rPr>
        <w:t xml:space="preserve">they are </w:t>
      </w:r>
      <w:r w:rsidRPr="000672E5">
        <w:rPr>
          <w:rFonts w:cstheme="minorHAnsi"/>
          <w:sz w:val="28"/>
          <w:szCs w:val="28"/>
        </w:rPr>
        <w:lastRenderedPageBreak/>
        <w:t xml:space="preserve">faced with a downward sloping demand curve. The elasticity of demand for each distance learning course depends on numerous factors including the distinctiveness and overall attractiveness of the course and the level of national and global competition, which is likely to be quite intense especially for the </w:t>
      </w:r>
      <w:r>
        <w:rPr>
          <w:rFonts w:cstheme="minorHAnsi"/>
          <w:sz w:val="28"/>
          <w:szCs w:val="28"/>
        </w:rPr>
        <w:t xml:space="preserve">ODL </w:t>
      </w:r>
      <w:r w:rsidRPr="000672E5">
        <w:rPr>
          <w:rFonts w:cstheme="minorHAnsi"/>
          <w:sz w:val="28"/>
          <w:szCs w:val="28"/>
        </w:rPr>
        <w:t>big-earners</w:t>
      </w:r>
      <w:r w:rsidR="00FF5F00">
        <w:rPr>
          <w:rFonts w:cstheme="minorHAnsi"/>
          <w:sz w:val="28"/>
          <w:szCs w:val="28"/>
        </w:rPr>
        <w:t>,</w:t>
      </w:r>
      <w:r w:rsidRPr="000672E5">
        <w:rPr>
          <w:rFonts w:cstheme="minorHAnsi"/>
          <w:sz w:val="28"/>
          <w:szCs w:val="28"/>
        </w:rPr>
        <w:t xml:space="preserve"> most notably MBAs and accounting</w:t>
      </w:r>
      <w:r>
        <w:rPr>
          <w:rFonts w:cstheme="minorHAnsi"/>
          <w:sz w:val="28"/>
          <w:szCs w:val="28"/>
        </w:rPr>
        <w:t xml:space="preserve"> degrees</w:t>
      </w:r>
      <w:r w:rsidRPr="000672E5">
        <w:rPr>
          <w:rFonts w:cstheme="minorHAnsi"/>
          <w:sz w:val="28"/>
          <w:szCs w:val="28"/>
        </w:rPr>
        <w:t>.</w:t>
      </w:r>
    </w:p>
    <w:p w14:paraId="05976EEB" w14:textId="77777777" w:rsidR="00C04F93" w:rsidRPr="000672E5" w:rsidRDefault="00C04F93" w:rsidP="00C04F93">
      <w:pPr>
        <w:widowControl w:val="0"/>
        <w:jc w:val="both"/>
        <w:rPr>
          <w:rFonts w:cstheme="minorHAnsi"/>
          <w:sz w:val="28"/>
          <w:szCs w:val="28"/>
        </w:rPr>
      </w:pPr>
      <w:r w:rsidRPr="000672E5">
        <w:rPr>
          <w:rFonts w:cstheme="minorHAnsi"/>
          <w:sz w:val="28"/>
          <w:szCs w:val="28"/>
        </w:rPr>
        <w:t>No information is available, but development/start-up fixed costs for major distance learning courses are likely to have increased appreciably during the last two decades with the growing sophistication of online learning platforms. However, with large and increasing global enrolments, average and marginal costs are likely to fall appreciably and there are unlikely to be any conventional diminishing returns which are usually associated with fixed production capacity.</w:t>
      </w:r>
    </w:p>
    <w:p w14:paraId="4F264F69" w14:textId="41740EA1" w:rsidR="00A05B02" w:rsidRDefault="00A05B02" w:rsidP="00A05B02">
      <w:pPr>
        <w:widowControl w:val="0"/>
        <w:jc w:val="both"/>
        <w:rPr>
          <w:rFonts w:cstheme="minorHAnsi"/>
          <w:sz w:val="28"/>
          <w:szCs w:val="28"/>
        </w:rPr>
      </w:pPr>
      <w:r w:rsidRPr="000672E5">
        <w:rPr>
          <w:rFonts w:cstheme="minorHAnsi"/>
          <w:sz w:val="28"/>
          <w:szCs w:val="28"/>
        </w:rPr>
        <w:t xml:space="preserve">Faced with downward sloping demand/revenue and supply/cost curves, there are definite alternative price-output combinations depending on whether the university seeks to maximise profits, revenues or enrolments (sales) (see figure </w:t>
      </w:r>
      <w:r w:rsidR="003C4B90">
        <w:rPr>
          <w:rFonts w:cstheme="minorHAnsi"/>
          <w:sz w:val="28"/>
          <w:szCs w:val="28"/>
        </w:rPr>
        <w:t>5</w:t>
      </w:r>
      <w:r w:rsidRPr="000672E5">
        <w:rPr>
          <w:rFonts w:cstheme="minorHAnsi"/>
          <w:sz w:val="28"/>
          <w:szCs w:val="28"/>
        </w:rPr>
        <w:t>). The profit-maximisation price-output point occurs when marginal cost=marginal revenue, for revenue maximisation when marginal revenue equals zero (or a minimally acceptable profit/student), and enrolment (output) maximisation when average revenue=average costs. With the necessary data, it should be possible, therefore, to establish which of these maximisation strategies a university is pursuing with regard to its distance learning activities.</w:t>
      </w:r>
    </w:p>
    <w:p w14:paraId="2D7FD93E" w14:textId="24E9B126" w:rsidR="0053570D" w:rsidRDefault="00A05B02" w:rsidP="0053570D">
      <w:pPr>
        <w:widowControl w:val="0"/>
        <w:jc w:val="both"/>
        <w:rPr>
          <w:rFonts w:cstheme="minorHAnsi"/>
          <w:sz w:val="28"/>
          <w:szCs w:val="28"/>
        </w:rPr>
      </w:pPr>
      <w:r w:rsidRPr="000672E5">
        <w:rPr>
          <w:rFonts w:cstheme="minorHAnsi"/>
          <w:b/>
          <w:sz w:val="28"/>
          <w:szCs w:val="28"/>
        </w:rPr>
        <w:t>Gross and net returns/student</w:t>
      </w:r>
      <w:r w:rsidRPr="000672E5">
        <w:rPr>
          <w:rFonts w:cstheme="minorHAnsi"/>
          <w:sz w:val="28"/>
          <w:szCs w:val="28"/>
        </w:rPr>
        <w:t>: The median revenue/student among 32 the universities which provided information on overseas distance learning courses was £1,714 with lower and upper quartile values of £1,003 and £3,323 respectively in 2015/16. Average revenue/student was £1,426. Revenue/student is generally higher among the redbrick and plate glass univer</w:t>
      </w:r>
      <w:r w:rsidR="001F1FE7">
        <w:rPr>
          <w:rFonts w:cstheme="minorHAnsi"/>
          <w:sz w:val="28"/>
          <w:szCs w:val="28"/>
        </w:rPr>
        <w:t>sities (see table 3</w:t>
      </w:r>
      <w:r w:rsidR="0053570D">
        <w:rPr>
          <w:rFonts w:cstheme="minorHAnsi"/>
          <w:sz w:val="28"/>
          <w:szCs w:val="28"/>
        </w:rPr>
        <w:t>)</w:t>
      </w:r>
      <w:r w:rsidRPr="000672E5">
        <w:rPr>
          <w:rFonts w:cstheme="minorHAnsi"/>
          <w:sz w:val="28"/>
          <w:szCs w:val="28"/>
        </w:rPr>
        <w:t>. Among the t</w:t>
      </w:r>
      <w:r>
        <w:rPr>
          <w:rFonts w:cstheme="minorHAnsi"/>
          <w:sz w:val="28"/>
          <w:szCs w:val="28"/>
        </w:rPr>
        <w:t>op 20 revenue/student earners, seven</w:t>
      </w:r>
      <w:r w:rsidRPr="000672E5">
        <w:rPr>
          <w:rFonts w:cstheme="minorHAnsi"/>
          <w:sz w:val="28"/>
          <w:szCs w:val="28"/>
        </w:rPr>
        <w:t xml:space="preserve"> were ancient/red-brick, 10 plate-glass and only four ex-polytechnics. The former group have much longer track record</w:t>
      </w:r>
      <w:r w:rsidR="001F1FE7">
        <w:rPr>
          <w:rFonts w:cstheme="minorHAnsi"/>
          <w:sz w:val="28"/>
          <w:szCs w:val="28"/>
        </w:rPr>
        <w:t>s with regard to</w:t>
      </w:r>
      <w:r w:rsidR="0053570D" w:rsidRPr="0053570D">
        <w:rPr>
          <w:rFonts w:cstheme="minorHAnsi"/>
          <w:sz w:val="28"/>
          <w:szCs w:val="28"/>
        </w:rPr>
        <w:t xml:space="preserve"> </w:t>
      </w:r>
      <w:r w:rsidR="0053570D" w:rsidRPr="000672E5">
        <w:rPr>
          <w:rFonts w:cstheme="minorHAnsi"/>
          <w:sz w:val="28"/>
          <w:szCs w:val="28"/>
        </w:rPr>
        <w:t>distance learning provision</w:t>
      </w:r>
      <w:r w:rsidR="0053570D">
        <w:rPr>
          <w:rStyle w:val="FootnoteReference"/>
          <w:rFonts w:cstheme="minorHAnsi"/>
          <w:sz w:val="28"/>
          <w:szCs w:val="28"/>
        </w:rPr>
        <w:footnoteReference w:id="5"/>
      </w:r>
      <w:r w:rsidR="0053570D" w:rsidRPr="000672E5">
        <w:rPr>
          <w:rFonts w:cstheme="minorHAnsi"/>
          <w:sz w:val="28"/>
          <w:szCs w:val="28"/>
        </w:rPr>
        <w:t xml:space="preserve"> and their relatively high international status is critically important in </w:t>
      </w:r>
      <w:r w:rsidR="001F1FE7">
        <w:rPr>
          <w:rFonts w:cstheme="minorHAnsi"/>
          <w:sz w:val="28"/>
          <w:szCs w:val="28"/>
        </w:rPr>
        <w:t xml:space="preserve">enabling them to </w:t>
      </w:r>
      <w:r w:rsidR="0053570D" w:rsidRPr="000672E5">
        <w:rPr>
          <w:rFonts w:cstheme="minorHAnsi"/>
          <w:sz w:val="28"/>
          <w:szCs w:val="28"/>
        </w:rPr>
        <w:t xml:space="preserve">recruit substantial numbers of students in generally highly competitive international distance learning markets, especially for MBA and other courses which have high tuition fees. Tuition fees for overseas distance </w:t>
      </w:r>
      <w:r w:rsidR="0053570D" w:rsidRPr="000672E5">
        <w:rPr>
          <w:rFonts w:cstheme="minorHAnsi"/>
          <w:sz w:val="28"/>
          <w:szCs w:val="28"/>
        </w:rPr>
        <w:lastRenderedPageBreak/>
        <w:t xml:space="preserve">learning courses were traditionally quite low especially courses offered by the Open University which were heavily subsidised. However, there has been a strong upward trend in tuition fees during the last decade with many courses now </w:t>
      </w:r>
      <w:r w:rsidR="0053570D">
        <w:rPr>
          <w:rFonts w:cstheme="minorHAnsi"/>
          <w:sz w:val="28"/>
          <w:szCs w:val="28"/>
        </w:rPr>
        <w:t>costing well over £10,000</w:t>
      </w:r>
      <w:r w:rsidR="0053570D" w:rsidRPr="000672E5">
        <w:rPr>
          <w:rFonts w:cstheme="minorHAnsi"/>
          <w:sz w:val="28"/>
          <w:szCs w:val="28"/>
        </w:rPr>
        <w:t xml:space="preserve">. </w:t>
      </w:r>
    </w:p>
    <w:p w14:paraId="1CBDEBBA" w14:textId="77777777" w:rsidR="0053570D" w:rsidRDefault="0053570D" w:rsidP="0053570D">
      <w:pPr>
        <w:widowControl w:val="0"/>
        <w:jc w:val="both"/>
        <w:rPr>
          <w:rFonts w:cstheme="minorHAnsi"/>
          <w:sz w:val="28"/>
          <w:szCs w:val="28"/>
        </w:rPr>
      </w:pPr>
      <w:r w:rsidRPr="000672E5">
        <w:rPr>
          <w:rFonts w:cstheme="minorHAnsi"/>
          <w:sz w:val="28"/>
          <w:szCs w:val="28"/>
        </w:rPr>
        <w:t>Overseas distance learning revenue/student at the largest provider, the University of London, ha</w:t>
      </w:r>
      <w:r>
        <w:rPr>
          <w:rFonts w:cstheme="minorHAnsi"/>
          <w:sz w:val="28"/>
          <w:szCs w:val="28"/>
        </w:rPr>
        <w:t xml:space="preserve">s increased only fairly slowly, </w:t>
      </w:r>
      <w:r w:rsidRPr="000672E5">
        <w:rPr>
          <w:rFonts w:cstheme="minorHAnsi"/>
          <w:sz w:val="28"/>
          <w:szCs w:val="28"/>
        </w:rPr>
        <w:t>from £1,055</w:t>
      </w:r>
      <w:r>
        <w:rPr>
          <w:rFonts w:cstheme="minorHAnsi"/>
          <w:sz w:val="28"/>
          <w:szCs w:val="28"/>
        </w:rPr>
        <w:t xml:space="preserve"> per student in 2012/13 to £1,320 in 2016/17</w:t>
      </w:r>
      <w:r w:rsidRPr="000672E5">
        <w:rPr>
          <w:rFonts w:cstheme="minorHAnsi"/>
          <w:sz w:val="28"/>
          <w:szCs w:val="28"/>
        </w:rPr>
        <w:t xml:space="preserve"> </w:t>
      </w:r>
      <w:r>
        <w:rPr>
          <w:rFonts w:cstheme="minorHAnsi"/>
          <w:sz w:val="28"/>
          <w:szCs w:val="28"/>
        </w:rPr>
        <w:t xml:space="preserve">while </w:t>
      </w:r>
      <w:r w:rsidRPr="000672E5">
        <w:rPr>
          <w:rFonts w:cstheme="minorHAnsi"/>
          <w:sz w:val="28"/>
          <w:szCs w:val="28"/>
        </w:rPr>
        <w:t>enrolments have remained fairly stagnant. By contrast, at the OU, (which is the second largest provider), overseas revenue/student has increased threefold during the last decade</w:t>
      </w:r>
      <w:r>
        <w:rPr>
          <w:rFonts w:cstheme="minorHAnsi"/>
          <w:sz w:val="28"/>
          <w:szCs w:val="28"/>
        </w:rPr>
        <w:t xml:space="preserve">, </w:t>
      </w:r>
      <w:r w:rsidRPr="000672E5">
        <w:rPr>
          <w:rFonts w:cstheme="minorHAnsi"/>
          <w:sz w:val="28"/>
          <w:szCs w:val="28"/>
        </w:rPr>
        <w:t xml:space="preserve">from £680 </w:t>
      </w:r>
      <w:r>
        <w:rPr>
          <w:rFonts w:cstheme="minorHAnsi"/>
          <w:sz w:val="28"/>
          <w:szCs w:val="28"/>
        </w:rPr>
        <w:t>in 2007/08 to £2,103 in 2015/16</w:t>
      </w:r>
      <w:r w:rsidRPr="000672E5">
        <w:rPr>
          <w:rFonts w:cstheme="minorHAnsi"/>
          <w:sz w:val="28"/>
          <w:szCs w:val="28"/>
        </w:rPr>
        <w:t xml:space="preserve">, </w:t>
      </w:r>
      <w:r>
        <w:rPr>
          <w:rFonts w:cstheme="minorHAnsi"/>
          <w:sz w:val="28"/>
          <w:szCs w:val="28"/>
        </w:rPr>
        <w:t xml:space="preserve">but </w:t>
      </w:r>
      <w:r w:rsidRPr="000672E5">
        <w:rPr>
          <w:rFonts w:cstheme="minorHAnsi"/>
          <w:sz w:val="28"/>
          <w:szCs w:val="28"/>
        </w:rPr>
        <w:t xml:space="preserve">its overseas </w:t>
      </w:r>
      <w:r>
        <w:rPr>
          <w:rFonts w:cstheme="minorHAnsi"/>
          <w:sz w:val="28"/>
          <w:szCs w:val="28"/>
        </w:rPr>
        <w:t xml:space="preserve">enrolments </w:t>
      </w:r>
      <w:r w:rsidRPr="000672E5">
        <w:rPr>
          <w:rFonts w:cstheme="minorHAnsi"/>
          <w:sz w:val="28"/>
          <w:szCs w:val="28"/>
        </w:rPr>
        <w:t>fell threefold during the same period</w:t>
      </w:r>
      <w:r>
        <w:rPr>
          <w:rFonts w:cstheme="minorHAnsi"/>
          <w:sz w:val="28"/>
          <w:szCs w:val="28"/>
        </w:rPr>
        <w:t>, from 26,480 to 8,370 in 2015/16</w:t>
      </w:r>
      <w:r w:rsidRPr="000672E5">
        <w:rPr>
          <w:rFonts w:cstheme="minorHAnsi"/>
          <w:sz w:val="28"/>
          <w:szCs w:val="28"/>
        </w:rPr>
        <w:t xml:space="preserve">. </w:t>
      </w:r>
      <w:r>
        <w:rPr>
          <w:rStyle w:val="FootnoteReference"/>
          <w:rFonts w:cstheme="minorHAnsi"/>
          <w:sz w:val="28"/>
          <w:szCs w:val="28"/>
        </w:rPr>
        <w:footnoteReference w:id="6"/>
      </w:r>
      <w:r>
        <w:rPr>
          <w:rFonts w:cstheme="minorHAnsi"/>
          <w:sz w:val="28"/>
          <w:szCs w:val="28"/>
        </w:rPr>
        <w:t xml:space="preserve"> </w:t>
      </w:r>
    </w:p>
    <w:p w14:paraId="3D090DFF" w14:textId="77777777" w:rsidR="0053570D" w:rsidRPr="000672E5" w:rsidRDefault="0053570D" w:rsidP="0053570D">
      <w:pPr>
        <w:widowControl w:val="0"/>
        <w:jc w:val="both"/>
        <w:rPr>
          <w:rFonts w:cstheme="minorHAnsi"/>
          <w:sz w:val="28"/>
          <w:szCs w:val="28"/>
        </w:rPr>
      </w:pPr>
      <w:r>
        <w:rPr>
          <w:rFonts w:cstheme="minorHAnsi"/>
          <w:sz w:val="28"/>
          <w:szCs w:val="28"/>
        </w:rPr>
        <w:t>T</w:t>
      </w:r>
      <w:r w:rsidRPr="000672E5">
        <w:rPr>
          <w:rFonts w:cstheme="minorHAnsi"/>
          <w:sz w:val="28"/>
          <w:szCs w:val="28"/>
        </w:rPr>
        <w:t xml:space="preserve">he growing technical complexity of developing multiple ODL courses based on multi-media virtual learning environments is likely to have led to substantial increases in development/start costs which is increasingly leading to universities with a long-term strategic commitment to ODL to outsource provision with specialist distance learning digital platform specialists. However, the costs of this outsourcing are relatively sizeable which </w:t>
      </w:r>
      <w:r>
        <w:rPr>
          <w:rFonts w:cstheme="minorHAnsi"/>
          <w:sz w:val="28"/>
          <w:szCs w:val="28"/>
        </w:rPr>
        <w:t>is likely to considerably reduce</w:t>
      </w:r>
      <w:r w:rsidRPr="000672E5">
        <w:rPr>
          <w:rFonts w:cstheme="minorHAnsi"/>
          <w:sz w:val="28"/>
          <w:szCs w:val="28"/>
        </w:rPr>
        <w:t xml:space="preserve"> the overall net financial returns to universities. </w:t>
      </w:r>
      <w:r>
        <w:rPr>
          <w:rFonts w:cstheme="minorHAnsi"/>
          <w:sz w:val="28"/>
          <w:szCs w:val="28"/>
        </w:rPr>
        <w:t xml:space="preserve">For example, </w:t>
      </w:r>
      <w:r w:rsidRPr="000672E5">
        <w:rPr>
          <w:rFonts w:cstheme="minorHAnsi"/>
          <w:sz w:val="28"/>
          <w:szCs w:val="28"/>
        </w:rPr>
        <w:t>Roehampton University</w:t>
      </w:r>
      <w:r>
        <w:rPr>
          <w:rFonts w:cstheme="minorHAnsi"/>
          <w:sz w:val="28"/>
          <w:szCs w:val="28"/>
        </w:rPr>
        <w:t xml:space="preserve">, which </w:t>
      </w:r>
      <w:r w:rsidRPr="000672E5">
        <w:rPr>
          <w:rFonts w:cstheme="minorHAnsi"/>
          <w:sz w:val="28"/>
          <w:szCs w:val="28"/>
        </w:rPr>
        <w:t xml:space="preserve">has </w:t>
      </w:r>
      <w:r>
        <w:rPr>
          <w:rFonts w:cstheme="minorHAnsi"/>
          <w:sz w:val="28"/>
          <w:szCs w:val="28"/>
        </w:rPr>
        <w:t xml:space="preserve">over 3,000 ODL students, </w:t>
      </w:r>
      <w:r w:rsidRPr="000672E5">
        <w:rPr>
          <w:rFonts w:cstheme="minorHAnsi"/>
          <w:sz w:val="28"/>
          <w:szCs w:val="28"/>
        </w:rPr>
        <w:t xml:space="preserve">reported </w:t>
      </w:r>
      <w:r>
        <w:rPr>
          <w:rFonts w:cstheme="minorHAnsi"/>
          <w:sz w:val="28"/>
          <w:szCs w:val="28"/>
        </w:rPr>
        <w:t xml:space="preserve">a </w:t>
      </w:r>
      <w:r w:rsidRPr="000672E5">
        <w:rPr>
          <w:rFonts w:cstheme="minorHAnsi"/>
          <w:sz w:val="28"/>
          <w:szCs w:val="28"/>
        </w:rPr>
        <w:t xml:space="preserve">negligible net income </w:t>
      </w:r>
      <w:r>
        <w:rPr>
          <w:rFonts w:cstheme="minorHAnsi"/>
          <w:sz w:val="28"/>
          <w:szCs w:val="28"/>
        </w:rPr>
        <w:t xml:space="preserve">of </w:t>
      </w:r>
      <w:r w:rsidRPr="000672E5">
        <w:rPr>
          <w:rFonts w:cstheme="minorHAnsi"/>
          <w:sz w:val="28"/>
          <w:szCs w:val="28"/>
        </w:rPr>
        <w:t>£1,400 in 2015/6</w:t>
      </w:r>
      <w:r>
        <w:rPr>
          <w:rFonts w:cstheme="minorHAnsi"/>
          <w:sz w:val="28"/>
          <w:szCs w:val="28"/>
        </w:rPr>
        <w:t xml:space="preserve"> from these students</w:t>
      </w:r>
      <w:r w:rsidRPr="000672E5">
        <w:rPr>
          <w:rFonts w:cstheme="minorHAnsi"/>
          <w:sz w:val="28"/>
          <w:szCs w:val="28"/>
        </w:rPr>
        <w:t xml:space="preserve">. </w:t>
      </w:r>
    </w:p>
    <w:p w14:paraId="1F6AB7CC" w14:textId="77777777" w:rsidR="0053570D" w:rsidRPr="000672E5" w:rsidRDefault="0053570D" w:rsidP="0053570D">
      <w:pPr>
        <w:widowControl w:val="0"/>
        <w:jc w:val="both"/>
        <w:rPr>
          <w:rFonts w:cstheme="minorHAnsi"/>
          <w:sz w:val="28"/>
          <w:szCs w:val="28"/>
        </w:rPr>
      </w:pPr>
      <w:r w:rsidRPr="000672E5">
        <w:rPr>
          <w:rFonts w:cstheme="minorHAnsi"/>
          <w:sz w:val="28"/>
          <w:szCs w:val="28"/>
        </w:rPr>
        <w:t xml:space="preserve">Only 14 out of 32 of the responding universities with overseas distance learning courses were able to provide information on expenditures. The main reason cited for this is that no systematic and regular efforts are made to collect expenditure for this activity especially at larger universities (most notably London and Manchester) where distance learning courses are dispersed across numerous faculties and other centres. Thus, while universities have been forced to become far more commercialised, for the large majority, this is certainly not reflected in their basic accounting procedures for distance learning with the result that most have no </w:t>
      </w:r>
      <w:r>
        <w:rPr>
          <w:rFonts w:cstheme="minorHAnsi"/>
          <w:sz w:val="28"/>
          <w:szCs w:val="28"/>
        </w:rPr>
        <w:t xml:space="preserve">clear </w:t>
      </w:r>
      <w:r w:rsidRPr="000672E5">
        <w:rPr>
          <w:rFonts w:cstheme="minorHAnsi"/>
          <w:sz w:val="28"/>
          <w:szCs w:val="28"/>
        </w:rPr>
        <w:t xml:space="preserve">idea how profitable this activity is. Moreover, without this information, it is impossible for a university to follow purposefully any kind of financial strategy (i.e. profit, revenue or enrolment maximisation).   </w:t>
      </w:r>
    </w:p>
    <w:p w14:paraId="343DB62E" w14:textId="38EA31B8" w:rsidR="001F1FE7" w:rsidRDefault="0053570D" w:rsidP="0053570D">
      <w:pPr>
        <w:widowControl w:val="0"/>
        <w:jc w:val="both"/>
        <w:rPr>
          <w:rFonts w:cstheme="minorHAnsi"/>
          <w:sz w:val="28"/>
          <w:szCs w:val="28"/>
        </w:rPr>
      </w:pPr>
      <w:r w:rsidRPr="000672E5">
        <w:rPr>
          <w:rFonts w:cstheme="minorHAnsi"/>
          <w:sz w:val="28"/>
          <w:szCs w:val="28"/>
        </w:rPr>
        <w:lastRenderedPageBreak/>
        <w:t>While expenditure/student is typically much higher in absolute terms for overseas distance learning than for oversea</w:t>
      </w:r>
      <w:r>
        <w:rPr>
          <w:rFonts w:cstheme="minorHAnsi"/>
          <w:sz w:val="28"/>
          <w:szCs w:val="28"/>
        </w:rPr>
        <w:t>s partnerships</w:t>
      </w:r>
      <w:r w:rsidRPr="000672E5">
        <w:rPr>
          <w:rFonts w:cstheme="minorHAnsi"/>
          <w:sz w:val="28"/>
          <w:szCs w:val="28"/>
        </w:rPr>
        <w:t>, nearly 60% of ODL provision was highly profitable compared to only 35% for o</w:t>
      </w:r>
      <w:r w:rsidR="00DC1667">
        <w:rPr>
          <w:rFonts w:cstheme="minorHAnsi"/>
          <w:sz w:val="28"/>
          <w:szCs w:val="28"/>
        </w:rPr>
        <w:t>verseas partnerships</w:t>
      </w:r>
      <w:r w:rsidR="001F1FE7">
        <w:rPr>
          <w:rFonts w:cstheme="minorHAnsi"/>
          <w:sz w:val="28"/>
          <w:szCs w:val="28"/>
        </w:rPr>
        <w:t xml:space="preserve"> (see tables 4 and 5)</w:t>
      </w:r>
      <w:r w:rsidRPr="000672E5">
        <w:rPr>
          <w:rFonts w:cstheme="minorHAnsi"/>
          <w:sz w:val="28"/>
          <w:szCs w:val="28"/>
        </w:rPr>
        <w:t xml:space="preserve">. </w:t>
      </w:r>
    </w:p>
    <w:p w14:paraId="5C19BD83" w14:textId="3E82BF1B" w:rsidR="0053570D" w:rsidRPr="000672E5" w:rsidRDefault="0053570D" w:rsidP="0053570D">
      <w:pPr>
        <w:widowControl w:val="0"/>
        <w:jc w:val="both"/>
        <w:rPr>
          <w:rFonts w:cstheme="minorHAnsi"/>
          <w:sz w:val="28"/>
          <w:szCs w:val="28"/>
        </w:rPr>
      </w:pPr>
      <w:r w:rsidRPr="000672E5">
        <w:rPr>
          <w:rFonts w:cstheme="minorHAnsi"/>
          <w:sz w:val="28"/>
          <w:szCs w:val="28"/>
        </w:rPr>
        <w:t xml:space="preserve">Average surplus/student for overseas distance learning in 2015/16 was over £1,000 at half of the responding universities but only 7% of the universities with overseas partnerships exceeded this figure. However, although the numbers are small, distance learning </w:t>
      </w:r>
      <w:r>
        <w:rPr>
          <w:rFonts w:cstheme="minorHAnsi"/>
          <w:sz w:val="28"/>
          <w:szCs w:val="28"/>
        </w:rPr>
        <w:t xml:space="preserve">provision </w:t>
      </w:r>
      <w:r w:rsidRPr="000672E5">
        <w:rPr>
          <w:rFonts w:cstheme="minorHAnsi"/>
          <w:sz w:val="28"/>
          <w:szCs w:val="28"/>
        </w:rPr>
        <w:t>was loss-making</w:t>
      </w:r>
      <w:r>
        <w:rPr>
          <w:rFonts w:cstheme="minorHAnsi"/>
          <w:sz w:val="28"/>
          <w:szCs w:val="28"/>
        </w:rPr>
        <w:t xml:space="preserve"> at 20% of universities</w:t>
      </w:r>
      <w:r w:rsidRPr="000672E5">
        <w:rPr>
          <w:rFonts w:cstheme="minorHAnsi"/>
          <w:sz w:val="28"/>
          <w:szCs w:val="28"/>
        </w:rPr>
        <w:t xml:space="preserve">.     </w:t>
      </w:r>
    </w:p>
    <w:p w14:paraId="62883177" w14:textId="77777777" w:rsidR="0053570D" w:rsidRPr="000672E5" w:rsidRDefault="0053570D" w:rsidP="0053570D">
      <w:pPr>
        <w:widowControl w:val="0"/>
        <w:jc w:val="both"/>
        <w:rPr>
          <w:rFonts w:cstheme="minorHAnsi"/>
          <w:b/>
          <w:sz w:val="28"/>
          <w:szCs w:val="28"/>
        </w:rPr>
      </w:pPr>
      <w:r>
        <w:rPr>
          <w:rFonts w:cstheme="minorHAnsi"/>
          <w:b/>
          <w:sz w:val="28"/>
          <w:szCs w:val="28"/>
        </w:rPr>
        <w:t xml:space="preserve">5.3 </w:t>
      </w:r>
      <w:r w:rsidRPr="000672E5">
        <w:rPr>
          <w:rFonts w:cstheme="minorHAnsi"/>
          <w:b/>
          <w:sz w:val="28"/>
          <w:szCs w:val="28"/>
        </w:rPr>
        <w:t>Overseas branch campuses</w:t>
      </w:r>
    </w:p>
    <w:p w14:paraId="1DDE8B22" w14:textId="1F1992AB" w:rsidR="0053570D" w:rsidRPr="000672E5" w:rsidRDefault="0053570D" w:rsidP="0053570D">
      <w:pPr>
        <w:widowControl w:val="0"/>
        <w:jc w:val="both"/>
        <w:rPr>
          <w:rFonts w:cstheme="minorHAnsi"/>
          <w:sz w:val="28"/>
          <w:szCs w:val="28"/>
        </w:rPr>
      </w:pPr>
      <w:r w:rsidRPr="000672E5">
        <w:rPr>
          <w:rFonts w:cstheme="minorHAnsi"/>
          <w:b/>
          <w:sz w:val="28"/>
          <w:szCs w:val="28"/>
        </w:rPr>
        <w:t>Theoretical issues</w:t>
      </w:r>
      <w:r w:rsidRPr="000672E5">
        <w:rPr>
          <w:rFonts w:cstheme="minorHAnsi"/>
          <w:sz w:val="28"/>
          <w:szCs w:val="28"/>
        </w:rPr>
        <w:t>: As discussed earlier, the establishment of a reasonable sized overseas branch campus is, in many ways, the most tangible indication of a university’s overall objective of becoming a</w:t>
      </w:r>
      <w:r w:rsidR="001F1FE7">
        <w:rPr>
          <w:rFonts w:cstheme="minorHAnsi"/>
          <w:sz w:val="28"/>
          <w:szCs w:val="28"/>
        </w:rPr>
        <w:t xml:space="preserve"> ‘global university’. H</w:t>
      </w:r>
      <w:r w:rsidRPr="000672E5">
        <w:rPr>
          <w:rFonts w:cstheme="minorHAnsi"/>
          <w:sz w:val="28"/>
          <w:szCs w:val="28"/>
        </w:rPr>
        <w:t>igh start-up costs appreciably increase the overall risks of this type of offshore provision and act as a potentially very significant barrier to entry for many universities. Forming joint ventures with local partners (as is required in China) enables UK universities to allay some of these risk and cost concerns.</w:t>
      </w:r>
    </w:p>
    <w:p w14:paraId="7D8C5637" w14:textId="77777777" w:rsidR="0053570D" w:rsidRPr="000672E5" w:rsidRDefault="0053570D" w:rsidP="0053570D">
      <w:pPr>
        <w:widowControl w:val="0"/>
        <w:jc w:val="both"/>
        <w:rPr>
          <w:rFonts w:cstheme="minorHAnsi"/>
          <w:sz w:val="28"/>
          <w:szCs w:val="28"/>
        </w:rPr>
      </w:pPr>
      <w:r w:rsidRPr="000672E5">
        <w:rPr>
          <w:rFonts w:cstheme="minorHAnsi"/>
          <w:sz w:val="28"/>
          <w:szCs w:val="28"/>
        </w:rPr>
        <w:t xml:space="preserve">The CB-BERT database </w:t>
      </w:r>
      <w:r>
        <w:rPr>
          <w:rFonts w:cstheme="minorHAnsi"/>
          <w:sz w:val="28"/>
          <w:szCs w:val="28"/>
        </w:rPr>
        <w:t xml:space="preserve">on overseas branch campuses </w:t>
      </w:r>
      <w:r w:rsidRPr="000672E5">
        <w:rPr>
          <w:rFonts w:cstheme="minorHAnsi"/>
          <w:sz w:val="28"/>
          <w:szCs w:val="28"/>
        </w:rPr>
        <w:t>indicates that the median size of OBCs worldwide is currently only around 500 students. CB-BERT asserts that enrolments below this level are “unlikely to generate much revenue, let alone surplus”. However, it does not provide any evidence to support this assertion.</w:t>
      </w:r>
    </w:p>
    <w:p w14:paraId="0BD46509" w14:textId="77777777" w:rsidR="0053570D" w:rsidRDefault="0053570D" w:rsidP="0053570D">
      <w:pPr>
        <w:widowControl w:val="0"/>
        <w:jc w:val="both"/>
        <w:rPr>
          <w:rFonts w:cstheme="minorHAnsi"/>
          <w:sz w:val="28"/>
          <w:szCs w:val="28"/>
        </w:rPr>
      </w:pPr>
      <w:r>
        <w:rPr>
          <w:rFonts w:cstheme="minorHAnsi"/>
          <w:sz w:val="28"/>
          <w:szCs w:val="28"/>
        </w:rPr>
        <w:t xml:space="preserve">Estimating </w:t>
      </w:r>
      <w:r w:rsidRPr="000672E5">
        <w:rPr>
          <w:rFonts w:cstheme="minorHAnsi"/>
          <w:sz w:val="28"/>
          <w:szCs w:val="28"/>
        </w:rPr>
        <w:t>likely student recruitment at an overseas branch campus is also critically important and requires an in-depth understanding of the national market for higher education in the target country. OBC fees are typically two-four times higher than at national public universities, which clearly limit the potential numbers of students who can afford to enrol at the OBC. However, OBC tuition fees at UK universities are generally very competitive with equivalent fees for overse</w:t>
      </w:r>
      <w:r>
        <w:rPr>
          <w:rFonts w:cstheme="minorHAnsi"/>
          <w:sz w:val="28"/>
          <w:szCs w:val="28"/>
        </w:rPr>
        <w:t xml:space="preserve">as students in the UK </w:t>
      </w:r>
      <w:r w:rsidRPr="000672E5">
        <w:rPr>
          <w:rFonts w:cstheme="minorHAnsi"/>
          <w:sz w:val="28"/>
          <w:szCs w:val="28"/>
        </w:rPr>
        <w:t xml:space="preserve">and, given much higher subsistence costs in the UK couple with international travel expenses, as long as an OBC can establish a strong local reputation, it is in a strong position to attract both students who would otherwise have gone overseas to study in the UK or could not afford to do so in the first place.     </w:t>
      </w:r>
    </w:p>
    <w:p w14:paraId="6E34B0DB" w14:textId="77777777" w:rsidR="0053570D" w:rsidRPr="000672E5" w:rsidRDefault="0053570D" w:rsidP="0053570D">
      <w:pPr>
        <w:widowControl w:val="0"/>
        <w:jc w:val="both"/>
        <w:rPr>
          <w:rFonts w:cstheme="minorHAnsi"/>
          <w:sz w:val="28"/>
          <w:szCs w:val="28"/>
        </w:rPr>
      </w:pPr>
      <w:r>
        <w:rPr>
          <w:rFonts w:cstheme="minorHAnsi"/>
          <w:sz w:val="28"/>
          <w:szCs w:val="28"/>
        </w:rPr>
        <w:lastRenderedPageBreak/>
        <w:t>A</w:t>
      </w:r>
      <w:r w:rsidRPr="000672E5">
        <w:rPr>
          <w:rFonts w:cstheme="minorHAnsi"/>
          <w:sz w:val="28"/>
          <w:szCs w:val="28"/>
        </w:rPr>
        <w:t xml:space="preserve"> 2014 </w:t>
      </w:r>
      <w:r>
        <w:rPr>
          <w:rFonts w:cstheme="minorHAnsi"/>
          <w:sz w:val="28"/>
          <w:szCs w:val="28"/>
        </w:rPr>
        <w:t xml:space="preserve">report by the UK Department of Business, Innovation and Skills (DBIS) on the value of UK transnational education concludes that </w:t>
      </w:r>
      <w:r w:rsidRPr="000672E5">
        <w:rPr>
          <w:rFonts w:cstheme="minorHAnsi"/>
          <w:sz w:val="28"/>
          <w:szCs w:val="28"/>
        </w:rPr>
        <w:t xml:space="preserve">only ‘very small sums’ are remitted from overseas campuses to the UK. If this is the case, this suggests that UK universities are not strongly motivated to generate large profits from their overseas campuses but rather their prime concern is to maximise enrolments while ensuring UK quality standards </w:t>
      </w:r>
      <w:r>
        <w:rPr>
          <w:rFonts w:cstheme="minorHAnsi"/>
          <w:sz w:val="28"/>
          <w:szCs w:val="28"/>
        </w:rPr>
        <w:t xml:space="preserve">which is </w:t>
      </w:r>
      <w:r w:rsidRPr="000672E5">
        <w:rPr>
          <w:rFonts w:cstheme="minorHAnsi"/>
          <w:sz w:val="28"/>
          <w:szCs w:val="28"/>
        </w:rPr>
        <w:t>part of wider university strategies to raise significantly their global profiles. Certainly, the overseas campus must break</w:t>
      </w:r>
      <w:r>
        <w:rPr>
          <w:rFonts w:cstheme="minorHAnsi"/>
          <w:sz w:val="28"/>
          <w:szCs w:val="28"/>
        </w:rPr>
        <w:t>-</w:t>
      </w:r>
      <w:r w:rsidRPr="000672E5">
        <w:rPr>
          <w:rFonts w:cstheme="minorHAnsi"/>
          <w:sz w:val="28"/>
          <w:szCs w:val="28"/>
        </w:rPr>
        <w:t xml:space="preserve">even and a campus will fairly quickly be closed down if losses are sustained beyond an acceptable start-up period. As with overseas distance learning provision, the extent to which UK universities have adopted profit, revenue or enrolment strategies with respect to their overseas campuses could be </w:t>
      </w:r>
      <w:r>
        <w:rPr>
          <w:rFonts w:cstheme="minorHAnsi"/>
          <w:sz w:val="28"/>
          <w:szCs w:val="28"/>
        </w:rPr>
        <w:t>e</w:t>
      </w:r>
      <w:r w:rsidRPr="000672E5">
        <w:rPr>
          <w:rFonts w:cstheme="minorHAnsi"/>
          <w:sz w:val="28"/>
          <w:szCs w:val="28"/>
        </w:rPr>
        <w:t>mpirically tested with good quality data and robust research methods.</w:t>
      </w:r>
    </w:p>
    <w:p w14:paraId="7671B04D" w14:textId="01D6AA8F" w:rsidR="0053570D" w:rsidRDefault="0053570D" w:rsidP="0053570D">
      <w:pPr>
        <w:widowControl w:val="0"/>
        <w:jc w:val="both"/>
        <w:rPr>
          <w:rFonts w:cstheme="minorHAnsi"/>
          <w:sz w:val="28"/>
          <w:szCs w:val="28"/>
        </w:rPr>
      </w:pPr>
      <w:r w:rsidRPr="000672E5">
        <w:rPr>
          <w:rFonts w:cstheme="minorHAnsi"/>
          <w:b/>
          <w:sz w:val="28"/>
          <w:szCs w:val="28"/>
        </w:rPr>
        <w:t>Absolute and net returns</w:t>
      </w:r>
      <w:r w:rsidRPr="000672E5">
        <w:rPr>
          <w:rFonts w:cstheme="minorHAnsi"/>
          <w:sz w:val="28"/>
          <w:szCs w:val="28"/>
        </w:rPr>
        <w:t>: As expected, given the much higher costs of establishing and running overseas campuses (especially where relatively large numbers of UK or other international faculty are employed), median revenue/student was around £5,900 at the 11 UK universities with overseas campuses which provided data</w:t>
      </w:r>
      <w:r w:rsidR="001F1FE7">
        <w:rPr>
          <w:rFonts w:cstheme="minorHAnsi"/>
          <w:sz w:val="28"/>
          <w:szCs w:val="28"/>
        </w:rPr>
        <w:t xml:space="preserve"> (see table 3)</w:t>
      </w:r>
      <w:r w:rsidRPr="000672E5">
        <w:rPr>
          <w:rFonts w:cstheme="minorHAnsi"/>
          <w:sz w:val="28"/>
          <w:szCs w:val="28"/>
        </w:rPr>
        <w:t>. The lower quartile value is only slightly lower at £4,462 which suggests that there are fairly fixed minimum costs in establishing an overseas campus. The upper quartile value is £8,335 and the averag</w:t>
      </w:r>
      <w:r w:rsidR="001F1FE7">
        <w:rPr>
          <w:rFonts w:cstheme="minorHAnsi"/>
          <w:sz w:val="28"/>
          <w:szCs w:val="28"/>
        </w:rPr>
        <w:t>e revenue per student is £6,243</w:t>
      </w:r>
      <w:r w:rsidRPr="000672E5">
        <w:rPr>
          <w:rFonts w:cstheme="minorHAnsi"/>
          <w:sz w:val="28"/>
          <w:szCs w:val="28"/>
        </w:rPr>
        <w:t>.</w:t>
      </w:r>
    </w:p>
    <w:p w14:paraId="028565CC" w14:textId="656D2FD3" w:rsidR="0053570D" w:rsidRPr="000672E5" w:rsidRDefault="0053570D" w:rsidP="0053570D">
      <w:pPr>
        <w:widowControl w:val="0"/>
        <w:jc w:val="both"/>
        <w:rPr>
          <w:rFonts w:cstheme="minorHAnsi"/>
          <w:sz w:val="28"/>
          <w:szCs w:val="28"/>
        </w:rPr>
      </w:pPr>
      <w:r w:rsidRPr="000672E5">
        <w:rPr>
          <w:rFonts w:cstheme="minorHAnsi"/>
          <w:sz w:val="28"/>
          <w:szCs w:val="28"/>
        </w:rPr>
        <w:t>Not surprisingly, given the scale and overall cost of establishing and running an overseas campus, UK universities generally have a clearer picture of their overseas campus expenditures than is generally the case for overseas partnerships and distance learning. Total overseas campus expenditure is only available for seven universities so considerable caution is required in analysing and drawing conclusions from this limited data. Surplus/student is over £1,000 for 43% of these universities but les</w:t>
      </w:r>
      <w:r>
        <w:rPr>
          <w:rFonts w:cstheme="minorHAnsi"/>
          <w:sz w:val="28"/>
          <w:szCs w:val="28"/>
        </w:rPr>
        <w:t>s than £500 for the remaining 57</w:t>
      </w:r>
      <w:r w:rsidRPr="000672E5">
        <w:rPr>
          <w:rFonts w:cstheme="minorHAnsi"/>
          <w:sz w:val="28"/>
          <w:szCs w:val="28"/>
        </w:rPr>
        <w:t xml:space="preserve">% of universities (see table </w:t>
      </w:r>
      <w:r w:rsidR="001F1FE7">
        <w:rPr>
          <w:rFonts w:cstheme="minorHAnsi"/>
          <w:sz w:val="28"/>
          <w:szCs w:val="28"/>
        </w:rPr>
        <w:t>5</w:t>
      </w:r>
      <w:r w:rsidRPr="000672E5">
        <w:rPr>
          <w:rFonts w:cstheme="minorHAnsi"/>
          <w:sz w:val="28"/>
          <w:szCs w:val="28"/>
        </w:rPr>
        <w:t>). The profitability of branch campuses is generally considerably lower than both overseas partnersh</w:t>
      </w:r>
      <w:r>
        <w:rPr>
          <w:rFonts w:cstheme="minorHAnsi"/>
          <w:sz w:val="28"/>
          <w:szCs w:val="28"/>
        </w:rPr>
        <w:t>ips and distance learning.  One</w:t>
      </w:r>
      <w:r w:rsidRPr="000672E5">
        <w:rPr>
          <w:rFonts w:cstheme="minorHAnsi"/>
          <w:sz w:val="28"/>
          <w:szCs w:val="28"/>
        </w:rPr>
        <w:t xml:space="preserve"> half have ‘low’ profitability and </w:t>
      </w:r>
      <w:r>
        <w:rPr>
          <w:rFonts w:cstheme="minorHAnsi"/>
          <w:sz w:val="28"/>
          <w:szCs w:val="28"/>
        </w:rPr>
        <w:t xml:space="preserve">slightly more than one-third have </w:t>
      </w:r>
      <w:r w:rsidRPr="000672E5">
        <w:rPr>
          <w:rFonts w:cstheme="minorHAnsi"/>
          <w:sz w:val="28"/>
          <w:szCs w:val="28"/>
        </w:rPr>
        <w:t>‘very high’ or ‘</w:t>
      </w:r>
      <w:r>
        <w:rPr>
          <w:rFonts w:cstheme="minorHAnsi"/>
          <w:sz w:val="28"/>
          <w:szCs w:val="28"/>
        </w:rPr>
        <w:t>h</w:t>
      </w:r>
      <w:r w:rsidR="007E5111">
        <w:rPr>
          <w:rFonts w:cstheme="minorHAnsi"/>
          <w:sz w:val="28"/>
          <w:szCs w:val="28"/>
        </w:rPr>
        <w:t>igh’ profitability.</w:t>
      </w:r>
      <w:r w:rsidRPr="000672E5">
        <w:rPr>
          <w:rFonts w:cstheme="minorHAnsi"/>
          <w:sz w:val="28"/>
          <w:szCs w:val="28"/>
        </w:rPr>
        <w:t xml:space="preserve"> None were loss making</w:t>
      </w:r>
      <w:r w:rsidR="001F1FE7">
        <w:rPr>
          <w:rFonts w:cstheme="minorHAnsi"/>
          <w:sz w:val="28"/>
          <w:szCs w:val="28"/>
        </w:rPr>
        <w:t xml:space="preserve"> (see table 4)</w:t>
      </w:r>
      <w:r w:rsidRPr="000672E5">
        <w:rPr>
          <w:rFonts w:cstheme="minorHAnsi"/>
          <w:sz w:val="28"/>
          <w:szCs w:val="28"/>
        </w:rPr>
        <w:t xml:space="preserve">. </w:t>
      </w:r>
    </w:p>
    <w:p w14:paraId="529F0545" w14:textId="77777777" w:rsidR="0053570D" w:rsidRPr="000672E5" w:rsidRDefault="0053570D" w:rsidP="0053570D">
      <w:pPr>
        <w:widowControl w:val="0"/>
        <w:jc w:val="both"/>
        <w:rPr>
          <w:rFonts w:cstheme="minorHAnsi"/>
          <w:sz w:val="28"/>
          <w:szCs w:val="28"/>
        </w:rPr>
      </w:pPr>
      <w:r w:rsidRPr="000672E5">
        <w:rPr>
          <w:rFonts w:cstheme="minorHAnsi"/>
          <w:sz w:val="28"/>
          <w:szCs w:val="28"/>
        </w:rPr>
        <w:t xml:space="preserve">As with overseas partnerships, the variability of financial performance at the few universities with multiple campuses can be marked. For example, in 2015/16, Middlesex University’s Dubai campus was quite profitable whereas its campus </w:t>
      </w:r>
      <w:r w:rsidRPr="000672E5">
        <w:rPr>
          <w:rFonts w:cstheme="minorHAnsi"/>
          <w:sz w:val="28"/>
          <w:szCs w:val="28"/>
        </w:rPr>
        <w:lastRenderedPageBreak/>
        <w:t xml:space="preserve">in Malta barely broke even and </w:t>
      </w:r>
      <w:r>
        <w:rPr>
          <w:rFonts w:cstheme="minorHAnsi"/>
          <w:sz w:val="28"/>
          <w:szCs w:val="28"/>
        </w:rPr>
        <w:t>its campus in Malta made a loss</w:t>
      </w:r>
      <w:r w:rsidRPr="000672E5">
        <w:rPr>
          <w:rFonts w:cstheme="minorHAnsi"/>
          <w:sz w:val="28"/>
          <w:szCs w:val="28"/>
        </w:rPr>
        <w:t xml:space="preserve">.        </w:t>
      </w:r>
    </w:p>
    <w:p w14:paraId="399A10D2" w14:textId="77777777" w:rsidR="0053570D" w:rsidRDefault="0053570D" w:rsidP="0053570D">
      <w:pPr>
        <w:widowControl w:val="0"/>
        <w:jc w:val="both"/>
        <w:rPr>
          <w:rFonts w:cstheme="minorHAnsi"/>
          <w:b/>
          <w:sz w:val="28"/>
          <w:szCs w:val="28"/>
        </w:rPr>
      </w:pPr>
      <w:r>
        <w:rPr>
          <w:rFonts w:cstheme="minorHAnsi"/>
          <w:b/>
          <w:sz w:val="28"/>
          <w:szCs w:val="28"/>
        </w:rPr>
        <w:t xml:space="preserve">5.4 </w:t>
      </w:r>
      <w:r w:rsidRPr="000672E5">
        <w:rPr>
          <w:rFonts w:cstheme="minorHAnsi"/>
          <w:b/>
          <w:sz w:val="28"/>
          <w:szCs w:val="28"/>
        </w:rPr>
        <w:t xml:space="preserve">Total </w:t>
      </w:r>
      <w:r>
        <w:rPr>
          <w:rFonts w:cstheme="minorHAnsi"/>
          <w:b/>
          <w:sz w:val="28"/>
          <w:szCs w:val="28"/>
        </w:rPr>
        <w:t>revenue</w:t>
      </w:r>
    </w:p>
    <w:p w14:paraId="66841038" w14:textId="77777777" w:rsidR="0053570D" w:rsidRPr="000672E5" w:rsidRDefault="0053570D" w:rsidP="0053570D">
      <w:pPr>
        <w:widowControl w:val="0"/>
        <w:jc w:val="both"/>
        <w:rPr>
          <w:rFonts w:cstheme="minorHAnsi"/>
          <w:sz w:val="28"/>
          <w:szCs w:val="28"/>
        </w:rPr>
      </w:pPr>
      <w:r w:rsidRPr="000672E5">
        <w:rPr>
          <w:rFonts w:cstheme="minorHAnsi"/>
          <w:sz w:val="28"/>
          <w:szCs w:val="28"/>
        </w:rPr>
        <w:t xml:space="preserve">With relatively large samples for each of the three main types of offshore provision and good quality data on revenues (if not expenditures), reasonably robust estimates of total revenues can be calculated based on </w:t>
      </w:r>
      <w:r>
        <w:rPr>
          <w:rFonts w:cstheme="minorHAnsi"/>
          <w:sz w:val="28"/>
          <w:szCs w:val="28"/>
        </w:rPr>
        <w:t xml:space="preserve">official offshore </w:t>
      </w:r>
      <w:r w:rsidRPr="000672E5">
        <w:rPr>
          <w:rFonts w:cstheme="minorHAnsi"/>
          <w:sz w:val="28"/>
          <w:szCs w:val="28"/>
        </w:rPr>
        <w:t>enrolments</w:t>
      </w:r>
      <w:r>
        <w:rPr>
          <w:rStyle w:val="FootnoteReference"/>
          <w:rFonts w:cstheme="minorHAnsi"/>
          <w:sz w:val="28"/>
          <w:szCs w:val="28"/>
        </w:rPr>
        <w:footnoteReference w:id="7"/>
      </w:r>
      <w:r w:rsidRPr="000672E5">
        <w:rPr>
          <w:rFonts w:cstheme="minorHAnsi"/>
          <w:sz w:val="28"/>
          <w:szCs w:val="28"/>
        </w:rPr>
        <w:t xml:space="preserve"> coupled with the survey average revenues/student. However, time series data on offshore revenue is very patchy and possibly quite inaccurate. As noted earlier, the </w:t>
      </w:r>
      <w:r>
        <w:rPr>
          <w:rFonts w:cstheme="minorHAnsi"/>
          <w:sz w:val="28"/>
          <w:szCs w:val="28"/>
        </w:rPr>
        <w:t>2014 D</w:t>
      </w:r>
      <w:r w:rsidRPr="000672E5">
        <w:rPr>
          <w:rFonts w:cstheme="minorHAnsi"/>
          <w:sz w:val="28"/>
          <w:szCs w:val="28"/>
        </w:rPr>
        <w:t xml:space="preserve">BIS report was the first serious attempt to derive accurate estimates. </w:t>
      </w:r>
    </w:p>
    <w:p w14:paraId="736F1C91" w14:textId="683B7C20" w:rsidR="0053570D" w:rsidRPr="000672E5" w:rsidRDefault="0053570D" w:rsidP="0053570D">
      <w:pPr>
        <w:widowControl w:val="0"/>
        <w:jc w:val="both"/>
        <w:rPr>
          <w:rFonts w:cstheme="minorHAnsi"/>
          <w:sz w:val="28"/>
          <w:szCs w:val="28"/>
        </w:rPr>
      </w:pPr>
      <w:r w:rsidRPr="000672E5">
        <w:rPr>
          <w:rFonts w:cstheme="minorHAnsi"/>
          <w:sz w:val="28"/>
          <w:szCs w:val="28"/>
        </w:rPr>
        <w:t xml:space="preserve">Total offshore revenue in 2015/16 was approximately £580 million and total surplus revenue was £140 million. In nominal terms, total offshore revenue was £75-100 million in the mid-late 1990s and remained fairly constant at around £200 million in the </w:t>
      </w:r>
      <w:r>
        <w:rPr>
          <w:rFonts w:cstheme="minorHAnsi"/>
          <w:sz w:val="28"/>
          <w:szCs w:val="28"/>
        </w:rPr>
        <w:t>mid-</w:t>
      </w:r>
      <w:r w:rsidRPr="000672E5">
        <w:rPr>
          <w:rFonts w:cstheme="minorHAnsi"/>
          <w:sz w:val="28"/>
          <w:szCs w:val="28"/>
        </w:rPr>
        <w:t>2000s. By 2012/13, total offshore revenue had increased to an estimated £616 million in which case it fell by 5.7% by 2015/16. On the basis of these figures, revenue/student increa</w:t>
      </w:r>
      <w:r>
        <w:rPr>
          <w:rFonts w:cstheme="minorHAnsi"/>
          <w:sz w:val="28"/>
          <w:szCs w:val="28"/>
        </w:rPr>
        <w:t>sed from around £500 in the mid-</w:t>
      </w:r>
      <w:r w:rsidRPr="000672E5">
        <w:rPr>
          <w:rFonts w:cstheme="minorHAnsi"/>
          <w:sz w:val="28"/>
          <w:szCs w:val="28"/>
        </w:rPr>
        <w:t>1990s, to £930 in the early-mid 2000s, and then doubled again to almost £2,000 in 2012/13. However, it fell a</w:t>
      </w:r>
      <w:r w:rsidR="001F1FE7">
        <w:rPr>
          <w:rFonts w:cstheme="minorHAnsi"/>
          <w:sz w:val="28"/>
          <w:szCs w:val="28"/>
        </w:rPr>
        <w:t>ppreciably to £1,500 in 2015/16 (see table 6).</w:t>
      </w:r>
      <w:r w:rsidRPr="000672E5">
        <w:rPr>
          <w:rFonts w:cstheme="minorHAnsi"/>
          <w:sz w:val="28"/>
          <w:szCs w:val="28"/>
        </w:rPr>
        <w:t xml:space="preserve">  Significant declines in revenue/student for overseas distance learning and, to a lesser, overseas campus courses would appear to be the main reasons</w:t>
      </w:r>
      <w:r>
        <w:rPr>
          <w:rFonts w:cstheme="minorHAnsi"/>
          <w:sz w:val="28"/>
          <w:szCs w:val="28"/>
        </w:rPr>
        <w:t xml:space="preserve"> for this fall</w:t>
      </w:r>
      <w:r w:rsidRPr="000672E5">
        <w:rPr>
          <w:rFonts w:cstheme="minorHAnsi"/>
          <w:sz w:val="28"/>
          <w:szCs w:val="28"/>
        </w:rPr>
        <w:t xml:space="preserve">. </w:t>
      </w:r>
    </w:p>
    <w:p w14:paraId="08A7D9EB" w14:textId="0390EB9C" w:rsidR="0053570D" w:rsidRDefault="0053570D" w:rsidP="0053570D">
      <w:pPr>
        <w:widowControl w:val="0"/>
        <w:jc w:val="both"/>
        <w:rPr>
          <w:rFonts w:cstheme="minorHAnsi"/>
          <w:sz w:val="28"/>
          <w:szCs w:val="28"/>
        </w:rPr>
      </w:pPr>
      <w:r w:rsidRPr="000672E5">
        <w:rPr>
          <w:rFonts w:cstheme="minorHAnsi"/>
          <w:sz w:val="28"/>
          <w:szCs w:val="28"/>
        </w:rPr>
        <w:t>In 2015/16, overseas campuses had the highest revenue of £217 million (37% of the total), closely followed by overseas partnerships with £201 million (35%) and then overseas distance learning at only £163 million (28%). In 2012/13, revenue from overseas distance learning was reported to be 46%</w:t>
      </w:r>
      <w:r>
        <w:rPr>
          <w:rFonts w:cstheme="minorHAnsi"/>
          <w:sz w:val="28"/>
          <w:szCs w:val="28"/>
        </w:rPr>
        <w:t xml:space="preserve"> of total offshore income</w:t>
      </w:r>
      <w:r w:rsidRPr="000672E5">
        <w:rPr>
          <w:rFonts w:cstheme="minorHAnsi"/>
          <w:sz w:val="28"/>
          <w:szCs w:val="28"/>
        </w:rPr>
        <w:t xml:space="preserve">, 18 percentage points higher than in 2015/16. Again, this was due to a combination of falling revenue/student and sluggish enrolment growth. </w:t>
      </w:r>
    </w:p>
    <w:p w14:paraId="2A5FCDEF" w14:textId="71508BC4" w:rsidR="0053570D" w:rsidRDefault="0053570D" w:rsidP="0053570D">
      <w:pPr>
        <w:widowControl w:val="0"/>
        <w:jc w:val="both"/>
        <w:rPr>
          <w:rFonts w:cstheme="minorHAnsi"/>
          <w:sz w:val="28"/>
          <w:szCs w:val="28"/>
        </w:rPr>
      </w:pPr>
      <w:r w:rsidRPr="000672E5">
        <w:rPr>
          <w:rFonts w:cstheme="minorHAnsi"/>
          <w:sz w:val="28"/>
          <w:szCs w:val="28"/>
        </w:rPr>
        <w:t>In overall terms, total offshore student revenue was 1.7% of total UK university income, 3.6% of total tuition fee revenue and, despite having total enrolments of nearly 400,000, only 11.2% of onshore overseas student revenue in 2015/16</w:t>
      </w:r>
      <w:r>
        <w:rPr>
          <w:rFonts w:cstheme="minorHAnsi"/>
          <w:sz w:val="28"/>
          <w:szCs w:val="28"/>
        </w:rPr>
        <w:t xml:space="preserve"> (see table </w:t>
      </w:r>
      <w:r w:rsidR="001F1FE7">
        <w:rPr>
          <w:rFonts w:cstheme="minorHAnsi"/>
          <w:sz w:val="28"/>
          <w:szCs w:val="28"/>
        </w:rPr>
        <w:t>7</w:t>
      </w:r>
      <w:r w:rsidRPr="000672E5">
        <w:rPr>
          <w:rFonts w:cstheme="minorHAnsi"/>
          <w:sz w:val="28"/>
          <w:szCs w:val="28"/>
        </w:rPr>
        <w:t xml:space="preserve">). Offshore revenue/student was almost eight times less than for onshore overseas students. The relative importance of offshore income declined </w:t>
      </w:r>
      <w:r w:rsidRPr="000672E5">
        <w:rPr>
          <w:rFonts w:cstheme="minorHAnsi"/>
          <w:sz w:val="28"/>
          <w:szCs w:val="28"/>
        </w:rPr>
        <w:lastRenderedPageBreak/>
        <w:t xml:space="preserve">appreciably between 2012/13 and 2015/16, especially with respect to total and overseas student fee income.    </w:t>
      </w:r>
    </w:p>
    <w:p w14:paraId="386C2131" w14:textId="710BE992" w:rsidR="0053570D" w:rsidRDefault="0053570D" w:rsidP="0053570D">
      <w:pPr>
        <w:widowControl w:val="0"/>
        <w:jc w:val="both"/>
        <w:rPr>
          <w:rFonts w:cstheme="minorHAnsi"/>
          <w:sz w:val="28"/>
          <w:szCs w:val="28"/>
        </w:rPr>
      </w:pPr>
      <w:r w:rsidRPr="000672E5">
        <w:rPr>
          <w:rFonts w:cstheme="minorHAnsi"/>
          <w:sz w:val="28"/>
          <w:szCs w:val="28"/>
        </w:rPr>
        <w:t>For well over half of all surveyed universities, offshore student income was less than 2% of total universit</w:t>
      </w:r>
      <w:r>
        <w:rPr>
          <w:rFonts w:cstheme="minorHAnsi"/>
          <w:sz w:val="28"/>
          <w:szCs w:val="28"/>
        </w:rPr>
        <w:t>y</w:t>
      </w:r>
      <w:r w:rsidR="007F34A8">
        <w:rPr>
          <w:rFonts w:cstheme="minorHAnsi"/>
          <w:sz w:val="28"/>
          <w:szCs w:val="28"/>
        </w:rPr>
        <w:t xml:space="preserve"> income in 2015/16 (see table 8</w:t>
      </w:r>
      <w:r w:rsidRPr="000672E5">
        <w:rPr>
          <w:rFonts w:cstheme="minorHAnsi"/>
          <w:sz w:val="28"/>
          <w:szCs w:val="28"/>
        </w:rPr>
        <w:t xml:space="preserve">). It was above 10% at only six out of the 12 universities where offshore enrolments were more than half of all UK enrolments. Four of these six (Heriot-Watt, Liverpool, Middlesex and Nottingham) have relatively large </w:t>
      </w:r>
      <w:r>
        <w:rPr>
          <w:rFonts w:cstheme="minorHAnsi"/>
          <w:sz w:val="28"/>
          <w:szCs w:val="28"/>
        </w:rPr>
        <w:t>overseas campuses</w:t>
      </w:r>
      <w:r w:rsidRPr="000672E5">
        <w:rPr>
          <w:rFonts w:cstheme="minorHAnsi"/>
          <w:sz w:val="28"/>
          <w:szCs w:val="28"/>
        </w:rPr>
        <w:t>. The other two universities are Edinburgh Napier and Sunderland. Thus, even at universities with some of the highest offshore enrolments (most notably Anglia</w:t>
      </w:r>
      <w:r>
        <w:rPr>
          <w:rFonts w:cstheme="minorHAnsi"/>
          <w:sz w:val="28"/>
          <w:szCs w:val="28"/>
        </w:rPr>
        <w:t xml:space="preserve"> Ruskin,</w:t>
      </w:r>
      <w:r w:rsidRPr="000672E5">
        <w:rPr>
          <w:rFonts w:cstheme="minorHAnsi"/>
          <w:sz w:val="28"/>
          <w:szCs w:val="28"/>
        </w:rPr>
        <w:t xml:space="preserve"> Leicester, Derby, Ruskin, Staffordshire, Greenwich, Cardiff Metropolitan, Roehampton, Lancaster, West of England), the income generated from this activity is less than 10% of all UK-based tuition fees.  An index based on income rather enrolments is, therefore, likely to be a much better indicator of university internationalisation.</w:t>
      </w:r>
    </w:p>
    <w:p w14:paraId="274226B3" w14:textId="42AE847C" w:rsidR="0053570D" w:rsidRDefault="0053570D" w:rsidP="0053570D">
      <w:pPr>
        <w:widowControl w:val="0"/>
        <w:jc w:val="both"/>
        <w:rPr>
          <w:rFonts w:cstheme="minorHAnsi"/>
          <w:sz w:val="28"/>
          <w:szCs w:val="28"/>
        </w:rPr>
      </w:pPr>
      <w:r>
        <w:rPr>
          <w:rFonts w:cstheme="minorHAnsi"/>
          <w:b/>
          <w:sz w:val="28"/>
          <w:szCs w:val="28"/>
        </w:rPr>
        <w:t xml:space="preserve">5.5 </w:t>
      </w:r>
      <w:r w:rsidR="007E5111">
        <w:rPr>
          <w:rFonts w:cstheme="minorHAnsi"/>
          <w:b/>
          <w:sz w:val="28"/>
          <w:szCs w:val="28"/>
        </w:rPr>
        <w:t>Articulation</w:t>
      </w:r>
      <w:r w:rsidRPr="000672E5">
        <w:rPr>
          <w:rFonts w:cstheme="minorHAnsi"/>
          <w:b/>
          <w:sz w:val="28"/>
          <w:szCs w:val="28"/>
        </w:rPr>
        <w:t xml:space="preserve"> income</w:t>
      </w:r>
    </w:p>
    <w:p w14:paraId="2FD368F6" w14:textId="77777777" w:rsidR="0053570D" w:rsidRDefault="0053570D" w:rsidP="0053570D">
      <w:pPr>
        <w:widowControl w:val="0"/>
        <w:jc w:val="both"/>
        <w:rPr>
          <w:rFonts w:cstheme="minorHAnsi"/>
          <w:sz w:val="28"/>
          <w:szCs w:val="28"/>
        </w:rPr>
      </w:pPr>
      <w:r w:rsidRPr="000672E5">
        <w:rPr>
          <w:rFonts w:cstheme="minorHAnsi"/>
          <w:sz w:val="28"/>
          <w:szCs w:val="28"/>
        </w:rPr>
        <w:t xml:space="preserve">The 2014 </w:t>
      </w:r>
      <w:r>
        <w:rPr>
          <w:rFonts w:cstheme="minorHAnsi"/>
          <w:sz w:val="28"/>
          <w:szCs w:val="28"/>
        </w:rPr>
        <w:t>D</w:t>
      </w:r>
      <w:r w:rsidRPr="000672E5">
        <w:rPr>
          <w:rFonts w:cstheme="minorHAnsi"/>
          <w:sz w:val="28"/>
          <w:szCs w:val="28"/>
        </w:rPr>
        <w:t xml:space="preserve">BIS study </w:t>
      </w:r>
      <w:r>
        <w:rPr>
          <w:rFonts w:cstheme="minorHAnsi"/>
          <w:sz w:val="28"/>
          <w:szCs w:val="28"/>
        </w:rPr>
        <w:t>estimates t</w:t>
      </w:r>
      <w:r w:rsidRPr="000672E5">
        <w:rPr>
          <w:rFonts w:cstheme="minorHAnsi"/>
          <w:sz w:val="28"/>
          <w:szCs w:val="28"/>
        </w:rPr>
        <w:t xml:space="preserve">hat there were nearly 30,000 overseas students studying in the UK as part of articulation/progression arrangements with overseas partners. The total value of these students </w:t>
      </w:r>
      <w:r>
        <w:rPr>
          <w:rFonts w:cstheme="minorHAnsi"/>
          <w:sz w:val="28"/>
          <w:szCs w:val="28"/>
        </w:rPr>
        <w:t>was</w:t>
      </w:r>
      <w:r w:rsidRPr="000672E5">
        <w:rPr>
          <w:rFonts w:cstheme="minorHAnsi"/>
          <w:sz w:val="28"/>
          <w:szCs w:val="28"/>
        </w:rPr>
        <w:t xml:space="preserve"> estimated to be £711 million in 2012/13, which is nearly £100 million more than the total estimated value of all offshore student provision in that year. </w:t>
      </w:r>
    </w:p>
    <w:p w14:paraId="5C6E673A" w14:textId="3C1D5F24" w:rsidR="0053570D" w:rsidRDefault="0053570D" w:rsidP="0053570D">
      <w:pPr>
        <w:widowControl w:val="0"/>
        <w:jc w:val="both"/>
        <w:rPr>
          <w:rFonts w:cstheme="minorHAnsi"/>
          <w:sz w:val="28"/>
          <w:szCs w:val="28"/>
        </w:rPr>
      </w:pPr>
      <w:r w:rsidRPr="000672E5">
        <w:rPr>
          <w:rFonts w:cstheme="minorHAnsi"/>
          <w:sz w:val="28"/>
          <w:szCs w:val="28"/>
        </w:rPr>
        <w:t>Based on our survey of articulation/progression students, there were around 22,000 of these students in 2016/17</w:t>
      </w:r>
      <w:r>
        <w:rPr>
          <w:rFonts w:cstheme="minorHAnsi"/>
          <w:sz w:val="28"/>
          <w:szCs w:val="28"/>
        </w:rPr>
        <w:t xml:space="preserve"> (see Author, 2019)</w:t>
      </w:r>
      <w:r w:rsidRPr="000672E5">
        <w:rPr>
          <w:rFonts w:cstheme="minorHAnsi"/>
          <w:sz w:val="28"/>
          <w:szCs w:val="28"/>
        </w:rPr>
        <w:t xml:space="preserve">. The actual tuition fees charged for these students </w:t>
      </w:r>
      <w:r w:rsidR="007E5111">
        <w:rPr>
          <w:rFonts w:cstheme="minorHAnsi"/>
          <w:sz w:val="28"/>
          <w:szCs w:val="28"/>
        </w:rPr>
        <w:t xml:space="preserve">when they are studying in the UK </w:t>
      </w:r>
      <w:r w:rsidRPr="000672E5">
        <w:rPr>
          <w:rFonts w:cstheme="minorHAnsi"/>
          <w:sz w:val="28"/>
          <w:szCs w:val="28"/>
        </w:rPr>
        <w:t>has been assumed to be the average for non-EU overseas students as a whole although some universities do offer substantial ‘discounts’ of up to 30%. Total income for articulation/progression students was £334 million in 2016/17</w:t>
      </w:r>
      <w:r>
        <w:rPr>
          <w:rFonts w:cstheme="minorHAnsi"/>
          <w:sz w:val="28"/>
          <w:szCs w:val="28"/>
        </w:rPr>
        <w:t xml:space="preserve">. Although this is </w:t>
      </w:r>
      <w:r w:rsidRPr="000672E5">
        <w:rPr>
          <w:rFonts w:cstheme="minorHAnsi"/>
          <w:sz w:val="28"/>
          <w:szCs w:val="28"/>
        </w:rPr>
        <w:t xml:space="preserve">well under half the </w:t>
      </w:r>
      <w:r>
        <w:rPr>
          <w:rFonts w:cstheme="minorHAnsi"/>
          <w:sz w:val="28"/>
          <w:szCs w:val="28"/>
        </w:rPr>
        <w:t>D</w:t>
      </w:r>
      <w:r w:rsidRPr="000672E5">
        <w:rPr>
          <w:rFonts w:cstheme="minorHAnsi"/>
          <w:sz w:val="28"/>
          <w:szCs w:val="28"/>
        </w:rPr>
        <w:t>BIS estimate for 2012/13</w:t>
      </w:r>
      <w:r>
        <w:rPr>
          <w:rFonts w:cstheme="minorHAnsi"/>
          <w:sz w:val="28"/>
          <w:szCs w:val="28"/>
        </w:rPr>
        <w:t>, it still amounts to around 60% of total offshore income (based on 2015/16 income estimates).</w:t>
      </w:r>
    </w:p>
    <w:p w14:paraId="4DD7B69A" w14:textId="77777777" w:rsidR="007E5111" w:rsidRDefault="007E5111" w:rsidP="0053570D">
      <w:pPr>
        <w:widowControl w:val="0"/>
        <w:jc w:val="both"/>
        <w:rPr>
          <w:rFonts w:cstheme="minorHAnsi"/>
          <w:sz w:val="28"/>
          <w:szCs w:val="28"/>
        </w:rPr>
      </w:pPr>
    </w:p>
    <w:p w14:paraId="127B0F50" w14:textId="77777777" w:rsidR="0053570D" w:rsidRDefault="0053570D" w:rsidP="0053570D">
      <w:pPr>
        <w:pStyle w:val="ListParagraph"/>
        <w:widowControl w:val="0"/>
        <w:numPr>
          <w:ilvl w:val="0"/>
          <w:numId w:val="21"/>
        </w:numPr>
        <w:jc w:val="both"/>
        <w:rPr>
          <w:rFonts w:cstheme="minorHAnsi"/>
          <w:b/>
          <w:sz w:val="28"/>
          <w:szCs w:val="28"/>
        </w:rPr>
      </w:pPr>
      <w:r>
        <w:rPr>
          <w:rFonts w:cstheme="minorHAnsi"/>
          <w:b/>
          <w:sz w:val="28"/>
          <w:szCs w:val="28"/>
        </w:rPr>
        <w:t>CONCLUSION</w:t>
      </w:r>
    </w:p>
    <w:p w14:paraId="1607317A" w14:textId="77777777" w:rsidR="0053570D" w:rsidRPr="00570BA5" w:rsidRDefault="0053570D" w:rsidP="0053570D">
      <w:pPr>
        <w:widowControl w:val="0"/>
        <w:jc w:val="both"/>
        <w:rPr>
          <w:rFonts w:cstheme="minorHAnsi"/>
          <w:b/>
          <w:sz w:val="28"/>
          <w:szCs w:val="28"/>
        </w:rPr>
      </w:pPr>
      <w:r w:rsidRPr="00570BA5">
        <w:rPr>
          <w:rFonts w:cstheme="minorHAnsi"/>
          <w:sz w:val="28"/>
          <w:szCs w:val="28"/>
        </w:rPr>
        <w:t xml:space="preserve">The two main conclusions of this survey are (i) the need to maximise the recruitment of high-value onshore overseas students is the main financial </w:t>
      </w:r>
      <w:r w:rsidRPr="00570BA5">
        <w:rPr>
          <w:rFonts w:cstheme="minorHAnsi"/>
          <w:sz w:val="28"/>
          <w:szCs w:val="28"/>
        </w:rPr>
        <w:lastRenderedPageBreak/>
        <w:t>driving force for the internationalisation of education in the UK. The income generated from onshore overseas students is now critical for the institutional survival of a sizeable minority of UK universities; and (ii) the financial returns to offshore provision are generally quite low and, in overall terms, account for less than 4% of total tuition income. In the face of these low returns coupled with other non-financial factors, UK universities are increasingly rationalising/</w:t>
      </w:r>
      <w:r>
        <w:rPr>
          <w:rFonts w:cstheme="minorHAnsi"/>
          <w:sz w:val="28"/>
          <w:szCs w:val="28"/>
        </w:rPr>
        <w:t xml:space="preserve"> </w:t>
      </w:r>
      <w:r w:rsidRPr="00570BA5">
        <w:rPr>
          <w:rFonts w:cstheme="minorHAnsi"/>
          <w:sz w:val="28"/>
          <w:szCs w:val="28"/>
        </w:rPr>
        <w:t xml:space="preserve">consolidating their offshore provision. </w:t>
      </w:r>
    </w:p>
    <w:p w14:paraId="2D01DEC0" w14:textId="2257E537" w:rsidR="0053570D" w:rsidRPr="000672E5" w:rsidRDefault="0053570D" w:rsidP="0053570D">
      <w:pPr>
        <w:widowControl w:val="0"/>
        <w:jc w:val="both"/>
        <w:rPr>
          <w:rFonts w:cstheme="minorHAnsi"/>
          <w:sz w:val="28"/>
          <w:szCs w:val="28"/>
        </w:rPr>
      </w:pPr>
      <w:r>
        <w:rPr>
          <w:rFonts w:cstheme="minorHAnsi"/>
          <w:sz w:val="28"/>
          <w:szCs w:val="28"/>
        </w:rPr>
        <w:t>Although UK (like most other public) universities are not conventional profit maximisers, it is likely that the low returns from most overseas validation partnerships, the majority of branch campuses and, increasingly, from distance learning courses will eventually lead UK universities to reduce significantly their involvement in these forms of offshore provision. The two main growth areas for offshore provision are likely to be, firstly, higher return but lower enrolment collaborative (joint degree and franchise) partnerships which also offer the opportunity for substantive research activity and, secondly, high volume articulation/ progression arrangements which enable universities to boost their onshore overseas enrolments and are, therefore, relatively very lucrative.  In short, therefore, the current shift away from high-volume, low-return partnerships will continue and probably accelerate with increasin</w:t>
      </w:r>
      <w:r w:rsidR="00551B05">
        <w:rPr>
          <w:rFonts w:cstheme="minorHAnsi"/>
          <w:sz w:val="28"/>
          <w:szCs w:val="28"/>
        </w:rPr>
        <w:t>g emphasis being given to low-</w:t>
      </w:r>
      <w:r>
        <w:rPr>
          <w:rFonts w:cstheme="minorHAnsi"/>
          <w:sz w:val="28"/>
          <w:szCs w:val="28"/>
        </w:rPr>
        <w:t xml:space="preserve">volume, </w:t>
      </w:r>
      <w:r w:rsidR="00551B05">
        <w:rPr>
          <w:rFonts w:cstheme="minorHAnsi"/>
          <w:sz w:val="28"/>
          <w:szCs w:val="28"/>
        </w:rPr>
        <w:t>high quality, high-return</w:t>
      </w:r>
      <w:r>
        <w:rPr>
          <w:rFonts w:cstheme="minorHAnsi"/>
          <w:sz w:val="28"/>
          <w:szCs w:val="28"/>
        </w:rPr>
        <w:t xml:space="preserve"> partnerships.  </w:t>
      </w:r>
    </w:p>
    <w:p w14:paraId="3BCB45E4" w14:textId="77777777" w:rsidR="0053570D" w:rsidRPr="000672E5" w:rsidRDefault="0053570D" w:rsidP="0053570D">
      <w:pPr>
        <w:widowControl w:val="0"/>
        <w:jc w:val="both"/>
        <w:rPr>
          <w:rFonts w:cstheme="minorHAnsi"/>
          <w:sz w:val="28"/>
          <w:szCs w:val="28"/>
        </w:rPr>
      </w:pPr>
      <w:r w:rsidRPr="00702303">
        <w:rPr>
          <w:rFonts w:cstheme="minorHAnsi"/>
          <w:sz w:val="28"/>
          <w:szCs w:val="28"/>
        </w:rPr>
        <w:t xml:space="preserve">With generally small and, at least relatively speaking, declining financial returns, </w:t>
      </w:r>
      <w:r>
        <w:rPr>
          <w:rFonts w:cstheme="minorHAnsi"/>
          <w:sz w:val="28"/>
          <w:szCs w:val="28"/>
        </w:rPr>
        <w:t xml:space="preserve">from most overseas partnerships, </w:t>
      </w:r>
      <w:r w:rsidRPr="00702303">
        <w:rPr>
          <w:rFonts w:cstheme="minorHAnsi"/>
          <w:sz w:val="28"/>
          <w:szCs w:val="28"/>
        </w:rPr>
        <w:t>universities are paying more attention to the non-financial benefits of overseas partnerships and, more broadly, their ‘global engagement’. This is especially the case for the richer, higher status universities which, with usually large numbers of relatively highly lucrative onshore overseas students, do not have particularly strong financial incentives to become heavily involved in generally much higher risk-low</w:t>
      </w:r>
      <w:r>
        <w:rPr>
          <w:rFonts w:cstheme="minorHAnsi"/>
          <w:sz w:val="28"/>
          <w:szCs w:val="28"/>
        </w:rPr>
        <w:t xml:space="preserve"> profit</w:t>
      </w:r>
      <w:r w:rsidRPr="00702303">
        <w:rPr>
          <w:rFonts w:cstheme="minorHAnsi"/>
          <w:sz w:val="28"/>
          <w:szCs w:val="28"/>
        </w:rPr>
        <w:t xml:space="preserve"> offshore provision.  </w:t>
      </w:r>
      <w:r>
        <w:rPr>
          <w:rFonts w:cstheme="minorHAnsi"/>
          <w:sz w:val="28"/>
          <w:szCs w:val="28"/>
        </w:rPr>
        <w:t>L</w:t>
      </w:r>
      <w:r w:rsidRPr="000672E5">
        <w:rPr>
          <w:rFonts w:cstheme="minorHAnsi"/>
          <w:sz w:val="28"/>
          <w:szCs w:val="28"/>
        </w:rPr>
        <w:t>ow return</w:t>
      </w:r>
      <w:r>
        <w:rPr>
          <w:rFonts w:cstheme="minorHAnsi"/>
          <w:sz w:val="28"/>
          <w:szCs w:val="28"/>
        </w:rPr>
        <w:t xml:space="preserve"> - high-</w:t>
      </w:r>
      <w:r w:rsidRPr="000672E5">
        <w:rPr>
          <w:rFonts w:cstheme="minorHAnsi"/>
          <w:sz w:val="28"/>
          <w:szCs w:val="28"/>
        </w:rPr>
        <w:t>risk</w:t>
      </w:r>
      <w:r>
        <w:rPr>
          <w:rFonts w:cstheme="minorHAnsi"/>
          <w:sz w:val="28"/>
          <w:szCs w:val="28"/>
        </w:rPr>
        <w:t xml:space="preserve"> </w:t>
      </w:r>
      <w:r w:rsidRPr="000672E5">
        <w:rPr>
          <w:rFonts w:cstheme="minorHAnsi"/>
          <w:sz w:val="28"/>
          <w:szCs w:val="28"/>
        </w:rPr>
        <w:t>-</w:t>
      </w:r>
      <w:r>
        <w:rPr>
          <w:rFonts w:cstheme="minorHAnsi"/>
          <w:sz w:val="28"/>
          <w:szCs w:val="28"/>
        </w:rPr>
        <w:t xml:space="preserve"> </w:t>
      </w:r>
      <w:r w:rsidRPr="000672E5">
        <w:rPr>
          <w:rFonts w:cstheme="minorHAnsi"/>
          <w:sz w:val="28"/>
          <w:szCs w:val="28"/>
        </w:rPr>
        <w:t>low visibility validatio</w:t>
      </w:r>
      <w:r>
        <w:rPr>
          <w:rFonts w:cstheme="minorHAnsi"/>
          <w:sz w:val="28"/>
          <w:szCs w:val="28"/>
        </w:rPr>
        <w:t xml:space="preserve">n partnerships will continue to </w:t>
      </w:r>
      <w:r w:rsidRPr="000672E5">
        <w:rPr>
          <w:rFonts w:cstheme="minorHAnsi"/>
          <w:sz w:val="28"/>
          <w:szCs w:val="28"/>
        </w:rPr>
        <w:t>interest only a relatively small group of mai</w:t>
      </w:r>
      <w:r>
        <w:rPr>
          <w:rFonts w:cstheme="minorHAnsi"/>
          <w:sz w:val="28"/>
          <w:szCs w:val="28"/>
        </w:rPr>
        <w:t xml:space="preserve">nly ex-polytechnic universities. </w:t>
      </w:r>
      <w:r w:rsidRPr="000672E5">
        <w:rPr>
          <w:rFonts w:cstheme="minorHAnsi"/>
          <w:sz w:val="28"/>
          <w:szCs w:val="28"/>
        </w:rPr>
        <w:t xml:space="preserve"> </w:t>
      </w:r>
    </w:p>
    <w:p w14:paraId="00450304" w14:textId="77777777" w:rsidR="0053570D" w:rsidRPr="00570BA5" w:rsidRDefault="0053570D" w:rsidP="0053570D">
      <w:pPr>
        <w:widowControl w:val="0"/>
        <w:jc w:val="both"/>
        <w:rPr>
          <w:rFonts w:cstheme="minorHAnsi"/>
          <w:sz w:val="28"/>
          <w:szCs w:val="28"/>
        </w:rPr>
      </w:pPr>
      <w:r w:rsidRPr="000672E5">
        <w:rPr>
          <w:rFonts w:cstheme="minorHAnsi"/>
          <w:sz w:val="28"/>
          <w:szCs w:val="28"/>
        </w:rPr>
        <w:t>With the growing emphasis on the quality of partnerships</w:t>
      </w:r>
      <w:r>
        <w:rPr>
          <w:rFonts w:cstheme="minorHAnsi"/>
          <w:sz w:val="28"/>
          <w:szCs w:val="28"/>
        </w:rPr>
        <w:t xml:space="preserve"> rather than enrolment maximisation</w:t>
      </w:r>
      <w:r w:rsidRPr="000672E5">
        <w:rPr>
          <w:rFonts w:cstheme="minorHAnsi"/>
          <w:sz w:val="28"/>
          <w:szCs w:val="28"/>
        </w:rPr>
        <w:t xml:space="preserve">, UK universities, in particular those red brick and higher status plate glass universities which have been involved with offshore provision for more than a decade, are focusing more on collaborative partnerships and other kinds of joint ventures. These kind of partnerships score highly with respect to </w:t>
      </w:r>
      <w:r w:rsidRPr="000672E5">
        <w:rPr>
          <w:rFonts w:cstheme="minorHAnsi"/>
          <w:sz w:val="28"/>
          <w:szCs w:val="28"/>
        </w:rPr>
        <w:lastRenderedPageBreak/>
        <w:t>(i) quality assurance/reputational risk issues, (ii) high visibility branding; (iii) relatively high value added with low financial outlay and associated risks; and (iv) by teaming up with prestigious local public universities, provide the opportunity to engage in high quality, hi</w:t>
      </w:r>
      <w:r>
        <w:rPr>
          <w:rFonts w:cstheme="minorHAnsi"/>
          <w:sz w:val="28"/>
          <w:szCs w:val="28"/>
        </w:rPr>
        <w:t>gh impact research</w:t>
      </w:r>
      <w:r w:rsidRPr="000672E5">
        <w:rPr>
          <w:rFonts w:cstheme="minorHAnsi"/>
          <w:sz w:val="28"/>
          <w:szCs w:val="28"/>
        </w:rPr>
        <w:t xml:space="preserve">.   </w:t>
      </w:r>
    </w:p>
    <w:p w14:paraId="729152FE" w14:textId="710C8364" w:rsidR="0053570D" w:rsidRPr="000672E5" w:rsidRDefault="0053570D" w:rsidP="0053570D">
      <w:pPr>
        <w:widowControl w:val="0"/>
        <w:jc w:val="both"/>
        <w:rPr>
          <w:rFonts w:cstheme="minorHAnsi"/>
          <w:sz w:val="28"/>
          <w:szCs w:val="28"/>
        </w:rPr>
      </w:pPr>
      <w:r>
        <w:rPr>
          <w:rFonts w:cstheme="minorHAnsi"/>
          <w:sz w:val="28"/>
          <w:szCs w:val="28"/>
        </w:rPr>
        <w:t xml:space="preserve">Some universities will continue to be attracted by the earnings potential of high tuition fee ODL courses (especially blended MBAs). However, international competition is quite intense and, ODL tuition fees in the UK are relatively high especially compared to ODL courses in the Middle East, South Asia and South Africa.  Technological barriers to entry will also remain high for the foreseeable future which will probably lead to </w:t>
      </w:r>
      <w:r w:rsidR="007F34A8">
        <w:rPr>
          <w:rFonts w:cstheme="minorHAnsi"/>
          <w:sz w:val="28"/>
          <w:szCs w:val="28"/>
        </w:rPr>
        <w:t xml:space="preserve">a significant number of </w:t>
      </w:r>
      <w:r>
        <w:rPr>
          <w:rFonts w:cstheme="minorHAnsi"/>
          <w:sz w:val="28"/>
          <w:szCs w:val="28"/>
        </w:rPr>
        <w:t xml:space="preserve">UK universities contracting out their distance learning courses to specialist providers. This, in turn, will significantly reduce returns with ODL provision by UK universities becoming more akin to the rent seeking activity which is more characteristic of low-return franchised and validation forms of offshore provision.  </w:t>
      </w:r>
    </w:p>
    <w:p w14:paraId="4C29D05D" w14:textId="77777777" w:rsidR="0053570D" w:rsidRDefault="0053570D" w:rsidP="0053570D">
      <w:pPr>
        <w:widowControl w:val="0"/>
        <w:rPr>
          <w:rFonts w:cstheme="minorHAnsi"/>
          <w:b/>
          <w:sz w:val="28"/>
          <w:szCs w:val="28"/>
        </w:rPr>
      </w:pPr>
    </w:p>
    <w:p w14:paraId="7B2B4BD6" w14:textId="77777777" w:rsidR="0053570D" w:rsidRDefault="0053570D" w:rsidP="0053570D">
      <w:pPr>
        <w:spacing w:after="160" w:line="259" w:lineRule="auto"/>
        <w:rPr>
          <w:rFonts w:cstheme="minorHAnsi"/>
          <w:b/>
          <w:sz w:val="28"/>
          <w:szCs w:val="28"/>
        </w:rPr>
      </w:pPr>
      <w:r>
        <w:rPr>
          <w:rFonts w:cstheme="minorHAnsi"/>
          <w:b/>
          <w:sz w:val="28"/>
          <w:szCs w:val="28"/>
        </w:rPr>
        <w:br w:type="page"/>
      </w:r>
    </w:p>
    <w:p w14:paraId="47093898" w14:textId="77777777" w:rsidR="0053570D" w:rsidRPr="000672E5" w:rsidRDefault="0053570D" w:rsidP="0053570D">
      <w:pPr>
        <w:widowControl w:val="0"/>
        <w:jc w:val="both"/>
        <w:rPr>
          <w:rFonts w:cstheme="minorHAnsi"/>
          <w:b/>
          <w:sz w:val="28"/>
          <w:szCs w:val="28"/>
        </w:rPr>
      </w:pPr>
      <w:r w:rsidRPr="000672E5">
        <w:rPr>
          <w:rFonts w:cstheme="minorHAnsi"/>
          <w:b/>
          <w:sz w:val="28"/>
          <w:szCs w:val="28"/>
        </w:rPr>
        <w:lastRenderedPageBreak/>
        <w:t>REFERENCES</w:t>
      </w:r>
    </w:p>
    <w:p w14:paraId="47CCEFC4" w14:textId="77777777" w:rsidR="0053570D" w:rsidRPr="000672E5" w:rsidRDefault="0053570D" w:rsidP="0053570D">
      <w:pPr>
        <w:widowControl w:val="0"/>
        <w:jc w:val="both"/>
        <w:rPr>
          <w:rFonts w:cstheme="minorHAnsi"/>
          <w:sz w:val="28"/>
          <w:szCs w:val="28"/>
        </w:rPr>
      </w:pPr>
      <w:r w:rsidRPr="000672E5">
        <w:rPr>
          <w:rFonts w:cstheme="minorHAnsi"/>
          <w:sz w:val="28"/>
          <w:szCs w:val="28"/>
        </w:rPr>
        <w:t>Altbach, P.G. and J. Knight. 2007. The internationalisation of higher education: motivations and realities. Journal of Studies in International Education, 11:290.</w:t>
      </w:r>
    </w:p>
    <w:p w14:paraId="67851992" w14:textId="2707EB80" w:rsidR="007E5111" w:rsidRDefault="007E5111" w:rsidP="0053570D">
      <w:pPr>
        <w:widowControl w:val="0"/>
        <w:jc w:val="both"/>
        <w:rPr>
          <w:rFonts w:cstheme="minorHAnsi"/>
          <w:sz w:val="28"/>
          <w:szCs w:val="28"/>
        </w:rPr>
      </w:pPr>
      <w:r>
        <w:rPr>
          <w:rFonts w:cstheme="minorHAnsi"/>
          <w:sz w:val="28"/>
          <w:szCs w:val="28"/>
        </w:rPr>
        <w:t>Author.2019. Relationships between onshore and offshore overseas student provision at UK universities. Forthcoming.</w:t>
      </w:r>
    </w:p>
    <w:p w14:paraId="3CB9E236" w14:textId="7832D7E4" w:rsidR="0053570D" w:rsidRPr="000672E5" w:rsidRDefault="0053570D" w:rsidP="0053570D">
      <w:pPr>
        <w:widowControl w:val="0"/>
        <w:jc w:val="both"/>
        <w:rPr>
          <w:rFonts w:cstheme="minorHAnsi"/>
          <w:sz w:val="28"/>
          <w:szCs w:val="28"/>
        </w:rPr>
      </w:pPr>
      <w:r w:rsidRPr="000672E5">
        <w:rPr>
          <w:rFonts w:cstheme="minorHAnsi"/>
          <w:sz w:val="28"/>
          <w:szCs w:val="28"/>
        </w:rPr>
        <w:t>Komutsky</w:t>
      </w:r>
      <w:r w:rsidR="00551B05">
        <w:rPr>
          <w:rFonts w:cstheme="minorHAnsi"/>
          <w:sz w:val="28"/>
          <w:szCs w:val="28"/>
        </w:rPr>
        <w:t>, A.</w:t>
      </w:r>
      <w:r w:rsidRPr="000672E5">
        <w:rPr>
          <w:rFonts w:cstheme="minorHAnsi"/>
          <w:sz w:val="28"/>
          <w:szCs w:val="28"/>
        </w:rPr>
        <w:t xml:space="preserve"> and R. Putty. 2015. Transcending borders and traversing boundaries: a systematic literature review of transnational, cross-border and borderless higher education. Journal of Studies in International Education. 20,1.</w:t>
      </w:r>
    </w:p>
    <w:p w14:paraId="4227F7C0" w14:textId="77777777" w:rsidR="0053570D" w:rsidRPr="000672E5" w:rsidRDefault="0053570D" w:rsidP="0053570D">
      <w:pPr>
        <w:widowControl w:val="0"/>
        <w:jc w:val="both"/>
        <w:rPr>
          <w:rFonts w:cstheme="minorHAnsi"/>
          <w:sz w:val="28"/>
          <w:szCs w:val="28"/>
        </w:rPr>
      </w:pPr>
      <w:r w:rsidRPr="000672E5">
        <w:rPr>
          <w:rFonts w:cstheme="minorHAnsi"/>
          <w:sz w:val="28"/>
          <w:szCs w:val="28"/>
        </w:rPr>
        <w:t>Lenton, P. 2007. Global value: the value of UK education and training exports: an update. London, British Council.</w:t>
      </w:r>
    </w:p>
    <w:p w14:paraId="2C170F4D" w14:textId="0BB2C296" w:rsidR="00551B05" w:rsidRDefault="00551B05" w:rsidP="00551B05">
      <w:pPr>
        <w:widowControl w:val="0"/>
        <w:jc w:val="both"/>
        <w:rPr>
          <w:rFonts w:cstheme="minorHAnsi"/>
          <w:sz w:val="28"/>
          <w:szCs w:val="28"/>
        </w:rPr>
      </w:pPr>
      <w:r>
        <w:rPr>
          <w:rFonts w:cstheme="minorHAnsi"/>
          <w:sz w:val="28"/>
          <w:szCs w:val="28"/>
        </w:rPr>
        <w:t xml:space="preserve">UK </w:t>
      </w:r>
      <w:r w:rsidRPr="000672E5">
        <w:rPr>
          <w:rFonts w:cstheme="minorHAnsi"/>
          <w:sz w:val="28"/>
          <w:szCs w:val="28"/>
        </w:rPr>
        <w:t>Department of Business, Innovation and Skills. 2014. The value of transnational education to the UK. BIS Research Paper Number 194. November, London.</w:t>
      </w:r>
    </w:p>
    <w:p w14:paraId="0E06BD40" w14:textId="77777777" w:rsidR="007E5111" w:rsidRDefault="0053570D" w:rsidP="0053570D">
      <w:pPr>
        <w:widowControl w:val="0"/>
        <w:tabs>
          <w:tab w:val="left" w:pos="3690"/>
        </w:tabs>
        <w:jc w:val="both"/>
        <w:rPr>
          <w:rFonts w:cstheme="minorHAnsi"/>
          <w:sz w:val="28"/>
          <w:szCs w:val="28"/>
        </w:rPr>
      </w:pPr>
      <w:r>
        <w:rPr>
          <w:rFonts w:cstheme="minorHAnsi"/>
          <w:sz w:val="28"/>
          <w:szCs w:val="28"/>
        </w:rPr>
        <w:t xml:space="preserve">UK </w:t>
      </w:r>
      <w:r w:rsidRPr="000672E5">
        <w:rPr>
          <w:rFonts w:cstheme="minorHAnsi"/>
          <w:sz w:val="28"/>
          <w:szCs w:val="28"/>
        </w:rPr>
        <w:t>Migration Advisory Committee. 2018. Impact of international students in the UK. September. London.</w:t>
      </w:r>
    </w:p>
    <w:p w14:paraId="40B21C83" w14:textId="77777777" w:rsidR="007E5111" w:rsidRDefault="007E5111">
      <w:pPr>
        <w:spacing w:after="160" w:line="259" w:lineRule="auto"/>
        <w:rPr>
          <w:rFonts w:cstheme="minorHAnsi"/>
          <w:sz w:val="28"/>
          <w:szCs w:val="28"/>
        </w:rPr>
      </w:pPr>
      <w:r>
        <w:rPr>
          <w:rFonts w:cstheme="minorHAnsi"/>
          <w:sz w:val="28"/>
          <w:szCs w:val="28"/>
        </w:rPr>
        <w:br w:type="page"/>
      </w:r>
    </w:p>
    <w:p w14:paraId="0BFC9586" w14:textId="77777777" w:rsidR="007E5111" w:rsidRDefault="007E5111" w:rsidP="007E5111">
      <w:pPr>
        <w:spacing w:after="160" w:line="259" w:lineRule="auto"/>
        <w:rPr>
          <w:rFonts w:ascii="Arial" w:hAnsi="Arial" w:cs="Arial"/>
          <w:sz w:val="28"/>
          <w:szCs w:val="28"/>
        </w:rPr>
      </w:pPr>
      <w:r>
        <w:rPr>
          <w:rFonts w:ascii="Arial" w:hAnsi="Arial" w:cs="Arial"/>
          <w:sz w:val="28"/>
          <w:szCs w:val="28"/>
        </w:rPr>
        <w:lastRenderedPageBreak/>
        <w:t>FUNDING DETAILS: The research presented in this paper is entirely self-funded.</w:t>
      </w:r>
    </w:p>
    <w:p w14:paraId="12585B31" w14:textId="7400F78A" w:rsidR="0053570D" w:rsidRDefault="007E5111" w:rsidP="007E5111">
      <w:pPr>
        <w:widowControl w:val="0"/>
        <w:tabs>
          <w:tab w:val="left" w:pos="3690"/>
        </w:tabs>
        <w:jc w:val="both"/>
        <w:rPr>
          <w:rFonts w:ascii="Arial" w:hAnsi="Arial" w:cs="Arial"/>
          <w:sz w:val="28"/>
          <w:szCs w:val="28"/>
        </w:rPr>
      </w:pPr>
      <w:r>
        <w:rPr>
          <w:rFonts w:ascii="Arial" w:hAnsi="Arial" w:cs="Arial"/>
          <w:sz w:val="28"/>
          <w:szCs w:val="28"/>
        </w:rPr>
        <w:t xml:space="preserve">DECLARATION OF INTEREST: No financial interest or benefit has arisen or will arise from the direct application of this research. </w:t>
      </w:r>
      <w:r w:rsidR="0053570D" w:rsidRPr="000672E5">
        <w:rPr>
          <w:rFonts w:ascii="Arial" w:hAnsi="Arial" w:cs="Arial"/>
          <w:sz w:val="28"/>
          <w:szCs w:val="28"/>
        </w:rPr>
        <w:t xml:space="preserve"> </w:t>
      </w:r>
      <w:r w:rsidR="0053570D" w:rsidRPr="000672E5">
        <w:rPr>
          <w:rFonts w:ascii="Arial" w:hAnsi="Arial" w:cs="Arial"/>
          <w:sz w:val="28"/>
          <w:szCs w:val="28"/>
        </w:rPr>
        <w:tab/>
      </w:r>
    </w:p>
    <w:p w14:paraId="0BC14B63" w14:textId="432D08BC" w:rsidR="00A05B02" w:rsidRDefault="0053570D" w:rsidP="00DC1667">
      <w:pPr>
        <w:spacing w:after="160" w:line="259" w:lineRule="auto"/>
        <w:rPr>
          <w:rFonts w:cstheme="minorHAnsi"/>
          <w:sz w:val="28"/>
          <w:szCs w:val="28"/>
        </w:rPr>
        <w:sectPr w:rsidR="00A05B02" w:rsidSect="009134D4">
          <w:footerReference w:type="default" r:id="rId8"/>
          <w:pgSz w:w="11906" w:h="16838"/>
          <w:pgMar w:top="1440" w:right="1440" w:bottom="1440" w:left="1440" w:header="708" w:footer="708" w:gutter="0"/>
          <w:cols w:space="708"/>
          <w:docGrid w:linePitch="360"/>
        </w:sectPr>
      </w:pPr>
      <w:r>
        <w:rPr>
          <w:rFonts w:ascii="Arial" w:hAnsi="Arial" w:cs="Arial"/>
          <w:sz w:val="28"/>
          <w:szCs w:val="28"/>
        </w:rPr>
        <w:br w:type="page"/>
      </w:r>
      <w:r>
        <w:rPr>
          <w:rFonts w:cstheme="minorHAnsi"/>
          <w:sz w:val="28"/>
          <w:szCs w:val="28"/>
        </w:rPr>
        <w:lastRenderedPageBreak/>
        <w:t xml:space="preserve"> </w:t>
      </w:r>
      <w:r w:rsidR="00A05B02" w:rsidRPr="000672E5">
        <w:rPr>
          <w:rFonts w:cstheme="minorHAnsi"/>
          <w:sz w:val="28"/>
          <w:szCs w:val="28"/>
        </w:rPr>
        <w:t xml:space="preserve"> </w:t>
      </w:r>
    </w:p>
    <w:p w14:paraId="62BDD59C" w14:textId="7013F961" w:rsidR="009134D4" w:rsidRDefault="009134D4">
      <w:pPr>
        <w:spacing w:after="160" w:line="259" w:lineRule="auto"/>
        <w:rPr>
          <w:rFonts w:ascii="Arial" w:hAnsi="Arial" w:cs="Arial"/>
          <w:sz w:val="28"/>
          <w:szCs w:val="28"/>
        </w:rPr>
      </w:pPr>
      <w:r>
        <w:rPr>
          <w:rFonts w:ascii="Arial" w:hAnsi="Arial" w:cs="Arial"/>
          <w:sz w:val="28"/>
          <w:szCs w:val="28"/>
        </w:rPr>
        <w:lastRenderedPageBreak/>
        <w:br w:type="page"/>
      </w:r>
    </w:p>
    <w:p w14:paraId="0D1F37E5" w14:textId="46DA82EE" w:rsidR="009134D4" w:rsidRDefault="009134D4"/>
    <w:tbl>
      <w:tblPr>
        <w:tblW w:w="8974" w:type="dxa"/>
        <w:tblLook w:val="04A0" w:firstRow="1" w:lastRow="0" w:firstColumn="1" w:lastColumn="0" w:noHBand="0" w:noVBand="1"/>
      </w:tblPr>
      <w:tblGrid>
        <w:gridCol w:w="4511"/>
        <w:gridCol w:w="1452"/>
        <w:gridCol w:w="1569"/>
        <w:gridCol w:w="1131"/>
        <w:gridCol w:w="311"/>
      </w:tblGrid>
      <w:tr w:rsidR="00A05B02" w:rsidRPr="00FD06A4" w14:paraId="0E62E8F5" w14:textId="77777777" w:rsidTr="00EF631B">
        <w:trPr>
          <w:trHeight w:val="332"/>
        </w:trPr>
        <w:tc>
          <w:tcPr>
            <w:tcW w:w="8974" w:type="dxa"/>
            <w:gridSpan w:val="5"/>
            <w:tcBorders>
              <w:top w:val="nil"/>
              <w:left w:val="nil"/>
              <w:bottom w:val="nil"/>
              <w:right w:val="nil"/>
            </w:tcBorders>
            <w:shd w:val="clear" w:color="auto" w:fill="auto"/>
            <w:noWrap/>
            <w:vAlign w:val="bottom"/>
            <w:hideMark/>
          </w:tcPr>
          <w:p w14:paraId="23ABBC48" w14:textId="1140750B" w:rsidR="00A05B02" w:rsidRPr="00FD06A4" w:rsidRDefault="00B75C91" w:rsidP="009134D4">
            <w:pPr>
              <w:widowControl w:val="0"/>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1</w:t>
            </w:r>
            <w:r w:rsidR="00A05B02" w:rsidRPr="00FD06A4">
              <w:rPr>
                <w:rFonts w:ascii="Calibri" w:eastAsia="Times New Roman" w:hAnsi="Calibri" w:cs="Calibri"/>
                <w:b/>
                <w:bCs/>
                <w:color w:val="5F735C"/>
                <w:lang w:eastAsia="en-GB"/>
              </w:rPr>
              <w:t>: Degr</w:t>
            </w:r>
            <w:r>
              <w:rPr>
                <w:rFonts w:ascii="Calibri" w:eastAsia="Times New Roman" w:hAnsi="Calibri" w:cs="Calibri"/>
                <w:b/>
                <w:bCs/>
                <w:color w:val="5F735C"/>
                <w:lang w:eastAsia="en-GB"/>
              </w:rPr>
              <w:t xml:space="preserve">ee of dependence on non-EU fees: </w:t>
            </w:r>
            <w:r w:rsidR="00A05B02" w:rsidRPr="00FD06A4">
              <w:rPr>
                <w:rFonts w:ascii="Calibri" w:eastAsia="Times New Roman" w:hAnsi="Calibri" w:cs="Calibri"/>
                <w:b/>
                <w:bCs/>
                <w:color w:val="5F735C"/>
                <w:lang w:eastAsia="en-GB"/>
              </w:rPr>
              <w:t>% UK universities</w:t>
            </w:r>
            <w:r w:rsidR="00A05B02">
              <w:rPr>
                <w:rFonts w:ascii="Calibri" w:eastAsia="Times New Roman" w:hAnsi="Calibri" w:cs="Calibri"/>
                <w:b/>
                <w:bCs/>
                <w:color w:val="5F735C"/>
                <w:lang w:eastAsia="en-GB"/>
              </w:rPr>
              <w:t>, 2015/16 (%rounded)</w:t>
            </w:r>
          </w:p>
        </w:tc>
      </w:tr>
      <w:tr w:rsidR="00A05B02" w:rsidRPr="00FD06A4" w14:paraId="285AF980" w14:textId="77777777" w:rsidTr="00EF631B">
        <w:trPr>
          <w:trHeight w:val="332"/>
        </w:trPr>
        <w:tc>
          <w:tcPr>
            <w:tcW w:w="4511"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038FA778"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r w:rsidRPr="00FD06A4">
              <w:rPr>
                <w:rFonts w:ascii="Calibri" w:eastAsia="Times New Roman" w:hAnsi="Calibri" w:cs="Calibri"/>
                <w:b/>
                <w:bCs/>
                <w:color w:val="FFFFFF"/>
                <w:lang w:eastAsia="en-GB"/>
              </w:rPr>
              <w:t>Non-EU fees as % UK fees</w:t>
            </w:r>
          </w:p>
        </w:tc>
        <w:tc>
          <w:tcPr>
            <w:tcW w:w="1452" w:type="dxa"/>
            <w:tcBorders>
              <w:top w:val="single" w:sz="4" w:space="0" w:color="FFFFFF"/>
              <w:left w:val="nil"/>
              <w:bottom w:val="single" w:sz="4" w:space="0" w:color="FFFFFF"/>
              <w:right w:val="single" w:sz="4" w:space="0" w:color="FFFFFF"/>
            </w:tcBorders>
            <w:shd w:val="clear" w:color="000000" w:fill="49723B"/>
            <w:noWrap/>
            <w:vAlign w:val="bottom"/>
            <w:hideMark/>
          </w:tcPr>
          <w:p w14:paraId="39185D5E"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r w:rsidRPr="00FD06A4">
              <w:rPr>
                <w:rFonts w:ascii="Calibri" w:eastAsia="Times New Roman" w:hAnsi="Calibri" w:cs="Calibri"/>
                <w:b/>
                <w:bCs/>
                <w:color w:val="FFFFFF"/>
                <w:lang w:eastAsia="en-GB"/>
              </w:rPr>
              <w:t>England</w:t>
            </w:r>
          </w:p>
        </w:tc>
        <w:tc>
          <w:tcPr>
            <w:tcW w:w="1569" w:type="dxa"/>
            <w:tcBorders>
              <w:top w:val="single" w:sz="4" w:space="0" w:color="FFFFFF"/>
              <w:left w:val="nil"/>
              <w:bottom w:val="single" w:sz="4" w:space="0" w:color="FFFFFF"/>
              <w:right w:val="single" w:sz="4" w:space="0" w:color="FFFFFF"/>
            </w:tcBorders>
            <w:shd w:val="clear" w:color="000000" w:fill="49723B"/>
            <w:noWrap/>
            <w:vAlign w:val="bottom"/>
            <w:hideMark/>
          </w:tcPr>
          <w:p w14:paraId="76C2B084"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r w:rsidRPr="00FD06A4">
              <w:rPr>
                <w:rFonts w:ascii="Calibri" w:eastAsia="Times New Roman" w:hAnsi="Calibri" w:cs="Calibri"/>
                <w:b/>
                <w:bCs/>
                <w:color w:val="FFFFFF"/>
                <w:lang w:eastAsia="en-GB"/>
              </w:rPr>
              <w:t xml:space="preserve">Scotland </w:t>
            </w:r>
          </w:p>
        </w:tc>
        <w:tc>
          <w:tcPr>
            <w:tcW w:w="1131" w:type="dxa"/>
            <w:tcBorders>
              <w:top w:val="single" w:sz="4" w:space="0" w:color="FFFFFF"/>
              <w:left w:val="nil"/>
              <w:bottom w:val="single" w:sz="4" w:space="0" w:color="FFFFFF"/>
              <w:right w:val="single" w:sz="4" w:space="0" w:color="FFFFFF"/>
            </w:tcBorders>
            <w:shd w:val="clear" w:color="000000" w:fill="49723B"/>
            <w:noWrap/>
            <w:vAlign w:val="bottom"/>
            <w:hideMark/>
          </w:tcPr>
          <w:p w14:paraId="25FAC233"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r w:rsidRPr="00FD06A4">
              <w:rPr>
                <w:rFonts w:ascii="Calibri" w:eastAsia="Times New Roman" w:hAnsi="Calibri" w:cs="Calibri"/>
                <w:b/>
                <w:bCs/>
                <w:color w:val="FFFFFF"/>
                <w:lang w:eastAsia="en-GB"/>
              </w:rPr>
              <w:t>Wales</w:t>
            </w:r>
          </w:p>
        </w:tc>
        <w:tc>
          <w:tcPr>
            <w:tcW w:w="311" w:type="dxa"/>
            <w:tcBorders>
              <w:top w:val="nil"/>
              <w:left w:val="nil"/>
              <w:bottom w:val="nil"/>
              <w:right w:val="nil"/>
            </w:tcBorders>
            <w:shd w:val="clear" w:color="auto" w:fill="auto"/>
            <w:noWrap/>
            <w:vAlign w:val="bottom"/>
            <w:hideMark/>
          </w:tcPr>
          <w:p w14:paraId="1FF8D6F3"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p>
        </w:tc>
      </w:tr>
      <w:tr w:rsidR="00A05B02" w:rsidRPr="00FD06A4" w14:paraId="45B24B6A" w14:textId="77777777" w:rsidTr="00EF631B">
        <w:trPr>
          <w:trHeight w:val="332"/>
        </w:trPr>
        <w:tc>
          <w:tcPr>
            <w:tcW w:w="4511" w:type="dxa"/>
            <w:tcBorders>
              <w:top w:val="nil"/>
              <w:left w:val="single" w:sz="4" w:space="0" w:color="FFFFFF"/>
              <w:bottom w:val="single" w:sz="4" w:space="0" w:color="FFFFFF"/>
              <w:right w:val="single" w:sz="4" w:space="0" w:color="FFFFFF"/>
            </w:tcBorders>
            <w:shd w:val="clear" w:color="000000" w:fill="49723B"/>
            <w:noWrap/>
            <w:vAlign w:val="bottom"/>
            <w:hideMark/>
          </w:tcPr>
          <w:p w14:paraId="45227971"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r w:rsidRPr="00FD06A4">
              <w:rPr>
                <w:rFonts w:ascii="Calibri" w:eastAsia="Times New Roman" w:hAnsi="Calibri" w:cs="Calibri"/>
                <w:b/>
                <w:bCs/>
                <w:color w:val="FFFFFF"/>
                <w:lang w:eastAsia="en-GB"/>
              </w:rPr>
              <w:t>&lt;10</w:t>
            </w:r>
          </w:p>
        </w:tc>
        <w:tc>
          <w:tcPr>
            <w:tcW w:w="1452" w:type="dxa"/>
            <w:tcBorders>
              <w:top w:val="nil"/>
              <w:left w:val="nil"/>
              <w:bottom w:val="single" w:sz="4" w:space="0" w:color="FFFFFF"/>
              <w:right w:val="single" w:sz="4" w:space="0" w:color="FFFFFF"/>
            </w:tcBorders>
            <w:shd w:val="clear" w:color="000000" w:fill="EFEAE6"/>
            <w:noWrap/>
            <w:vAlign w:val="bottom"/>
            <w:hideMark/>
          </w:tcPr>
          <w:p w14:paraId="5699CB00"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30</w:t>
            </w:r>
          </w:p>
        </w:tc>
        <w:tc>
          <w:tcPr>
            <w:tcW w:w="1569" w:type="dxa"/>
            <w:tcBorders>
              <w:top w:val="nil"/>
              <w:left w:val="nil"/>
              <w:bottom w:val="single" w:sz="4" w:space="0" w:color="FFFFFF"/>
              <w:right w:val="single" w:sz="4" w:space="0" w:color="FFFFFF"/>
            </w:tcBorders>
            <w:shd w:val="clear" w:color="000000" w:fill="EFEAE6"/>
            <w:noWrap/>
            <w:vAlign w:val="bottom"/>
            <w:hideMark/>
          </w:tcPr>
          <w:p w14:paraId="650DAEDE"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13</w:t>
            </w:r>
          </w:p>
        </w:tc>
        <w:tc>
          <w:tcPr>
            <w:tcW w:w="1131" w:type="dxa"/>
            <w:tcBorders>
              <w:top w:val="nil"/>
              <w:left w:val="nil"/>
              <w:bottom w:val="single" w:sz="4" w:space="0" w:color="FFFFFF"/>
              <w:right w:val="single" w:sz="4" w:space="0" w:color="FFFFFF"/>
            </w:tcBorders>
            <w:shd w:val="clear" w:color="000000" w:fill="EFEAE6"/>
            <w:noWrap/>
            <w:vAlign w:val="bottom"/>
            <w:hideMark/>
          </w:tcPr>
          <w:p w14:paraId="58FA5BC1"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33</w:t>
            </w:r>
          </w:p>
        </w:tc>
        <w:tc>
          <w:tcPr>
            <w:tcW w:w="311" w:type="dxa"/>
            <w:tcBorders>
              <w:top w:val="nil"/>
              <w:left w:val="nil"/>
              <w:bottom w:val="nil"/>
              <w:right w:val="nil"/>
            </w:tcBorders>
            <w:shd w:val="clear" w:color="auto" w:fill="auto"/>
            <w:noWrap/>
            <w:vAlign w:val="bottom"/>
            <w:hideMark/>
          </w:tcPr>
          <w:p w14:paraId="179EE48A"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FD06A4" w14:paraId="586B716D" w14:textId="77777777" w:rsidTr="00EF631B">
        <w:trPr>
          <w:trHeight w:val="332"/>
        </w:trPr>
        <w:tc>
          <w:tcPr>
            <w:tcW w:w="4511" w:type="dxa"/>
            <w:tcBorders>
              <w:top w:val="nil"/>
              <w:left w:val="single" w:sz="4" w:space="0" w:color="FFFFFF"/>
              <w:bottom w:val="single" w:sz="4" w:space="0" w:color="FFFFFF"/>
              <w:right w:val="single" w:sz="4" w:space="0" w:color="FFFFFF"/>
            </w:tcBorders>
            <w:shd w:val="clear" w:color="000000" w:fill="49723B"/>
            <w:noWrap/>
            <w:vAlign w:val="bottom"/>
            <w:hideMark/>
          </w:tcPr>
          <w:p w14:paraId="6403EDB5"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r w:rsidRPr="00FD06A4">
              <w:rPr>
                <w:rFonts w:ascii="Calibri" w:eastAsia="Times New Roman" w:hAnsi="Calibri" w:cs="Calibri"/>
                <w:b/>
                <w:bCs/>
                <w:color w:val="FFFFFF"/>
                <w:lang w:eastAsia="en-GB"/>
              </w:rPr>
              <w:t>10-19.99</w:t>
            </w:r>
          </w:p>
        </w:tc>
        <w:tc>
          <w:tcPr>
            <w:tcW w:w="1452" w:type="dxa"/>
            <w:tcBorders>
              <w:top w:val="nil"/>
              <w:left w:val="nil"/>
              <w:bottom w:val="single" w:sz="4" w:space="0" w:color="FFFFFF"/>
              <w:right w:val="single" w:sz="4" w:space="0" w:color="FFFFFF"/>
            </w:tcBorders>
            <w:shd w:val="clear" w:color="000000" w:fill="EFEAE6"/>
            <w:noWrap/>
            <w:vAlign w:val="bottom"/>
            <w:hideMark/>
          </w:tcPr>
          <w:p w14:paraId="05C32E8C"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32</w:t>
            </w:r>
          </w:p>
        </w:tc>
        <w:tc>
          <w:tcPr>
            <w:tcW w:w="1569" w:type="dxa"/>
            <w:tcBorders>
              <w:top w:val="nil"/>
              <w:left w:val="nil"/>
              <w:bottom w:val="single" w:sz="4" w:space="0" w:color="FFFFFF"/>
              <w:right w:val="single" w:sz="4" w:space="0" w:color="FFFFFF"/>
            </w:tcBorders>
            <w:shd w:val="clear" w:color="000000" w:fill="EFEAE6"/>
            <w:noWrap/>
            <w:vAlign w:val="bottom"/>
            <w:hideMark/>
          </w:tcPr>
          <w:p w14:paraId="2BDD52A7"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0</w:t>
            </w:r>
          </w:p>
        </w:tc>
        <w:tc>
          <w:tcPr>
            <w:tcW w:w="1131" w:type="dxa"/>
            <w:tcBorders>
              <w:top w:val="nil"/>
              <w:left w:val="nil"/>
              <w:bottom w:val="single" w:sz="4" w:space="0" w:color="FFFFFF"/>
              <w:right w:val="single" w:sz="4" w:space="0" w:color="FFFFFF"/>
            </w:tcBorders>
            <w:shd w:val="clear" w:color="000000" w:fill="EFEAE6"/>
            <w:noWrap/>
            <w:vAlign w:val="bottom"/>
            <w:hideMark/>
          </w:tcPr>
          <w:p w14:paraId="64B8A76F"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33</w:t>
            </w:r>
          </w:p>
        </w:tc>
        <w:tc>
          <w:tcPr>
            <w:tcW w:w="311" w:type="dxa"/>
            <w:tcBorders>
              <w:top w:val="nil"/>
              <w:left w:val="nil"/>
              <w:bottom w:val="nil"/>
              <w:right w:val="nil"/>
            </w:tcBorders>
            <w:shd w:val="clear" w:color="auto" w:fill="auto"/>
            <w:noWrap/>
            <w:vAlign w:val="bottom"/>
            <w:hideMark/>
          </w:tcPr>
          <w:p w14:paraId="1AFC3434"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FD06A4" w14:paraId="345CE279" w14:textId="77777777" w:rsidTr="00EF631B">
        <w:trPr>
          <w:trHeight w:val="332"/>
        </w:trPr>
        <w:tc>
          <w:tcPr>
            <w:tcW w:w="4511" w:type="dxa"/>
            <w:tcBorders>
              <w:top w:val="nil"/>
              <w:left w:val="single" w:sz="4" w:space="0" w:color="FFFFFF"/>
              <w:bottom w:val="single" w:sz="4" w:space="0" w:color="FFFFFF"/>
              <w:right w:val="single" w:sz="4" w:space="0" w:color="FFFFFF"/>
            </w:tcBorders>
            <w:shd w:val="clear" w:color="000000" w:fill="49723B"/>
            <w:noWrap/>
            <w:vAlign w:val="bottom"/>
            <w:hideMark/>
          </w:tcPr>
          <w:p w14:paraId="2CEB47D4"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r w:rsidRPr="00FD06A4">
              <w:rPr>
                <w:rFonts w:ascii="Calibri" w:eastAsia="Times New Roman" w:hAnsi="Calibri" w:cs="Calibri"/>
                <w:b/>
                <w:bCs/>
                <w:color w:val="FFFFFF"/>
                <w:lang w:eastAsia="en-GB"/>
              </w:rPr>
              <w:t>20-29.99</w:t>
            </w:r>
          </w:p>
        </w:tc>
        <w:tc>
          <w:tcPr>
            <w:tcW w:w="1452" w:type="dxa"/>
            <w:tcBorders>
              <w:top w:val="nil"/>
              <w:left w:val="nil"/>
              <w:bottom w:val="single" w:sz="4" w:space="0" w:color="FFFFFF"/>
              <w:right w:val="single" w:sz="4" w:space="0" w:color="FFFFFF"/>
            </w:tcBorders>
            <w:shd w:val="clear" w:color="000000" w:fill="EFEAE6"/>
            <w:noWrap/>
            <w:vAlign w:val="bottom"/>
            <w:hideMark/>
          </w:tcPr>
          <w:p w14:paraId="592F52B3"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10</w:t>
            </w:r>
          </w:p>
        </w:tc>
        <w:tc>
          <w:tcPr>
            <w:tcW w:w="1569" w:type="dxa"/>
            <w:tcBorders>
              <w:top w:val="nil"/>
              <w:left w:val="nil"/>
              <w:bottom w:val="single" w:sz="4" w:space="0" w:color="FFFFFF"/>
              <w:right w:val="single" w:sz="4" w:space="0" w:color="FFFFFF"/>
            </w:tcBorders>
            <w:shd w:val="clear" w:color="000000" w:fill="EFEAE6"/>
            <w:noWrap/>
            <w:vAlign w:val="bottom"/>
            <w:hideMark/>
          </w:tcPr>
          <w:p w14:paraId="07849032"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13</w:t>
            </w:r>
          </w:p>
        </w:tc>
        <w:tc>
          <w:tcPr>
            <w:tcW w:w="1131" w:type="dxa"/>
            <w:tcBorders>
              <w:top w:val="nil"/>
              <w:left w:val="nil"/>
              <w:bottom w:val="single" w:sz="4" w:space="0" w:color="FFFFFF"/>
              <w:right w:val="single" w:sz="4" w:space="0" w:color="FFFFFF"/>
            </w:tcBorders>
            <w:shd w:val="clear" w:color="000000" w:fill="EFEAE6"/>
            <w:noWrap/>
            <w:vAlign w:val="bottom"/>
            <w:hideMark/>
          </w:tcPr>
          <w:p w14:paraId="039C889D"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33</w:t>
            </w:r>
          </w:p>
        </w:tc>
        <w:tc>
          <w:tcPr>
            <w:tcW w:w="311" w:type="dxa"/>
            <w:tcBorders>
              <w:top w:val="nil"/>
              <w:left w:val="nil"/>
              <w:bottom w:val="nil"/>
              <w:right w:val="nil"/>
            </w:tcBorders>
            <w:shd w:val="clear" w:color="auto" w:fill="auto"/>
            <w:noWrap/>
            <w:vAlign w:val="bottom"/>
            <w:hideMark/>
          </w:tcPr>
          <w:p w14:paraId="27319639"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FD06A4" w14:paraId="089E27D7" w14:textId="77777777" w:rsidTr="00EF631B">
        <w:trPr>
          <w:trHeight w:val="332"/>
        </w:trPr>
        <w:tc>
          <w:tcPr>
            <w:tcW w:w="4511" w:type="dxa"/>
            <w:tcBorders>
              <w:top w:val="nil"/>
              <w:left w:val="single" w:sz="4" w:space="0" w:color="FFFFFF"/>
              <w:bottom w:val="single" w:sz="4" w:space="0" w:color="FFFFFF"/>
              <w:right w:val="single" w:sz="4" w:space="0" w:color="FFFFFF"/>
            </w:tcBorders>
            <w:shd w:val="clear" w:color="000000" w:fill="49723B"/>
            <w:noWrap/>
            <w:vAlign w:val="bottom"/>
            <w:hideMark/>
          </w:tcPr>
          <w:p w14:paraId="6A6906A9"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r w:rsidRPr="00FD06A4">
              <w:rPr>
                <w:rFonts w:ascii="Calibri" w:eastAsia="Times New Roman" w:hAnsi="Calibri" w:cs="Calibri"/>
                <w:b/>
                <w:bCs/>
                <w:color w:val="FFFFFF"/>
                <w:lang w:eastAsia="en-GB"/>
              </w:rPr>
              <w:t>30-39.99</w:t>
            </w:r>
          </w:p>
        </w:tc>
        <w:tc>
          <w:tcPr>
            <w:tcW w:w="1452" w:type="dxa"/>
            <w:tcBorders>
              <w:top w:val="nil"/>
              <w:left w:val="nil"/>
              <w:bottom w:val="single" w:sz="4" w:space="0" w:color="FFFFFF"/>
              <w:right w:val="single" w:sz="4" w:space="0" w:color="FFFFFF"/>
            </w:tcBorders>
            <w:shd w:val="clear" w:color="000000" w:fill="EFEAE6"/>
            <w:noWrap/>
            <w:vAlign w:val="bottom"/>
            <w:hideMark/>
          </w:tcPr>
          <w:p w14:paraId="5A315EE7"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21</w:t>
            </w:r>
          </w:p>
        </w:tc>
        <w:tc>
          <w:tcPr>
            <w:tcW w:w="1569" w:type="dxa"/>
            <w:tcBorders>
              <w:top w:val="nil"/>
              <w:left w:val="nil"/>
              <w:bottom w:val="single" w:sz="4" w:space="0" w:color="FFFFFF"/>
              <w:right w:val="single" w:sz="4" w:space="0" w:color="FFFFFF"/>
            </w:tcBorders>
            <w:shd w:val="clear" w:color="000000" w:fill="EFEAE6"/>
            <w:noWrap/>
            <w:vAlign w:val="bottom"/>
            <w:hideMark/>
          </w:tcPr>
          <w:p w14:paraId="3312B822"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27</w:t>
            </w:r>
          </w:p>
        </w:tc>
        <w:tc>
          <w:tcPr>
            <w:tcW w:w="1131" w:type="dxa"/>
            <w:tcBorders>
              <w:top w:val="nil"/>
              <w:left w:val="nil"/>
              <w:bottom w:val="single" w:sz="4" w:space="0" w:color="FFFFFF"/>
              <w:right w:val="single" w:sz="4" w:space="0" w:color="FFFFFF"/>
            </w:tcBorders>
            <w:shd w:val="clear" w:color="000000" w:fill="EFEAE6"/>
            <w:noWrap/>
            <w:vAlign w:val="bottom"/>
            <w:hideMark/>
          </w:tcPr>
          <w:p w14:paraId="702EBFA0"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0</w:t>
            </w:r>
          </w:p>
        </w:tc>
        <w:tc>
          <w:tcPr>
            <w:tcW w:w="311" w:type="dxa"/>
            <w:tcBorders>
              <w:top w:val="nil"/>
              <w:left w:val="nil"/>
              <w:bottom w:val="nil"/>
              <w:right w:val="nil"/>
            </w:tcBorders>
            <w:shd w:val="clear" w:color="auto" w:fill="auto"/>
            <w:noWrap/>
            <w:vAlign w:val="bottom"/>
            <w:hideMark/>
          </w:tcPr>
          <w:p w14:paraId="4C7A3DB5"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FD06A4" w14:paraId="400473E7" w14:textId="77777777" w:rsidTr="00EF631B">
        <w:trPr>
          <w:trHeight w:val="332"/>
        </w:trPr>
        <w:tc>
          <w:tcPr>
            <w:tcW w:w="4511" w:type="dxa"/>
            <w:tcBorders>
              <w:top w:val="nil"/>
              <w:left w:val="single" w:sz="4" w:space="0" w:color="FFFFFF"/>
              <w:bottom w:val="single" w:sz="4" w:space="0" w:color="FFFFFF"/>
              <w:right w:val="single" w:sz="4" w:space="0" w:color="FFFFFF"/>
            </w:tcBorders>
            <w:shd w:val="clear" w:color="000000" w:fill="49723B"/>
            <w:noWrap/>
            <w:vAlign w:val="bottom"/>
            <w:hideMark/>
          </w:tcPr>
          <w:p w14:paraId="366B29D7"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r w:rsidRPr="00FD06A4">
              <w:rPr>
                <w:rFonts w:ascii="Calibri" w:eastAsia="Times New Roman" w:hAnsi="Calibri" w:cs="Calibri"/>
                <w:b/>
                <w:bCs/>
                <w:color w:val="FFFFFF"/>
                <w:lang w:eastAsia="en-GB"/>
              </w:rPr>
              <w:t>40-49.99</w:t>
            </w:r>
          </w:p>
        </w:tc>
        <w:tc>
          <w:tcPr>
            <w:tcW w:w="1452" w:type="dxa"/>
            <w:tcBorders>
              <w:top w:val="nil"/>
              <w:left w:val="nil"/>
              <w:bottom w:val="single" w:sz="4" w:space="0" w:color="FFFFFF"/>
              <w:right w:val="single" w:sz="4" w:space="0" w:color="FFFFFF"/>
            </w:tcBorders>
            <w:shd w:val="clear" w:color="000000" w:fill="EFEAE6"/>
            <w:noWrap/>
            <w:vAlign w:val="bottom"/>
            <w:hideMark/>
          </w:tcPr>
          <w:p w14:paraId="4830E290"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8</w:t>
            </w:r>
          </w:p>
        </w:tc>
        <w:tc>
          <w:tcPr>
            <w:tcW w:w="1569" w:type="dxa"/>
            <w:tcBorders>
              <w:top w:val="nil"/>
              <w:left w:val="nil"/>
              <w:bottom w:val="single" w:sz="4" w:space="0" w:color="FFFFFF"/>
              <w:right w:val="single" w:sz="4" w:space="0" w:color="FFFFFF"/>
            </w:tcBorders>
            <w:shd w:val="clear" w:color="000000" w:fill="EFEAE6"/>
            <w:noWrap/>
            <w:vAlign w:val="bottom"/>
            <w:hideMark/>
          </w:tcPr>
          <w:p w14:paraId="167096C4"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20</w:t>
            </w:r>
          </w:p>
        </w:tc>
        <w:tc>
          <w:tcPr>
            <w:tcW w:w="1131" w:type="dxa"/>
            <w:tcBorders>
              <w:top w:val="nil"/>
              <w:left w:val="nil"/>
              <w:bottom w:val="single" w:sz="4" w:space="0" w:color="FFFFFF"/>
              <w:right w:val="single" w:sz="4" w:space="0" w:color="FFFFFF"/>
            </w:tcBorders>
            <w:shd w:val="clear" w:color="000000" w:fill="EFEAE6"/>
            <w:noWrap/>
            <w:vAlign w:val="bottom"/>
            <w:hideMark/>
          </w:tcPr>
          <w:p w14:paraId="7854989E"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0</w:t>
            </w:r>
          </w:p>
        </w:tc>
        <w:tc>
          <w:tcPr>
            <w:tcW w:w="311" w:type="dxa"/>
            <w:tcBorders>
              <w:top w:val="nil"/>
              <w:left w:val="nil"/>
              <w:bottom w:val="nil"/>
              <w:right w:val="nil"/>
            </w:tcBorders>
            <w:shd w:val="clear" w:color="auto" w:fill="auto"/>
            <w:noWrap/>
            <w:vAlign w:val="bottom"/>
            <w:hideMark/>
          </w:tcPr>
          <w:p w14:paraId="606FE72C"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FD06A4" w14:paraId="6A41B86C" w14:textId="77777777" w:rsidTr="00EF631B">
        <w:trPr>
          <w:trHeight w:val="332"/>
        </w:trPr>
        <w:tc>
          <w:tcPr>
            <w:tcW w:w="4511" w:type="dxa"/>
            <w:tcBorders>
              <w:top w:val="nil"/>
              <w:left w:val="single" w:sz="4" w:space="0" w:color="FFFFFF"/>
              <w:bottom w:val="single" w:sz="4" w:space="0" w:color="FFFFFF"/>
              <w:right w:val="single" w:sz="4" w:space="0" w:color="FFFFFF"/>
            </w:tcBorders>
            <w:shd w:val="clear" w:color="000000" w:fill="49723B"/>
            <w:noWrap/>
            <w:vAlign w:val="bottom"/>
            <w:hideMark/>
          </w:tcPr>
          <w:p w14:paraId="05DF347F" w14:textId="77777777" w:rsidR="00A05B02" w:rsidRPr="00FD06A4" w:rsidRDefault="00A05B02" w:rsidP="009134D4">
            <w:pPr>
              <w:widowControl w:val="0"/>
              <w:spacing w:after="0" w:line="240" w:lineRule="auto"/>
              <w:jc w:val="center"/>
              <w:rPr>
                <w:rFonts w:ascii="Calibri" w:eastAsia="Times New Roman" w:hAnsi="Calibri" w:cs="Calibri"/>
                <w:b/>
                <w:bCs/>
                <w:color w:val="FFFFFF"/>
                <w:lang w:eastAsia="en-GB"/>
              </w:rPr>
            </w:pPr>
            <w:r w:rsidRPr="00FD06A4">
              <w:rPr>
                <w:rFonts w:ascii="Calibri" w:eastAsia="Times New Roman" w:hAnsi="Calibri" w:cs="Calibri"/>
                <w:b/>
                <w:bCs/>
                <w:color w:val="FFFFFF"/>
                <w:lang w:eastAsia="en-GB"/>
              </w:rPr>
              <w:t>50&gt;</w:t>
            </w:r>
          </w:p>
        </w:tc>
        <w:tc>
          <w:tcPr>
            <w:tcW w:w="1452" w:type="dxa"/>
            <w:tcBorders>
              <w:top w:val="nil"/>
              <w:left w:val="nil"/>
              <w:bottom w:val="single" w:sz="4" w:space="0" w:color="FFFFFF"/>
              <w:right w:val="single" w:sz="4" w:space="0" w:color="FFFFFF"/>
            </w:tcBorders>
            <w:shd w:val="clear" w:color="000000" w:fill="EFEAE6"/>
            <w:noWrap/>
            <w:vAlign w:val="bottom"/>
            <w:hideMark/>
          </w:tcPr>
          <w:p w14:paraId="5EED9BDD"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0</w:t>
            </w:r>
          </w:p>
        </w:tc>
        <w:tc>
          <w:tcPr>
            <w:tcW w:w="1569" w:type="dxa"/>
            <w:tcBorders>
              <w:top w:val="nil"/>
              <w:left w:val="nil"/>
              <w:bottom w:val="single" w:sz="4" w:space="0" w:color="FFFFFF"/>
              <w:right w:val="single" w:sz="4" w:space="0" w:color="FFFFFF"/>
            </w:tcBorders>
            <w:shd w:val="clear" w:color="000000" w:fill="EFEAE6"/>
            <w:noWrap/>
            <w:vAlign w:val="bottom"/>
            <w:hideMark/>
          </w:tcPr>
          <w:p w14:paraId="5C81622C"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27</w:t>
            </w:r>
          </w:p>
        </w:tc>
        <w:tc>
          <w:tcPr>
            <w:tcW w:w="1131" w:type="dxa"/>
            <w:tcBorders>
              <w:top w:val="nil"/>
              <w:left w:val="nil"/>
              <w:bottom w:val="single" w:sz="4" w:space="0" w:color="FFFFFF"/>
              <w:right w:val="single" w:sz="4" w:space="0" w:color="FFFFFF"/>
            </w:tcBorders>
            <w:shd w:val="clear" w:color="000000" w:fill="EFEAE6"/>
            <w:noWrap/>
            <w:vAlign w:val="bottom"/>
            <w:hideMark/>
          </w:tcPr>
          <w:p w14:paraId="6AA0199C"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r w:rsidRPr="00FD06A4">
              <w:rPr>
                <w:rFonts w:ascii="Calibri" w:eastAsia="Times New Roman" w:hAnsi="Calibri" w:cs="Calibri"/>
                <w:color w:val="000000"/>
                <w:lang w:eastAsia="en-GB"/>
              </w:rPr>
              <w:t>0</w:t>
            </w:r>
          </w:p>
        </w:tc>
        <w:tc>
          <w:tcPr>
            <w:tcW w:w="311" w:type="dxa"/>
            <w:tcBorders>
              <w:top w:val="nil"/>
              <w:left w:val="nil"/>
              <w:bottom w:val="nil"/>
              <w:right w:val="nil"/>
            </w:tcBorders>
            <w:shd w:val="clear" w:color="auto" w:fill="auto"/>
            <w:noWrap/>
            <w:vAlign w:val="bottom"/>
            <w:hideMark/>
          </w:tcPr>
          <w:p w14:paraId="1B035788" w14:textId="77777777" w:rsidR="00A05B02" w:rsidRPr="00FD06A4" w:rsidRDefault="00A05B02" w:rsidP="009134D4">
            <w:pPr>
              <w:widowControl w:val="0"/>
              <w:spacing w:after="0" w:line="240" w:lineRule="auto"/>
              <w:jc w:val="center"/>
              <w:rPr>
                <w:rFonts w:ascii="Calibri" w:eastAsia="Times New Roman" w:hAnsi="Calibri" w:cs="Calibri"/>
                <w:color w:val="000000"/>
                <w:lang w:eastAsia="en-GB"/>
              </w:rPr>
            </w:pPr>
          </w:p>
        </w:tc>
      </w:tr>
    </w:tbl>
    <w:p w14:paraId="37E587E5" w14:textId="77777777" w:rsidR="00EF631B" w:rsidRDefault="00EF631B">
      <w:r>
        <w:br w:type="page"/>
      </w:r>
    </w:p>
    <w:p w14:paraId="23A3D4F3" w14:textId="08198F30" w:rsidR="00EF631B" w:rsidRDefault="00EF631B"/>
    <w:tbl>
      <w:tblPr>
        <w:tblW w:w="11228" w:type="dxa"/>
        <w:tblLook w:val="04A0" w:firstRow="1" w:lastRow="0" w:firstColumn="1" w:lastColumn="0" w:noHBand="0" w:noVBand="1"/>
      </w:tblPr>
      <w:tblGrid>
        <w:gridCol w:w="1388"/>
        <w:gridCol w:w="3039"/>
        <w:gridCol w:w="3207"/>
        <w:gridCol w:w="222"/>
        <w:gridCol w:w="222"/>
        <w:gridCol w:w="222"/>
        <w:gridCol w:w="976"/>
        <w:gridCol w:w="976"/>
        <w:gridCol w:w="976"/>
      </w:tblGrid>
      <w:tr w:rsidR="00A05B02" w:rsidRPr="00756B0A" w14:paraId="732A9E4C" w14:textId="77777777" w:rsidTr="009134D4">
        <w:trPr>
          <w:trHeight w:val="288"/>
        </w:trPr>
        <w:tc>
          <w:tcPr>
            <w:tcW w:w="8300" w:type="dxa"/>
            <w:gridSpan w:val="6"/>
            <w:tcBorders>
              <w:top w:val="nil"/>
              <w:left w:val="nil"/>
              <w:bottom w:val="nil"/>
              <w:right w:val="nil"/>
            </w:tcBorders>
            <w:shd w:val="clear" w:color="auto" w:fill="auto"/>
            <w:noWrap/>
            <w:vAlign w:val="bottom"/>
            <w:hideMark/>
          </w:tcPr>
          <w:p w14:paraId="30920E2D" w14:textId="0997E7CA" w:rsidR="00A05B02" w:rsidRDefault="00A05B02" w:rsidP="009134D4">
            <w:pPr>
              <w:widowControl w:val="0"/>
              <w:spacing w:after="0" w:line="240" w:lineRule="auto"/>
              <w:rPr>
                <w:rFonts w:ascii="Calibri" w:eastAsia="Times New Roman" w:hAnsi="Calibri" w:cs="Calibri"/>
                <w:b/>
                <w:bCs/>
                <w:color w:val="5F735C"/>
                <w:lang w:eastAsia="en-GB"/>
              </w:rPr>
            </w:pPr>
          </w:p>
          <w:p w14:paraId="6E369FA6" w14:textId="525BACDE" w:rsidR="00A05B02" w:rsidRPr="00756B0A" w:rsidRDefault="007F34A8" w:rsidP="009134D4">
            <w:pPr>
              <w:widowControl w:val="0"/>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2</w:t>
            </w:r>
            <w:r w:rsidR="00A05B02">
              <w:rPr>
                <w:rFonts w:ascii="Calibri" w:eastAsia="Times New Roman" w:hAnsi="Calibri" w:cs="Calibri"/>
                <w:b/>
                <w:bCs/>
                <w:color w:val="5F735C"/>
                <w:lang w:eastAsia="en-GB"/>
              </w:rPr>
              <w:t>:</w:t>
            </w:r>
            <w:r w:rsidR="00A05B02" w:rsidRPr="00756B0A">
              <w:rPr>
                <w:rFonts w:ascii="Calibri" w:eastAsia="Times New Roman" w:hAnsi="Calibri" w:cs="Calibri"/>
                <w:b/>
                <w:bCs/>
                <w:color w:val="5F735C"/>
                <w:lang w:eastAsia="en-GB"/>
              </w:rPr>
              <w:t xml:space="preserve"> Relationship between onshore overseas student profitability index </w:t>
            </w:r>
          </w:p>
        </w:tc>
        <w:tc>
          <w:tcPr>
            <w:tcW w:w="976" w:type="dxa"/>
            <w:tcBorders>
              <w:top w:val="nil"/>
              <w:left w:val="nil"/>
              <w:bottom w:val="nil"/>
              <w:right w:val="nil"/>
            </w:tcBorders>
            <w:shd w:val="clear" w:color="auto" w:fill="auto"/>
            <w:noWrap/>
            <w:vAlign w:val="bottom"/>
            <w:hideMark/>
          </w:tcPr>
          <w:p w14:paraId="40979233" w14:textId="77777777" w:rsidR="00A05B02" w:rsidRPr="00756B0A" w:rsidRDefault="00A05B02" w:rsidP="009134D4">
            <w:pPr>
              <w:widowControl w:val="0"/>
              <w:spacing w:after="0" w:line="240" w:lineRule="auto"/>
              <w:rPr>
                <w:rFonts w:ascii="Calibri" w:eastAsia="Times New Roman" w:hAnsi="Calibri" w:cs="Calibri"/>
                <w:b/>
                <w:bCs/>
                <w:color w:val="5F735C"/>
                <w:lang w:eastAsia="en-GB"/>
              </w:rPr>
            </w:pPr>
          </w:p>
        </w:tc>
        <w:tc>
          <w:tcPr>
            <w:tcW w:w="976" w:type="dxa"/>
            <w:tcBorders>
              <w:top w:val="nil"/>
              <w:left w:val="nil"/>
              <w:bottom w:val="nil"/>
              <w:right w:val="nil"/>
            </w:tcBorders>
            <w:shd w:val="clear" w:color="auto" w:fill="auto"/>
            <w:noWrap/>
            <w:vAlign w:val="bottom"/>
            <w:hideMark/>
          </w:tcPr>
          <w:p w14:paraId="11D081C7"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70F5B34"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4CC5DB00" w14:textId="77777777" w:rsidTr="009134D4">
        <w:trPr>
          <w:trHeight w:val="288"/>
        </w:trPr>
        <w:tc>
          <w:tcPr>
            <w:tcW w:w="7634" w:type="dxa"/>
            <w:gridSpan w:val="3"/>
            <w:tcBorders>
              <w:top w:val="nil"/>
              <w:left w:val="nil"/>
              <w:bottom w:val="nil"/>
              <w:right w:val="nil"/>
            </w:tcBorders>
            <w:shd w:val="clear" w:color="auto" w:fill="auto"/>
            <w:noWrap/>
            <w:vAlign w:val="bottom"/>
            <w:hideMark/>
          </w:tcPr>
          <w:p w14:paraId="4507C398" w14:textId="77777777" w:rsidR="00A05B02" w:rsidRPr="00756B0A" w:rsidRDefault="00A05B02" w:rsidP="009134D4">
            <w:pPr>
              <w:widowControl w:val="0"/>
              <w:spacing w:after="0" w:line="240" w:lineRule="auto"/>
              <w:rPr>
                <w:rFonts w:ascii="Calibri" w:eastAsia="Times New Roman" w:hAnsi="Calibri" w:cs="Calibri"/>
                <w:b/>
                <w:bCs/>
                <w:color w:val="5F735C"/>
                <w:lang w:eastAsia="en-GB"/>
              </w:rPr>
            </w:pPr>
            <w:r w:rsidRPr="00756B0A">
              <w:rPr>
                <w:rFonts w:ascii="Calibri" w:eastAsia="Times New Roman" w:hAnsi="Calibri" w:cs="Calibri"/>
                <w:b/>
                <w:bCs/>
                <w:color w:val="5F735C"/>
                <w:lang w:eastAsia="en-GB"/>
              </w:rPr>
              <w:t>and non-EU students as % of UK students</w:t>
            </w:r>
          </w:p>
        </w:tc>
        <w:tc>
          <w:tcPr>
            <w:tcW w:w="222" w:type="dxa"/>
            <w:tcBorders>
              <w:top w:val="nil"/>
              <w:left w:val="nil"/>
              <w:bottom w:val="nil"/>
              <w:right w:val="nil"/>
            </w:tcBorders>
            <w:shd w:val="clear" w:color="auto" w:fill="auto"/>
            <w:noWrap/>
            <w:vAlign w:val="bottom"/>
            <w:hideMark/>
          </w:tcPr>
          <w:p w14:paraId="55E76CF8" w14:textId="77777777" w:rsidR="00A05B02" w:rsidRPr="00756B0A" w:rsidRDefault="00A05B02" w:rsidP="009134D4">
            <w:pPr>
              <w:widowControl w:val="0"/>
              <w:spacing w:after="0" w:line="240" w:lineRule="auto"/>
              <w:rPr>
                <w:rFonts w:ascii="Calibri" w:eastAsia="Times New Roman" w:hAnsi="Calibri" w:cs="Calibri"/>
                <w:b/>
                <w:bCs/>
                <w:color w:val="5F735C"/>
                <w:lang w:eastAsia="en-GB"/>
              </w:rPr>
            </w:pPr>
          </w:p>
        </w:tc>
        <w:tc>
          <w:tcPr>
            <w:tcW w:w="222" w:type="dxa"/>
            <w:tcBorders>
              <w:top w:val="nil"/>
              <w:left w:val="nil"/>
              <w:bottom w:val="nil"/>
              <w:right w:val="nil"/>
            </w:tcBorders>
            <w:shd w:val="clear" w:color="auto" w:fill="auto"/>
            <w:noWrap/>
            <w:vAlign w:val="bottom"/>
            <w:hideMark/>
          </w:tcPr>
          <w:p w14:paraId="2A4C3C43"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49B0ABD5"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9BCEDE3"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FFED954"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EE470BC"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3089B419" w14:textId="77777777" w:rsidTr="009134D4">
        <w:trPr>
          <w:trHeight w:val="288"/>
        </w:trPr>
        <w:tc>
          <w:tcPr>
            <w:tcW w:w="1388"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5D6F6ED5"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Rank</w:t>
            </w:r>
          </w:p>
        </w:tc>
        <w:tc>
          <w:tcPr>
            <w:tcW w:w="3039" w:type="dxa"/>
            <w:tcBorders>
              <w:top w:val="single" w:sz="4" w:space="0" w:color="FFFFFF"/>
              <w:left w:val="nil"/>
              <w:bottom w:val="single" w:sz="4" w:space="0" w:color="FFFFFF"/>
              <w:right w:val="single" w:sz="4" w:space="0" w:color="FFFFFF"/>
            </w:tcBorders>
            <w:shd w:val="clear" w:color="000000" w:fill="49723B"/>
            <w:noWrap/>
            <w:vAlign w:val="bottom"/>
            <w:hideMark/>
          </w:tcPr>
          <w:p w14:paraId="16FBC76F"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Profitability index</w:t>
            </w:r>
          </w:p>
        </w:tc>
        <w:tc>
          <w:tcPr>
            <w:tcW w:w="3207" w:type="dxa"/>
            <w:tcBorders>
              <w:top w:val="single" w:sz="4" w:space="0" w:color="FFFFFF"/>
              <w:left w:val="nil"/>
              <w:bottom w:val="single" w:sz="4" w:space="0" w:color="FFFFFF"/>
              <w:right w:val="single" w:sz="4" w:space="0" w:color="FFFFFF"/>
            </w:tcBorders>
            <w:shd w:val="clear" w:color="000000" w:fill="49723B"/>
            <w:noWrap/>
            <w:vAlign w:val="bottom"/>
            <w:hideMark/>
          </w:tcPr>
          <w:p w14:paraId="541EAFEF"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 non-EU students</w:t>
            </w:r>
          </w:p>
        </w:tc>
        <w:tc>
          <w:tcPr>
            <w:tcW w:w="222" w:type="dxa"/>
            <w:tcBorders>
              <w:top w:val="nil"/>
              <w:left w:val="nil"/>
              <w:bottom w:val="nil"/>
              <w:right w:val="nil"/>
            </w:tcBorders>
            <w:shd w:val="clear" w:color="auto" w:fill="auto"/>
            <w:noWrap/>
            <w:vAlign w:val="bottom"/>
            <w:hideMark/>
          </w:tcPr>
          <w:p w14:paraId="38505005"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p>
        </w:tc>
        <w:tc>
          <w:tcPr>
            <w:tcW w:w="222" w:type="dxa"/>
            <w:tcBorders>
              <w:top w:val="nil"/>
              <w:left w:val="nil"/>
              <w:bottom w:val="nil"/>
              <w:right w:val="nil"/>
            </w:tcBorders>
            <w:shd w:val="clear" w:color="auto" w:fill="auto"/>
            <w:noWrap/>
            <w:vAlign w:val="bottom"/>
            <w:hideMark/>
          </w:tcPr>
          <w:p w14:paraId="7C1AB4BE"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794D091"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31201C0"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4D9E9A2"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6E4BF40"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109467CE" w14:textId="77777777" w:rsidTr="009134D4">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2DCEDF40"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1 to 10</w:t>
            </w:r>
          </w:p>
        </w:tc>
        <w:tc>
          <w:tcPr>
            <w:tcW w:w="3039" w:type="dxa"/>
            <w:tcBorders>
              <w:top w:val="nil"/>
              <w:left w:val="nil"/>
              <w:bottom w:val="single" w:sz="4" w:space="0" w:color="FFFFFF"/>
              <w:right w:val="single" w:sz="4" w:space="0" w:color="FFFFFF"/>
            </w:tcBorders>
            <w:shd w:val="clear" w:color="000000" w:fill="EFEAE6"/>
            <w:noWrap/>
            <w:vAlign w:val="bottom"/>
            <w:hideMark/>
          </w:tcPr>
          <w:p w14:paraId="74576E9E"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167</w:t>
            </w:r>
          </w:p>
        </w:tc>
        <w:tc>
          <w:tcPr>
            <w:tcW w:w="3207" w:type="dxa"/>
            <w:tcBorders>
              <w:top w:val="nil"/>
              <w:left w:val="nil"/>
              <w:bottom w:val="single" w:sz="4" w:space="0" w:color="FFFFFF"/>
              <w:right w:val="single" w:sz="4" w:space="0" w:color="FFFFFF"/>
            </w:tcBorders>
            <w:shd w:val="clear" w:color="000000" w:fill="EFEAE6"/>
            <w:noWrap/>
            <w:vAlign w:val="bottom"/>
            <w:hideMark/>
          </w:tcPr>
          <w:p w14:paraId="593B9178"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21.6</w:t>
            </w:r>
          </w:p>
        </w:tc>
        <w:tc>
          <w:tcPr>
            <w:tcW w:w="222" w:type="dxa"/>
            <w:tcBorders>
              <w:top w:val="nil"/>
              <w:left w:val="nil"/>
              <w:bottom w:val="nil"/>
              <w:right w:val="nil"/>
            </w:tcBorders>
            <w:shd w:val="clear" w:color="auto" w:fill="auto"/>
            <w:noWrap/>
            <w:vAlign w:val="bottom"/>
            <w:hideMark/>
          </w:tcPr>
          <w:p w14:paraId="5D487BFD"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40C9791E"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C38566F"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8588E54"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8591A96"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D5DBFCF"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1104E683" w14:textId="77777777" w:rsidTr="009134D4">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285F0A33"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11 to 20</w:t>
            </w:r>
          </w:p>
        </w:tc>
        <w:tc>
          <w:tcPr>
            <w:tcW w:w="3039" w:type="dxa"/>
            <w:tcBorders>
              <w:top w:val="nil"/>
              <w:left w:val="nil"/>
              <w:bottom w:val="single" w:sz="4" w:space="0" w:color="FFFFFF"/>
              <w:right w:val="single" w:sz="4" w:space="0" w:color="FFFFFF"/>
            </w:tcBorders>
            <w:shd w:val="clear" w:color="000000" w:fill="EFEAE6"/>
            <w:noWrap/>
            <w:vAlign w:val="bottom"/>
            <w:hideMark/>
          </w:tcPr>
          <w:p w14:paraId="6117217D"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168</w:t>
            </w:r>
          </w:p>
        </w:tc>
        <w:tc>
          <w:tcPr>
            <w:tcW w:w="3207" w:type="dxa"/>
            <w:tcBorders>
              <w:top w:val="nil"/>
              <w:left w:val="nil"/>
              <w:bottom w:val="single" w:sz="4" w:space="0" w:color="FFFFFF"/>
              <w:right w:val="single" w:sz="4" w:space="0" w:color="FFFFFF"/>
            </w:tcBorders>
            <w:shd w:val="clear" w:color="000000" w:fill="EFEAE6"/>
            <w:noWrap/>
            <w:vAlign w:val="bottom"/>
            <w:hideMark/>
          </w:tcPr>
          <w:p w14:paraId="4F6CA5E1"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19.3</w:t>
            </w:r>
          </w:p>
        </w:tc>
        <w:tc>
          <w:tcPr>
            <w:tcW w:w="222" w:type="dxa"/>
            <w:tcBorders>
              <w:top w:val="nil"/>
              <w:left w:val="nil"/>
              <w:bottom w:val="nil"/>
              <w:right w:val="nil"/>
            </w:tcBorders>
            <w:shd w:val="clear" w:color="auto" w:fill="auto"/>
            <w:noWrap/>
            <w:vAlign w:val="bottom"/>
            <w:hideMark/>
          </w:tcPr>
          <w:p w14:paraId="1624910B"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13DD007B"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0682BFA"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576BDFA0"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06ED3BE"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6BDF8F7"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78C5A5DB" w14:textId="77777777" w:rsidTr="009134D4">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040BEDB6"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21 to 30</w:t>
            </w:r>
          </w:p>
        </w:tc>
        <w:tc>
          <w:tcPr>
            <w:tcW w:w="3039" w:type="dxa"/>
            <w:tcBorders>
              <w:top w:val="nil"/>
              <w:left w:val="nil"/>
              <w:bottom w:val="single" w:sz="4" w:space="0" w:color="FFFFFF"/>
              <w:right w:val="single" w:sz="4" w:space="0" w:color="FFFFFF"/>
            </w:tcBorders>
            <w:shd w:val="clear" w:color="000000" w:fill="EFEAE6"/>
            <w:noWrap/>
            <w:vAlign w:val="bottom"/>
            <w:hideMark/>
          </w:tcPr>
          <w:p w14:paraId="58AB027B"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149</w:t>
            </w:r>
          </w:p>
        </w:tc>
        <w:tc>
          <w:tcPr>
            <w:tcW w:w="3207" w:type="dxa"/>
            <w:tcBorders>
              <w:top w:val="nil"/>
              <w:left w:val="nil"/>
              <w:bottom w:val="single" w:sz="4" w:space="0" w:color="FFFFFF"/>
              <w:right w:val="single" w:sz="4" w:space="0" w:color="FFFFFF"/>
            </w:tcBorders>
            <w:shd w:val="clear" w:color="000000" w:fill="EFEAE6"/>
            <w:noWrap/>
            <w:vAlign w:val="bottom"/>
            <w:hideMark/>
          </w:tcPr>
          <w:p w14:paraId="338B1EB2"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22.9</w:t>
            </w:r>
          </w:p>
        </w:tc>
        <w:tc>
          <w:tcPr>
            <w:tcW w:w="222" w:type="dxa"/>
            <w:tcBorders>
              <w:top w:val="nil"/>
              <w:left w:val="nil"/>
              <w:bottom w:val="nil"/>
              <w:right w:val="nil"/>
            </w:tcBorders>
            <w:shd w:val="clear" w:color="auto" w:fill="auto"/>
            <w:noWrap/>
            <w:vAlign w:val="bottom"/>
            <w:hideMark/>
          </w:tcPr>
          <w:p w14:paraId="7B256FB9"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663BFCF9"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664C489"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2D47AB7"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C7461C6"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7D7B19E"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7939A180" w14:textId="77777777" w:rsidTr="009134D4">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5178A9E2"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31 to 40</w:t>
            </w:r>
          </w:p>
        </w:tc>
        <w:tc>
          <w:tcPr>
            <w:tcW w:w="3039" w:type="dxa"/>
            <w:tcBorders>
              <w:top w:val="nil"/>
              <w:left w:val="nil"/>
              <w:bottom w:val="single" w:sz="4" w:space="0" w:color="FFFFFF"/>
              <w:right w:val="single" w:sz="4" w:space="0" w:color="FFFFFF"/>
            </w:tcBorders>
            <w:shd w:val="clear" w:color="000000" w:fill="EFEAE6"/>
            <w:noWrap/>
            <w:vAlign w:val="bottom"/>
            <w:hideMark/>
          </w:tcPr>
          <w:p w14:paraId="1D1A2F86"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140</w:t>
            </w:r>
          </w:p>
        </w:tc>
        <w:tc>
          <w:tcPr>
            <w:tcW w:w="3207" w:type="dxa"/>
            <w:tcBorders>
              <w:top w:val="nil"/>
              <w:left w:val="nil"/>
              <w:bottom w:val="single" w:sz="4" w:space="0" w:color="FFFFFF"/>
              <w:right w:val="single" w:sz="4" w:space="0" w:color="FFFFFF"/>
            </w:tcBorders>
            <w:shd w:val="clear" w:color="000000" w:fill="EFEAE6"/>
            <w:noWrap/>
            <w:vAlign w:val="bottom"/>
            <w:hideMark/>
          </w:tcPr>
          <w:p w14:paraId="109DFB27"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9.9</w:t>
            </w:r>
          </w:p>
        </w:tc>
        <w:tc>
          <w:tcPr>
            <w:tcW w:w="222" w:type="dxa"/>
            <w:tcBorders>
              <w:top w:val="nil"/>
              <w:left w:val="nil"/>
              <w:bottom w:val="nil"/>
              <w:right w:val="nil"/>
            </w:tcBorders>
            <w:shd w:val="clear" w:color="auto" w:fill="auto"/>
            <w:noWrap/>
            <w:vAlign w:val="bottom"/>
            <w:hideMark/>
          </w:tcPr>
          <w:p w14:paraId="17B8C7FC"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26DCC698"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7EBB89F6"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BA88CE9"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C32D23D"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4B830ED"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14C22B4E" w14:textId="77777777" w:rsidTr="009134D4">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32F5AE8D"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40 to 50</w:t>
            </w:r>
          </w:p>
        </w:tc>
        <w:tc>
          <w:tcPr>
            <w:tcW w:w="3039" w:type="dxa"/>
            <w:tcBorders>
              <w:top w:val="nil"/>
              <w:left w:val="nil"/>
              <w:bottom w:val="single" w:sz="4" w:space="0" w:color="FFFFFF"/>
              <w:right w:val="single" w:sz="4" w:space="0" w:color="FFFFFF"/>
            </w:tcBorders>
            <w:shd w:val="clear" w:color="000000" w:fill="EFEAE6"/>
            <w:noWrap/>
            <w:vAlign w:val="bottom"/>
            <w:hideMark/>
          </w:tcPr>
          <w:p w14:paraId="1636253A"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146</w:t>
            </w:r>
          </w:p>
        </w:tc>
        <w:tc>
          <w:tcPr>
            <w:tcW w:w="3207" w:type="dxa"/>
            <w:tcBorders>
              <w:top w:val="nil"/>
              <w:left w:val="nil"/>
              <w:bottom w:val="single" w:sz="4" w:space="0" w:color="FFFFFF"/>
              <w:right w:val="single" w:sz="4" w:space="0" w:color="FFFFFF"/>
            </w:tcBorders>
            <w:shd w:val="clear" w:color="000000" w:fill="EFEAE6"/>
            <w:noWrap/>
            <w:vAlign w:val="bottom"/>
            <w:hideMark/>
          </w:tcPr>
          <w:p w14:paraId="363ED8EB"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9.6</w:t>
            </w:r>
          </w:p>
        </w:tc>
        <w:tc>
          <w:tcPr>
            <w:tcW w:w="222" w:type="dxa"/>
            <w:tcBorders>
              <w:top w:val="nil"/>
              <w:left w:val="nil"/>
              <w:bottom w:val="nil"/>
              <w:right w:val="nil"/>
            </w:tcBorders>
            <w:shd w:val="clear" w:color="auto" w:fill="auto"/>
            <w:noWrap/>
            <w:vAlign w:val="bottom"/>
            <w:hideMark/>
          </w:tcPr>
          <w:p w14:paraId="241487B7"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42A730E0"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30AE076"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351D599"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57C3A68"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29D969F2"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781EE371" w14:textId="77777777" w:rsidTr="009134D4">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78040043"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50 to 60</w:t>
            </w:r>
          </w:p>
        </w:tc>
        <w:tc>
          <w:tcPr>
            <w:tcW w:w="3039" w:type="dxa"/>
            <w:tcBorders>
              <w:top w:val="nil"/>
              <w:left w:val="nil"/>
              <w:bottom w:val="single" w:sz="4" w:space="0" w:color="FFFFFF"/>
              <w:right w:val="single" w:sz="4" w:space="0" w:color="FFFFFF"/>
            </w:tcBorders>
            <w:shd w:val="clear" w:color="000000" w:fill="EFEAE6"/>
            <w:noWrap/>
            <w:vAlign w:val="bottom"/>
            <w:hideMark/>
          </w:tcPr>
          <w:p w14:paraId="4C8AFBA2"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143</w:t>
            </w:r>
          </w:p>
        </w:tc>
        <w:tc>
          <w:tcPr>
            <w:tcW w:w="3207" w:type="dxa"/>
            <w:tcBorders>
              <w:top w:val="nil"/>
              <w:left w:val="nil"/>
              <w:bottom w:val="single" w:sz="4" w:space="0" w:color="FFFFFF"/>
              <w:right w:val="single" w:sz="4" w:space="0" w:color="FFFFFF"/>
            </w:tcBorders>
            <w:shd w:val="clear" w:color="000000" w:fill="EFEAE6"/>
            <w:noWrap/>
            <w:vAlign w:val="bottom"/>
            <w:hideMark/>
          </w:tcPr>
          <w:p w14:paraId="0AE441E8"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6.9</w:t>
            </w:r>
          </w:p>
        </w:tc>
        <w:tc>
          <w:tcPr>
            <w:tcW w:w="222" w:type="dxa"/>
            <w:tcBorders>
              <w:top w:val="nil"/>
              <w:left w:val="nil"/>
              <w:bottom w:val="nil"/>
              <w:right w:val="nil"/>
            </w:tcBorders>
            <w:shd w:val="clear" w:color="auto" w:fill="auto"/>
            <w:noWrap/>
            <w:vAlign w:val="bottom"/>
            <w:hideMark/>
          </w:tcPr>
          <w:p w14:paraId="71C122C4"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195FAFF8"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06EE6CD4"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3D1A92E"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D540AFA"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3C35D450"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1AEB8892" w14:textId="77777777" w:rsidTr="009134D4">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540852D9"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61 to 70</w:t>
            </w:r>
          </w:p>
        </w:tc>
        <w:tc>
          <w:tcPr>
            <w:tcW w:w="3039" w:type="dxa"/>
            <w:tcBorders>
              <w:top w:val="nil"/>
              <w:left w:val="nil"/>
              <w:bottom w:val="single" w:sz="4" w:space="0" w:color="FFFFFF"/>
              <w:right w:val="single" w:sz="4" w:space="0" w:color="FFFFFF"/>
            </w:tcBorders>
            <w:shd w:val="clear" w:color="000000" w:fill="EFEAE6"/>
            <w:noWrap/>
            <w:vAlign w:val="bottom"/>
            <w:hideMark/>
          </w:tcPr>
          <w:p w14:paraId="5E5F1EC7"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166</w:t>
            </w:r>
          </w:p>
        </w:tc>
        <w:tc>
          <w:tcPr>
            <w:tcW w:w="3207" w:type="dxa"/>
            <w:tcBorders>
              <w:top w:val="nil"/>
              <w:left w:val="nil"/>
              <w:bottom w:val="single" w:sz="4" w:space="0" w:color="FFFFFF"/>
              <w:right w:val="single" w:sz="4" w:space="0" w:color="FFFFFF"/>
            </w:tcBorders>
            <w:shd w:val="clear" w:color="000000" w:fill="EFEAE6"/>
            <w:noWrap/>
            <w:vAlign w:val="bottom"/>
            <w:hideMark/>
          </w:tcPr>
          <w:p w14:paraId="022CB13B"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10.6</w:t>
            </w:r>
          </w:p>
        </w:tc>
        <w:tc>
          <w:tcPr>
            <w:tcW w:w="222" w:type="dxa"/>
            <w:tcBorders>
              <w:top w:val="nil"/>
              <w:left w:val="nil"/>
              <w:bottom w:val="nil"/>
              <w:right w:val="nil"/>
            </w:tcBorders>
            <w:shd w:val="clear" w:color="auto" w:fill="auto"/>
            <w:noWrap/>
            <w:vAlign w:val="bottom"/>
            <w:hideMark/>
          </w:tcPr>
          <w:p w14:paraId="0797DE5B"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683A0C32"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15F2C169"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CF288E0"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F79C7E7"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DF6AA2F"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7374CF10" w14:textId="77777777" w:rsidTr="009134D4">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58E3050E"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71 to 80</w:t>
            </w:r>
          </w:p>
        </w:tc>
        <w:tc>
          <w:tcPr>
            <w:tcW w:w="3039" w:type="dxa"/>
            <w:tcBorders>
              <w:top w:val="nil"/>
              <w:left w:val="nil"/>
              <w:bottom w:val="single" w:sz="4" w:space="0" w:color="FFFFFF"/>
              <w:right w:val="single" w:sz="4" w:space="0" w:color="FFFFFF"/>
            </w:tcBorders>
            <w:shd w:val="clear" w:color="000000" w:fill="EFEAE6"/>
            <w:noWrap/>
            <w:vAlign w:val="bottom"/>
            <w:hideMark/>
          </w:tcPr>
          <w:p w14:paraId="1845D6E2"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131</w:t>
            </w:r>
          </w:p>
        </w:tc>
        <w:tc>
          <w:tcPr>
            <w:tcW w:w="3207" w:type="dxa"/>
            <w:tcBorders>
              <w:top w:val="nil"/>
              <w:left w:val="nil"/>
              <w:bottom w:val="single" w:sz="4" w:space="0" w:color="FFFFFF"/>
              <w:right w:val="single" w:sz="4" w:space="0" w:color="FFFFFF"/>
            </w:tcBorders>
            <w:shd w:val="clear" w:color="000000" w:fill="EFEAE6"/>
            <w:noWrap/>
            <w:vAlign w:val="bottom"/>
            <w:hideMark/>
          </w:tcPr>
          <w:p w14:paraId="4A516C0D"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6.6</w:t>
            </w:r>
          </w:p>
        </w:tc>
        <w:tc>
          <w:tcPr>
            <w:tcW w:w="222" w:type="dxa"/>
            <w:tcBorders>
              <w:top w:val="nil"/>
              <w:left w:val="nil"/>
              <w:bottom w:val="nil"/>
              <w:right w:val="nil"/>
            </w:tcBorders>
            <w:shd w:val="clear" w:color="auto" w:fill="auto"/>
            <w:noWrap/>
            <w:vAlign w:val="bottom"/>
            <w:hideMark/>
          </w:tcPr>
          <w:p w14:paraId="30AB014B"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2B5D7A88"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C32768B"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6FA82BE"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0376A179"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791D488A"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61B29B43" w14:textId="77777777" w:rsidTr="009134D4">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63389F9B" w14:textId="77777777" w:rsidR="00A05B02" w:rsidRPr="00756B0A" w:rsidRDefault="00A05B02" w:rsidP="009134D4">
            <w:pPr>
              <w:widowControl w:val="0"/>
              <w:spacing w:after="0" w:line="240" w:lineRule="auto"/>
              <w:jc w:val="center"/>
              <w:rPr>
                <w:rFonts w:ascii="Calibri" w:eastAsia="Times New Roman" w:hAnsi="Calibri" w:cs="Calibri"/>
                <w:b/>
                <w:bCs/>
                <w:color w:val="FFFFFF"/>
                <w:lang w:eastAsia="en-GB"/>
              </w:rPr>
            </w:pPr>
            <w:r w:rsidRPr="00756B0A">
              <w:rPr>
                <w:rFonts w:ascii="Calibri" w:eastAsia="Times New Roman" w:hAnsi="Calibri" w:cs="Calibri"/>
                <w:b/>
                <w:bCs/>
                <w:color w:val="FFFFFF"/>
                <w:lang w:eastAsia="en-GB"/>
              </w:rPr>
              <w:t>81 to 90</w:t>
            </w:r>
          </w:p>
        </w:tc>
        <w:tc>
          <w:tcPr>
            <w:tcW w:w="3039" w:type="dxa"/>
            <w:tcBorders>
              <w:top w:val="nil"/>
              <w:left w:val="nil"/>
              <w:bottom w:val="single" w:sz="4" w:space="0" w:color="FFFFFF"/>
              <w:right w:val="single" w:sz="4" w:space="0" w:color="FFFFFF"/>
            </w:tcBorders>
            <w:shd w:val="clear" w:color="000000" w:fill="EFEAE6"/>
            <w:noWrap/>
            <w:vAlign w:val="bottom"/>
            <w:hideMark/>
          </w:tcPr>
          <w:p w14:paraId="0E4FF4D3"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138</w:t>
            </w:r>
          </w:p>
        </w:tc>
        <w:tc>
          <w:tcPr>
            <w:tcW w:w="3207" w:type="dxa"/>
            <w:tcBorders>
              <w:top w:val="nil"/>
              <w:left w:val="nil"/>
              <w:bottom w:val="single" w:sz="4" w:space="0" w:color="FFFFFF"/>
              <w:right w:val="single" w:sz="4" w:space="0" w:color="FFFFFF"/>
            </w:tcBorders>
            <w:shd w:val="clear" w:color="000000" w:fill="EFEAE6"/>
            <w:noWrap/>
            <w:vAlign w:val="bottom"/>
            <w:hideMark/>
          </w:tcPr>
          <w:p w14:paraId="2C6FEB44"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r w:rsidRPr="00756B0A">
              <w:rPr>
                <w:rFonts w:ascii="Calibri" w:eastAsia="Times New Roman" w:hAnsi="Calibri" w:cs="Calibri"/>
                <w:color w:val="000000"/>
                <w:lang w:eastAsia="en-GB"/>
              </w:rPr>
              <w:t>6.3</w:t>
            </w:r>
          </w:p>
        </w:tc>
        <w:tc>
          <w:tcPr>
            <w:tcW w:w="222" w:type="dxa"/>
            <w:tcBorders>
              <w:top w:val="nil"/>
              <w:left w:val="nil"/>
              <w:bottom w:val="nil"/>
              <w:right w:val="nil"/>
            </w:tcBorders>
            <w:shd w:val="clear" w:color="auto" w:fill="auto"/>
            <w:noWrap/>
            <w:vAlign w:val="bottom"/>
            <w:hideMark/>
          </w:tcPr>
          <w:p w14:paraId="5CA15469" w14:textId="77777777" w:rsidR="00A05B02" w:rsidRPr="00756B0A"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34302FA4"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37A064D8"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1F498A23"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345281F"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976" w:type="dxa"/>
            <w:tcBorders>
              <w:top w:val="nil"/>
              <w:left w:val="nil"/>
              <w:bottom w:val="nil"/>
              <w:right w:val="nil"/>
            </w:tcBorders>
            <w:shd w:val="clear" w:color="auto" w:fill="auto"/>
            <w:noWrap/>
            <w:vAlign w:val="bottom"/>
            <w:hideMark/>
          </w:tcPr>
          <w:p w14:paraId="6F210B12" w14:textId="77777777" w:rsidR="00A05B02" w:rsidRPr="00756B0A"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756B0A" w14:paraId="51F9915F" w14:textId="77777777" w:rsidTr="009134D4">
        <w:trPr>
          <w:trHeight w:val="288"/>
        </w:trPr>
        <w:tc>
          <w:tcPr>
            <w:tcW w:w="10252" w:type="dxa"/>
            <w:gridSpan w:val="8"/>
            <w:tcBorders>
              <w:top w:val="nil"/>
              <w:left w:val="nil"/>
              <w:bottom w:val="nil"/>
              <w:right w:val="nil"/>
            </w:tcBorders>
            <w:shd w:val="clear" w:color="auto" w:fill="auto"/>
            <w:noWrap/>
            <w:vAlign w:val="bottom"/>
            <w:hideMark/>
          </w:tcPr>
          <w:p w14:paraId="1BFB3E92" w14:textId="77777777" w:rsidR="00A05B02" w:rsidRPr="00756B0A" w:rsidRDefault="00A05B02" w:rsidP="009134D4">
            <w:pPr>
              <w:widowControl w:val="0"/>
              <w:spacing w:after="0" w:line="240" w:lineRule="auto"/>
              <w:rPr>
                <w:rFonts w:ascii="Calibri" w:eastAsia="Times New Roman" w:hAnsi="Calibri" w:cs="Calibri"/>
                <w:b/>
                <w:bCs/>
                <w:color w:val="5F735C"/>
                <w:lang w:eastAsia="en-GB"/>
              </w:rPr>
            </w:pPr>
            <w:r w:rsidRPr="00756B0A">
              <w:rPr>
                <w:rFonts w:ascii="Calibri" w:eastAsia="Times New Roman" w:hAnsi="Calibri" w:cs="Calibri"/>
                <w:b/>
                <w:bCs/>
                <w:color w:val="5F735C"/>
                <w:lang w:eastAsia="en-GB"/>
              </w:rPr>
              <w:t>Notes: Profitability index = non-EU tuition income% total tuition income/non-EU students</w:t>
            </w:r>
            <w:r>
              <w:rPr>
                <w:rFonts w:ascii="Calibri" w:eastAsia="Times New Roman" w:hAnsi="Calibri" w:cs="Calibri"/>
                <w:b/>
                <w:bCs/>
                <w:color w:val="5F735C"/>
                <w:lang w:eastAsia="en-GB"/>
              </w:rPr>
              <w:t xml:space="preserve"> </w:t>
            </w:r>
            <w:r w:rsidRPr="00756B0A">
              <w:rPr>
                <w:rFonts w:ascii="Calibri" w:eastAsia="Times New Roman" w:hAnsi="Calibri" w:cs="Calibri"/>
                <w:b/>
                <w:bCs/>
                <w:color w:val="5F735C"/>
                <w:lang w:eastAsia="en-GB"/>
              </w:rPr>
              <w:t>%</w:t>
            </w:r>
            <w:r>
              <w:rPr>
                <w:rFonts w:ascii="Calibri" w:eastAsia="Times New Roman" w:hAnsi="Calibri" w:cs="Calibri"/>
                <w:b/>
                <w:bCs/>
                <w:color w:val="5F735C"/>
                <w:lang w:eastAsia="en-GB"/>
              </w:rPr>
              <w:t xml:space="preserve"> </w:t>
            </w:r>
            <w:r w:rsidRPr="00756B0A">
              <w:rPr>
                <w:rFonts w:ascii="Calibri" w:eastAsia="Times New Roman" w:hAnsi="Calibri" w:cs="Calibri"/>
                <w:b/>
                <w:bCs/>
                <w:color w:val="5F735C"/>
                <w:lang w:eastAsia="en-GB"/>
              </w:rPr>
              <w:t>UK students</w:t>
            </w:r>
          </w:p>
        </w:tc>
        <w:tc>
          <w:tcPr>
            <w:tcW w:w="976" w:type="dxa"/>
            <w:tcBorders>
              <w:top w:val="nil"/>
              <w:left w:val="nil"/>
              <w:bottom w:val="nil"/>
              <w:right w:val="nil"/>
            </w:tcBorders>
            <w:shd w:val="clear" w:color="auto" w:fill="auto"/>
            <w:noWrap/>
            <w:vAlign w:val="bottom"/>
            <w:hideMark/>
          </w:tcPr>
          <w:p w14:paraId="109C29BA" w14:textId="77777777" w:rsidR="00A05B02" w:rsidRPr="00756B0A" w:rsidRDefault="00A05B02" w:rsidP="009134D4">
            <w:pPr>
              <w:widowControl w:val="0"/>
              <w:spacing w:after="0" w:line="240" w:lineRule="auto"/>
              <w:rPr>
                <w:rFonts w:ascii="Calibri" w:eastAsia="Times New Roman" w:hAnsi="Calibri" w:cs="Calibri"/>
                <w:b/>
                <w:bCs/>
                <w:color w:val="5F735C"/>
                <w:lang w:eastAsia="en-GB"/>
              </w:rPr>
            </w:pPr>
          </w:p>
        </w:tc>
      </w:tr>
    </w:tbl>
    <w:p w14:paraId="6E4ACA51" w14:textId="77777777" w:rsidR="00A05B02" w:rsidRDefault="00A05B02" w:rsidP="00A05B02">
      <w:pPr>
        <w:widowControl w:val="0"/>
        <w:jc w:val="both"/>
        <w:rPr>
          <w:rFonts w:cstheme="minorHAnsi"/>
          <w:sz w:val="28"/>
          <w:szCs w:val="28"/>
        </w:rPr>
      </w:pPr>
    </w:p>
    <w:p w14:paraId="46407957" w14:textId="4A8353DB" w:rsidR="00A05B02" w:rsidRDefault="00A05B02" w:rsidP="00A05B02">
      <w:pPr>
        <w:widowControl w:val="0"/>
      </w:pPr>
    </w:p>
    <w:p w14:paraId="44E77FF3" w14:textId="77777777" w:rsidR="009134D4" w:rsidRDefault="009134D4">
      <w:r>
        <w:br w:type="page"/>
      </w:r>
    </w:p>
    <w:p w14:paraId="6523905D" w14:textId="2A58B546" w:rsidR="00EF631B" w:rsidRDefault="00EF631B"/>
    <w:tbl>
      <w:tblPr>
        <w:tblW w:w="0" w:type="auto"/>
        <w:tblLook w:val="04A0" w:firstRow="1" w:lastRow="0" w:firstColumn="1" w:lastColumn="0" w:noHBand="0" w:noVBand="1"/>
      </w:tblPr>
      <w:tblGrid>
        <w:gridCol w:w="2489"/>
        <w:gridCol w:w="2072"/>
        <w:gridCol w:w="1548"/>
        <w:gridCol w:w="918"/>
        <w:gridCol w:w="1553"/>
      </w:tblGrid>
      <w:tr w:rsidR="00A05B02" w:rsidRPr="00C2066F" w14:paraId="68738F80" w14:textId="77777777" w:rsidTr="009134D4">
        <w:trPr>
          <w:trHeight w:val="297"/>
        </w:trPr>
        <w:tc>
          <w:tcPr>
            <w:tcW w:w="0" w:type="auto"/>
            <w:gridSpan w:val="5"/>
            <w:tcBorders>
              <w:top w:val="nil"/>
              <w:left w:val="nil"/>
              <w:bottom w:val="nil"/>
              <w:right w:val="nil"/>
            </w:tcBorders>
            <w:shd w:val="clear" w:color="auto" w:fill="auto"/>
            <w:noWrap/>
            <w:vAlign w:val="bottom"/>
            <w:hideMark/>
          </w:tcPr>
          <w:p w14:paraId="4331CC33" w14:textId="7F6CFD87" w:rsidR="00A05B02" w:rsidRPr="00C2066F" w:rsidRDefault="007F34A8" w:rsidP="009134D4">
            <w:pPr>
              <w:widowControl w:val="0"/>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3</w:t>
            </w:r>
            <w:r w:rsidR="00A05B02">
              <w:rPr>
                <w:rFonts w:ascii="Calibri" w:eastAsia="Times New Roman" w:hAnsi="Calibri" w:cs="Calibri"/>
                <w:b/>
                <w:bCs/>
                <w:color w:val="5F735C"/>
                <w:lang w:eastAsia="en-GB"/>
              </w:rPr>
              <w:t>: Offshore reve</w:t>
            </w:r>
            <w:r w:rsidR="00A05B02" w:rsidRPr="00C2066F">
              <w:rPr>
                <w:rFonts w:ascii="Calibri" w:eastAsia="Times New Roman" w:hAnsi="Calibri" w:cs="Calibri"/>
                <w:b/>
                <w:bCs/>
                <w:color w:val="5F735C"/>
                <w:lang w:eastAsia="en-GB"/>
              </w:rPr>
              <w:t>nue/student by type of provision and university category, 2015/16</w:t>
            </w:r>
          </w:p>
        </w:tc>
      </w:tr>
      <w:tr w:rsidR="00A05B02" w:rsidRPr="00C2066F" w14:paraId="30A464D9" w14:textId="77777777" w:rsidTr="009134D4">
        <w:trPr>
          <w:trHeight w:val="297"/>
        </w:trPr>
        <w:tc>
          <w:tcPr>
            <w:tcW w:w="0" w:type="auto"/>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34550C93"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 </w:t>
            </w:r>
          </w:p>
        </w:tc>
        <w:tc>
          <w:tcPr>
            <w:tcW w:w="0" w:type="auto"/>
            <w:tcBorders>
              <w:top w:val="single" w:sz="4" w:space="0" w:color="FFFFFF"/>
              <w:left w:val="nil"/>
              <w:bottom w:val="single" w:sz="4" w:space="0" w:color="FFFFFF"/>
              <w:right w:val="single" w:sz="4" w:space="0" w:color="FFFFFF"/>
            </w:tcBorders>
            <w:shd w:val="clear" w:color="000000" w:fill="49723B"/>
            <w:noWrap/>
            <w:vAlign w:val="bottom"/>
            <w:hideMark/>
          </w:tcPr>
          <w:p w14:paraId="3DD02C88"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 </w:t>
            </w:r>
          </w:p>
        </w:tc>
        <w:tc>
          <w:tcPr>
            <w:tcW w:w="0" w:type="auto"/>
            <w:tcBorders>
              <w:top w:val="single" w:sz="4" w:space="0" w:color="FFFFFF"/>
              <w:left w:val="nil"/>
              <w:bottom w:val="single" w:sz="4" w:space="0" w:color="FFFFFF"/>
              <w:right w:val="single" w:sz="4" w:space="0" w:color="FFFFFF"/>
            </w:tcBorders>
            <w:shd w:val="clear" w:color="000000" w:fill="49723B"/>
            <w:noWrap/>
            <w:vAlign w:val="bottom"/>
            <w:hideMark/>
          </w:tcPr>
          <w:p w14:paraId="76494208"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Lower quartile</w:t>
            </w:r>
          </w:p>
        </w:tc>
        <w:tc>
          <w:tcPr>
            <w:tcW w:w="0" w:type="auto"/>
            <w:tcBorders>
              <w:top w:val="single" w:sz="4" w:space="0" w:color="FFFFFF"/>
              <w:left w:val="nil"/>
              <w:bottom w:val="single" w:sz="4" w:space="0" w:color="FFFFFF"/>
              <w:right w:val="single" w:sz="4" w:space="0" w:color="FFFFFF"/>
            </w:tcBorders>
            <w:shd w:val="clear" w:color="000000" w:fill="49723B"/>
            <w:noWrap/>
            <w:vAlign w:val="bottom"/>
            <w:hideMark/>
          </w:tcPr>
          <w:p w14:paraId="73772AEF"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Median</w:t>
            </w:r>
          </w:p>
        </w:tc>
        <w:tc>
          <w:tcPr>
            <w:tcW w:w="0" w:type="auto"/>
            <w:tcBorders>
              <w:top w:val="single" w:sz="4" w:space="0" w:color="FFFFFF"/>
              <w:left w:val="nil"/>
              <w:bottom w:val="single" w:sz="4" w:space="0" w:color="FFFFFF"/>
              <w:right w:val="single" w:sz="4" w:space="0" w:color="FFFFFF"/>
            </w:tcBorders>
            <w:shd w:val="clear" w:color="000000" w:fill="49723B"/>
            <w:noWrap/>
            <w:vAlign w:val="bottom"/>
            <w:hideMark/>
          </w:tcPr>
          <w:p w14:paraId="3DB700BF"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Upper quartile</w:t>
            </w:r>
          </w:p>
        </w:tc>
      </w:tr>
      <w:tr w:rsidR="00A05B02" w:rsidRPr="00C2066F" w14:paraId="7B77D4E5" w14:textId="77777777" w:rsidTr="009134D4">
        <w:trPr>
          <w:trHeight w:val="297"/>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2DBD9AEC"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Overseas partner</w:t>
            </w:r>
          </w:p>
        </w:tc>
        <w:tc>
          <w:tcPr>
            <w:tcW w:w="0" w:type="auto"/>
            <w:tcBorders>
              <w:top w:val="nil"/>
              <w:left w:val="nil"/>
              <w:bottom w:val="single" w:sz="4" w:space="0" w:color="FFFFFF"/>
              <w:right w:val="single" w:sz="4" w:space="0" w:color="FFFFFF"/>
            </w:tcBorders>
            <w:shd w:val="clear" w:color="000000" w:fill="49723B"/>
            <w:noWrap/>
            <w:vAlign w:val="bottom"/>
            <w:hideMark/>
          </w:tcPr>
          <w:p w14:paraId="5DED0B27"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Redbrick/plate</w:t>
            </w:r>
            <w:r>
              <w:rPr>
                <w:rFonts w:ascii="Calibri" w:eastAsia="Times New Roman" w:hAnsi="Calibri" w:cs="Calibri"/>
                <w:b/>
                <w:bCs/>
                <w:color w:val="FFFFFF"/>
                <w:lang w:eastAsia="en-GB"/>
              </w:rPr>
              <w:t xml:space="preserve"> </w:t>
            </w:r>
            <w:r w:rsidRPr="00C2066F">
              <w:rPr>
                <w:rFonts w:ascii="Calibri" w:eastAsia="Times New Roman" w:hAnsi="Calibri" w:cs="Calibri"/>
                <w:b/>
                <w:bCs/>
                <w:color w:val="FFFFFF"/>
                <w:lang w:eastAsia="en-GB"/>
              </w:rPr>
              <w:t>glass</w:t>
            </w:r>
          </w:p>
        </w:tc>
        <w:tc>
          <w:tcPr>
            <w:tcW w:w="0" w:type="auto"/>
            <w:tcBorders>
              <w:top w:val="nil"/>
              <w:left w:val="nil"/>
              <w:bottom w:val="single" w:sz="4" w:space="0" w:color="FFFFFF"/>
              <w:right w:val="single" w:sz="4" w:space="0" w:color="FFFFFF"/>
            </w:tcBorders>
            <w:shd w:val="clear" w:color="000000" w:fill="EFEAE6"/>
            <w:noWrap/>
            <w:vAlign w:val="bottom"/>
            <w:hideMark/>
          </w:tcPr>
          <w:p w14:paraId="69D1B294"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302</w:t>
            </w:r>
          </w:p>
        </w:tc>
        <w:tc>
          <w:tcPr>
            <w:tcW w:w="0" w:type="auto"/>
            <w:tcBorders>
              <w:top w:val="nil"/>
              <w:left w:val="nil"/>
              <w:bottom w:val="single" w:sz="4" w:space="0" w:color="FFFFFF"/>
              <w:right w:val="single" w:sz="4" w:space="0" w:color="FFFFFF"/>
            </w:tcBorders>
            <w:shd w:val="clear" w:color="000000" w:fill="EFEAE6"/>
            <w:noWrap/>
            <w:vAlign w:val="bottom"/>
            <w:hideMark/>
          </w:tcPr>
          <w:p w14:paraId="2CBCC8AF"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488</w:t>
            </w:r>
          </w:p>
        </w:tc>
        <w:tc>
          <w:tcPr>
            <w:tcW w:w="0" w:type="auto"/>
            <w:tcBorders>
              <w:top w:val="nil"/>
              <w:left w:val="nil"/>
              <w:bottom w:val="single" w:sz="4" w:space="0" w:color="FFFFFF"/>
              <w:right w:val="single" w:sz="4" w:space="0" w:color="FFFFFF"/>
            </w:tcBorders>
            <w:shd w:val="clear" w:color="000000" w:fill="EFEAE6"/>
            <w:noWrap/>
            <w:vAlign w:val="bottom"/>
            <w:hideMark/>
          </w:tcPr>
          <w:p w14:paraId="616BB125"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1013</w:t>
            </w:r>
          </w:p>
        </w:tc>
      </w:tr>
      <w:tr w:rsidR="00A05B02" w:rsidRPr="00C2066F" w14:paraId="1A38B8A3" w14:textId="77777777" w:rsidTr="009134D4">
        <w:trPr>
          <w:trHeight w:val="297"/>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3F2F4A14"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 </w:t>
            </w:r>
          </w:p>
        </w:tc>
        <w:tc>
          <w:tcPr>
            <w:tcW w:w="0" w:type="auto"/>
            <w:tcBorders>
              <w:top w:val="nil"/>
              <w:left w:val="nil"/>
              <w:bottom w:val="single" w:sz="4" w:space="0" w:color="FFFFFF"/>
              <w:right w:val="single" w:sz="4" w:space="0" w:color="FFFFFF"/>
            </w:tcBorders>
            <w:shd w:val="clear" w:color="000000" w:fill="49723B"/>
            <w:noWrap/>
            <w:vAlign w:val="bottom"/>
            <w:hideMark/>
          </w:tcPr>
          <w:p w14:paraId="1439C8E5"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Ex-polytechnic</w:t>
            </w:r>
          </w:p>
        </w:tc>
        <w:tc>
          <w:tcPr>
            <w:tcW w:w="0" w:type="auto"/>
            <w:tcBorders>
              <w:top w:val="nil"/>
              <w:left w:val="nil"/>
              <w:bottom w:val="single" w:sz="4" w:space="0" w:color="FFFFFF"/>
              <w:right w:val="single" w:sz="4" w:space="0" w:color="FFFFFF"/>
            </w:tcBorders>
            <w:shd w:val="clear" w:color="000000" w:fill="EFEAE6"/>
            <w:noWrap/>
            <w:vAlign w:val="bottom"/>
            <w:hideMark/>
          </w:tcPr>
          <w:p w14:paraId="07DCB4B0"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447</w:t>
            </w:r>
          </w:p>
        </w:tc>
        <w:tc>
          <w:tcPr>
            <w:tcW w:w="0" w:type="auto"/>
            <w:tcBorders>
              <w:top w:val="nil"/>
              <w:left w:val="nil"/>
              <w:bottom w:val="single" w:sz="4" w:space="0" w:color="FFFFFF"/>
              <w:right w:val="single" w:sz="4" w:space="0" w:color="FFFFFF"/>
            </w:tcBorders>
            <w:shd w:val="clear" w:color="000000" w:fill="EFEAE6"/>
            <w:noWrap/>
            <w:vAlign w:val="bottom"/>
            <w:hideMark/>
          </w:tcPr>
          <w:p w14:paraId="390C7FF5"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714</w:t>
            </w:r>
          </w:p>
        </w:tc>
        <w:tc>
          <w:tcPr>
            <w:tcW w:w="0" w:type="auto"/>
            <w:tcBorders>
              <w:top w:val="nil"/>
              <w:left w:val="nil"/>
              <w:bottom w:val="single" w:sz="4" w:space="0" w:color="FFFFFF"/>
              <w:right w:val="single" w:sz="4" w:space="0" w:color="FFFFFF"/>
            </w:tcBorders>
            <w:shd w:val="clear" w:color="000000" w:fill="EFEAE6"/>
            <w:noWrap/>
            <w:vAlign w:val="bottom"/>
            <w:hideMark/>
          </w:tcPr>
          <w:p w14:paraId="2F95A070"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1082</w:t>
            </w:r>
          </w:p>
        </w:tc>
      </w:tr>
      <w:tr w:rsidR="00A05B02" w:rsidRPr="00C2066F" w14:paraId="06DBA30B" w14:textId="77777777" w:rsidTr="009134D4">
        <w:trPr>
          <w:trHeight w:val="297"/>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0D1017CA"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 </w:t>
            </w:r>
          </w:p>
        </w:tc>
        <w:tc>
          <w:tcPr>
            <w:tcW w:w="0" w:type="auto"/>
            <w:tcBorders>
              <w:top w:val="nil"/>
              <w:left w:val="nil"/>
              <w:bottom w:val="single" w:sz="4" w:space="0" w:color="FFFFFF"/>
              <w:right w:val="single" w:sz="4" w:space="0" w:color="FFFFFF"/>
            </w:tcBorders>
            <w:shd w:val="clear" w:color="000000" w:fill="49723B"/>
            <w:noWrap/>
            <w:vAlign w:val="bottom"/>
            <w:hideMark/>
          </w:tcPr>
          <w:p w14:paraId="3D6D5A4E"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All</w:t>
            </w:r>
          </w:p>
        </w:tc>
        <w:tc>
          <w:tcPr>
            <w:tcW w:w="0" w:type="auto"/>
            <w:tcBorders>
              <w:top w:val="nil"/>
              <w:left w:val="nil"/>
              <w:bottom w:val="single" w:sz="4" w:space="0" w:color="FFFFFF"/>
              <w:right w:val="single" w:sz="4" w:space="0" w:color="FFFFFF"/>
            </w:tcBorders>
            <w:shd w:val="clear" w:color="000000" w:fill="EFEAE6"/>
            <w:noWrap/>
            <w:vAlign w:val="bottom"/>
            <w:hideMark/>
          </w:tcPr>
          <w:p w14:paraId="272E2579"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412</w:t>
            </w:r>
          </w:p>
        </w:tc>
        <w:tc>
          <w:tcPr>
            <w:tcW w:w="0" w:type="auto"/>
            <w:tcBorders>
              <w:top w:val="nil"/>
              <w:left w:val="nil"/>
              <w:bottom w:val="single" w:sz="4" w:space="0" w:color="FFFFFF"/>
              <w:right w:val="single" w:sz="4" w:space="0" w:color="FFFFFF"/>
            </w:tcBorders>
            <w:shd w:val="clear" w:color="000000" w:fill="EFEAE6"/>
            <w:noWrap/>
            <w:vAlign w:val="bottom"/>
            <w:hideMark/>
          </w:tcPr>
          <w:p w14:paraId="30606335"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636</w:t>
            </w:r>
          </w:p>
        </w:tc>
        <w:tc>
          <w:tcPr>
            <w:tcW w:w="0" w:type="auto"/>
            <w:tcBorders>
              <w:top w:val="nil"/>
              <w:left w:val="nil"/>
              <w:bottom w:val="single" w:sz="4" w:space="0" w:color="FFFFFF"/>
              <w:right w:val="single" w:sz="4" w:space="0" w:color="FFFFFF"/>
            </w:tcBorders>
            <w:shd w:val="clear" w:color="000000" w:fill="EFEAE6"/>
            <w:noWrap/>
            <w:vAlign w:val="bottom"/>
            <w:hideMark/>
          </w:tcPr>
          <w:p w14:paraId="7CCAB055"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1054</w:t>
            </w:r>
          </w:p>
        </w:tc>
      </w:tr>
      <w:tr w:rsidR="00A05B02" w:rsidRPr="00C2066F" w14:paraId="57606D3F" w14:textId="77777777" w:rsidTr="009134D4">
        <w:trPr>
          <w:trHeight w:val="297"/>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330AA1B5"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Distance learning</w:t>
            </w:r>
          </w:p>
        </w:tc>
        <w:tc>
          <w:tcPr>
            <w:tcW w:w="0" w:type="auto"/>
            <w:tcBorders>
              <w:top w:val="nil"/>
              <w:left w:val="nil"/>
              <w:bottom w:val="single" w:sz="4" w:space="0" w:color="FFFFFF"/>
              <w:right w:val="single" w:sz="4" w:space="0" w:color="FFFFFF"/>
            </w:tcBorders>
            <w:shd w:val="clear" w:color="000000" w:fill="49723B"/>
            <w:noWrap/>
            <w:vAlign w:val="bottom"/>
            <w:hideMark/>
          </w:tcPr>
          <w:p w14:paraId="39EA65E2"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All</w:t>
            </w:r>
          </w:p>
        </w:tc>
        <w:tc>
          <w:tcPr>
            <w:tcW w:w="0" w:type="auto"/>
            <w:tcBorders>
              <w:top w:val="nil"/>
              <w:left w:val="nil"/>
              <w:bottom w:val="single" w:sz="4" w:space="0" w:color="FFFFFF"/>
              <w:right w:val="single" w:sz="4" w:space="0" w:color="FFFFFF"/>
            </w:tcBorders>
            <w:shd w:val="clear" w:color="000000" w:fill="EFEAE6"/>
            <w:noWrap/>
            <w:vAlign w:val="bottom"/>
            <w:hideMark/>
          </w:tcPr>
          <w:p w14:paraId="705373BA"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1003</w:t>
            </w:r>
          </w:p>
        </w:tc>
        <w:tc>
          <w:tcPr>
            <w:tcW w:w="0" w:type="auto"/>
            <w:tcBorders>
              <w:top w:val="nil"/>
              <w:left w:val="nil"/>
              <w:bottom w:val="single" w:sz="4" w:space="0" w:color="FFFFFF"/>
              <w:right w:val="single" w:sz="4" w:space="0" w:color="FFFFFF"/>
            </w:tcBorders>
            <w:shd w:val="clear" w:color="000000" w:fill="EFEAE6"/>
            <w:noWrap/>
            <w:vAlign w:val="bottom"/>
            <w:hideMark/>
          </w:tcPr>
          <w:p w14:paraId="4C8BA499"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1714</w:t>
            </w:r>
          </w:p>
        </w:tc>
        <w:tc>
          <w:tcPr>
            <w:tcW w:w="0" w:type="auto"/>
            <w:tcBorders>
              <w:top w:val="nil"/>
              <w:left w:val="nil"/>
              <w:bottom w:val="single" w:sz="4" w:space="0" w:color="FFFFFF"/>
              <w:right w:val="single" w:sz="4" w:space="0" w:color="FFFFFF"/>
            </w:tcBorders>
            <w:shd w:val="clear" w:color="000000" w:fill="EFEAE6"/>
            <w:noWrap/>
            <w:vAlign w:val="bottom"/>
            <w:hideMark/>
          </w:tcPr>
          <w:p w14:paraId="24366F81"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3323</w:t>
            </w:r>
          </w:p>
        </w:tc>
      </w:tr>
      <w:tr w:rsidR="00A05B02" w:rsidRPr="00C2066F" w14:paraId="2F0508A9" w14:textId="77777777" w:rsidTr="009134D4">
        <w:trPr>
          <w:trHeight w:val="297"/>
        </w:trPr>
        <w:tc>
          <w:tcPr>
            <w:tcW w:w="0" w:type="auto"/>
            <w:tcBorders>
              <w:top w:val="nil"/>
              <w:left w:val="single" w:sz="4" w:space="0" w:color="FFFFFF"/>
              <w:bottom w:val="single" w:sz="4" w:space="0" w:color="FFFFFF"/>
              <w:right w:val="single" w:sz="4" w:space="0" w:color="FFFFFF"/>
            </w:tcBorders>
            <w:shd w:val="clear" w:color="000000" w:fill="49723B"/>
            <w:noWrap/>
            <w:vAlign w:val="bottom"/>
            <w:hideMark/>
          </w:tcPr>
          <w:p w14:paraId="294BEB5F"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Overseas branch campus</w:t>
            </w:r>
          </w:p>
        </w:tc>
        <w:tc>
          <w:tcPr>
            <w:tcW w:w="0" w:type="auto"/>
            <w:tcBorders>
              <w:top w:val="nil"/>
              <w:left w:val="nil"/>
              <w:bottom w:val="single" w:sz="4" w:space="0" w:color="FFFFFF"/>
              <w:right w:val="single" w:sz="4" w:space="0" w:color="FFFFFF"/>
            </w:tcBorders>
            <w:shd w:val="clear" w:color="000000" w:fill="49723B"/>
            <w:noWrap/>
            <w:vAlign w:val="bottom"/>
            <w:hideMark/>
          </w:tcPr>
          <w:p w14:paraId="60915B0D" w14:textId="77777777" w:rsidR="00A05B02" w:rsidRPr="00C2066F" w:rsidRDefault="00A05B02" w:rsidP="009134D4">
            <w:pPr>
              <w:widowControl w:val="0"/>
              <w:spacing w:after="0" w:line="240" w:lineRule="auto"/>
              <w:jc w:val="center"/>
              <w:rPr>
                <w:rFonts w:ascii="Calibri" w:eastAsia="Times New Roman" w:hAnsi="Calibri" w:cs="Calibri"/>
                <w:b/>
                <w:bCs/>
                <w:color w:val="FFFFFF"/>
                <w:lang w:eastAsia="en-GB"/>
              </w:rPr>
            </w:pPr>
            <w:r w:rsidRPr="00C2066F">
              <w:rPr>
                <w:rFonts w:ascii="Calibri" w:eastAsia="Times New Roman" w:hAnsi="Calibri" w:cs="Calibri"/>
                <w:b/>
                <w:bCs/>
                <w:color w:val="FFFFFF"/>
                <w:lang w:eastAsia="en-GB"/>
              </w:rPr>
              <w:t>All</w:t>
            </w:r>
          </w:p>
        </w:tc>
        <w:tc>
          <w:tcPr>
            <w:tcW w:w="0" w:type="auto"/>
            <w:tcBorders>
              <w:top w:val="nil"/>
              <w:left w:val="nil"/>
              <w:bottom w:val="single" w:sz="4" w:space="0" w:color="FFFFFF"/>
              <w:right w:val="single" w:sz="4" w:space="0" w:color="FFFFFF"/>
            </w:tcBorders>
            <w:shd w:val="clear" w:color="000000" w:fill="EFEAE6"/>
            <w:noWrap/>
            <w:vAlign w:val="bottom"/>
            <w:hideMark/>
          </w:tcPr>
          <w:p w14:paraId="435EDCC3"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4462</w:t>
            </w:r>
          </w:p>
        </w:tc>
        <w:tc>
          <w:tcPr>
            <w:tcW w:w="0" w:type="auto"/>
            <w:tcBorders>
              <w:top w:val="nil"/>
              <w:left w:val="nil"/>
              <w:bottom w:val="single" w:sz="4" w:space="0" w:color="FFFFFF"/>
              <w:right w:val="single" w:sz="4" w:space="0" w:color="FFFFFF"/>
            </w:tcBorders>
            <w:shd w:val="clear" w:color="000000" w:fill="EFEAE6"/>
            <w:noWrap/>
            <w:vAlign w:val="bottom"/>
            <w:hideMark/>
          </w:tcPr>
          <w:p w14:paraId="2947F2EB"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5378</w:t>
            </w:r>
          </w:p>
        </w:tc>
        <w:tc>
          <w:tcPr>
            <w:tcW w:w="0" w:type="auto"/>
            <w:tcBorders>
              <w:top w:val="nil"/>
              <w:left w:val="nil"/>
              <w:bottom w:val="single" w:sz="4" w:space="0" w:color="FFFFFF"/>
              <w:right w:val="single" w:sz="4" w:space="0" w:color="FFFFFF"/>
            </w:tcBorders>
            <w:shd w:val="clear" w:color="000000" w:fill="EFEAE6"/>
            <w:noWrap/>
            <w:vAlign w:val="bottom"/>
            <w:hideMark/>
          </w:tcPr>
          <w:p w14:paraId="483EDF30" w14:textId="77777777" w:rsidR="00A05B02" w:rsidRPr="00C2066F" w:rsidRDefault="00A05B02" w:rsidP="009134D4">
            <w:pPr>
              <w:widowControl w:val="0"/>
              <w:spacing w:after="0" w:line="240" w:lineRule="auto"/>
              <w:jc w:val="center"/>
              <w:rPr>
                <w:rFonts w:ascii="Calibri" w:eastAsia="Times New Roman" w:hAnsi="Calibri" w:cs="Calibri"/>
                <w:color w:val="000000"/>
                <w:lang w:eastAsia="en-GB"/>
              </w:rPr>
            </w:pPr>
            <w:r w:rsidRPr="00C2066F">
              <w:rPr>
                <w:rFonts w:ascii="Calibri" w:eastAsia="Times New Roman" w:hAnsi="Calibri" w:cs="Calibri"/>
                <w:color w:val="000000"/>
                <w:lang w:eastAsia="en-GB"/>
              </w:rPr>
              <w:t>8335</w:t>
            </w:r>
          </w:p>
        </w:tc>
      </w:tr>
    </w:tbl>
    <w:p w14:paraId="6F29F529" w14:textId="77777777" w:rsidR="00A05B02" w:rsidRDefault="00A05B02" w:rsidP="00A05B02">
      <w:pPr>
        <w:widowControl w:val="0"/>
      </w:pPr>
    </w:p>
    <w:p w14:paraId="5AE42128" w14:textId="77777777" w:rsidR="009134D4" w:rsidRDefault="009134D4">
      <w:r>
        <w:br w:type="page"/>
      </w:r>
    </w:p>
    <w:tbl>
      <w:tblPr>
        <w:tblW w:w="8962" w:type="dxa"/>
        <w:tblCellMar>
          <w:left w:w="0" w:type="dxa"/>
          <w:right w:w="0" w:type="dxa"/>
        </w:tblCellMar>
        <w:tblLook w:val="04A0" w:firstRow="1" w:lastRow="0" w:firstColumn="1" w:lastColumn="0" w:noHBand="0" w:noVBand="1"/>
      </w:tblPr>
      <w:tblGrid>
        <w:gridCol w:w="2377"/>
        <w:gridCol w:w="2233"/>
        <w:gridCol w:w="1351"/>
        <w:gridCol w:w="1552"/>
        <w:gridCol w:w="1341"/>
        <w:gridCol w:w="36"/>
        <w:gridCol w:w="36"/>
        <w:gridCol w:w="36"/>
      </w:tblGrid>
      <w:tr w:rsidR="00A05B02" w14:paraId="55977BEE" w14:textId="77777777" w:rsidTr="009134D4">
        <w:trPr>
          <w:trHeight w:val="288"/>
        </w:trPr>
        <w:tc>
          <w:tcPr>
            <w:tcW w:w="8962" w:type="dxa"/>
            <w:gridSpan w:val="8"/>
            <w:tcBorders>
              <w:top w:val="nil"/>
              <w:left w:val="nil"/>
              <w:bottom w:val="nil"/>
              <w:right w:val="nil"/>
            </w:tcBorders>
            <w:shd w:val="clear" w:color="auto" w:fill="auto"/>
            <w:noWrap/>
            <w:tcMar>
              <w:top w:w="15" w:type="dxa"/>
              <w:left w:w="15" w:type="dxa"/>
              <w:bottom w:w="0" w:type="dxa"/>
              <w:right w:w="15" w:type="dxa"/>
            </w:tcMar>
            <w:vAlign w:val="bottom"/>
            <w:hideMark/>
          </w:tcPr>
          <w:p w14:paraId="37AF27D2" w14:textId="298BAA8D" w:rsidR="00A05B02" w:rsidRDefault="007F34A8" w:rsidP="009134D4">
            <w:pPr>
              <w:widowControl w:val="0"/>
              <w:rPr>
                <w:rFonts w:ascii="Calibri" w:hAnsi="Calibri" w:cs="Calibri"/>
                <w:b/>
                <w:bCs/>
                <w:color w:val="5F735C"/>
              </w:rPr>
            </w:pPr>
            <w:r>
              <w:rPr>
                <w:rFonts w:ascii="Calibri" w:hAnsi="Calibri" w:cs="Calibri"/>
                <w:b/>
                <w:bCs/>
                <w:color w:val="5F735C"/>
              </w:rPr>
              <w:lastRenderedPageBreak/>
              <w:t>Table 4</w:t>
            </w:r>
            <w:r w:rsidR="00A05B02">
              <w:rPr>
                <w:rFonts w:ascii="Calibri" w:hAnsi="Calibri" w:cs="Calibri"/>
                <w:b/>
                <w:bCs/>
                <w:color w:val="5F735C"/>
              </w:rPr>
              <w:t>: Expenditure/s</w:t>
            </w:r>
            <w:r w:rsidR="004E5B04">
              <w:rPr>
                <w:rFonts w:ascii="Calibri" w:hAnsi="Calibri" w:cs="Calibri"/>
                <w:b/>
                <w:bCs/>
                <w:color w:val="5F735C"/>
              </w:rPr>
              <w:t>tudent % revenue/student for FV</w:t>
            </w:r>
            <w:r w:rsidR="00A05B02">
              <w:rPr>
                <w:rFonts w:ascii="Calibri" w:hAnsi="Calibri" w:cs="Calibri"/>
                <w:b/>
                <w:bCs/>
                <w:color w:val="5F735C"/>
              </w:rPr>
              <w:t>, ODL and ODL courses, 2015/16 (percentage distribution)</w:t>
            </w:r>
            <w:r w:rsidR="004E5B04">
              <w:rPr>
                <w:rFonts w:ascii="Calibri" w:hAnsi="Calibri" w:cs="Calibri"/>
                <w:b/>
                <w:bCs/>
                <w:color w:val="5F735C"/>
              </w:rPr>
              <w:t>.</w:t>
            </w:r>
          </w:p>
        </w:tc>
      </w:tr>
      <w:tr w:rsidR="00A05B02" w14:paraId="0D8EF16B" w14:textId="77777777" w:rsidTr="009134D4">
        <w:trPr>
          <w:trHeight w:val="288"/>
        </w:trPr>
        <w:tc>
          <w:tcPr>
            <w:tcW w:w="4610"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2F7A2EBB" w14:textId="77777777" w:rsidR="00A05B02" w:rsidRDefault="00A05B02" w:rsidP="009134D4">
            <w:pPr>
              <w:widowControl w:val="0"/>
              <w:rPr>
                <w:rFonts w:ascii="Calibri" w:hAnsi="Calibri" w:cs="Calibri"/>
                <w:b/>
                <w:bCs/>
                <w:color w:val="5F735C"/>
              </w:rPr>
            </w:pPr>
          </w:p>
        </w:tc>
        <w:tc>
          <w:tcPr>
            <w:tcW w:w="1351" w:type="dxa"/>
            <w:tcBorders>
              <w:top w:val="nil"/>
              <w:left w:val="nil"/>
              <w:bottom w:val="nil"/>
              <w:right w:val="nil"/>
            </w:tcBorders>
            <w:shd w:val="clear" w:color="auto" w:fill="auto"/>
            <w:noWrap/>
            <w:tcMar>
              <w:top w:w="15" w:type="dxa"/>
              <w:left w:w="15" w:type="dxa"/>
              <w:bottom w:w="0" w:type="dxa"/>
              <w:right w:w="15" w:type="dxa"/>
            </w:tcMar>
            <w:vAlign w:val="bottom"/>
          </w:tcPr>
          <w:p w14:paraId="7D5F8A88" w14:textId="77777777" w:rsidR="00A05B02" w:rsidRDefault="00A05B02" w:rsidP="009134D4">
            <w:pPr>
              <w:widowControl w:val="0"/>
              <w:rPr>
                <w:rFonts w:ascii="Calibri" w:hAnsi="Calibri" w:cs="Calibri"/>
                <w:b/>
                <w:bCs/>
                <w:color w:val="5F735C"/>
              </w:rPr>
            </w:pPr>
          </w:p>
        </w:tc>
        <w:tc>
          <w:tcPr>
            <w:tcW w:w="1552" w:type="dxa"/>
            <w:tcBorders>
              <w:top w:val="nil"/>
              <w:left w:val="nil"/>
              <w:bottom w:val="nil"/>
              <w:right w:val="nil"/>
            </w:tcBorders>
            <w:shd w:val="clear" w:color="auto" w:fill="auto"/>
            <w:noWrap/>
            <w:tcMar>
              <w:top w:w="15" w:type="dxa"/>
              <w:left w:w="15" w:type="dxa"/>
              <w:bottom w:w="0" w:type="dxa"/>
              <w:right w:w="15" w:type="dxa"/>
            </w:tcMar>
            <w:vAlign w:val="bottom"/>
          </w:tcPr>
          <w:p w14:paraId="55527200" w14:textId="77777777" w:rsidR="00A05B02" w:rsidRDefault="00A05B02" w:rsidP="009134D4">
            <w:pPr>
              <w:widowControl w:val="0"/>
              <w:rPr>
                <w:sz w:val="20"/>
                <w:szCs w:val="20"/>
              </w:rPr>
            </w:pPr>
          </w:p>
        </w:tc>
        <w:tc>
          <w:tcPr>
            <w:tcW w:w="1341" w:type="dxa"/>
            <w:tcBorders>
              <w:top w:val="nil"/>
              <w:left w:val="nil"/>
              <w:bottom w:val="nil"/>
              <w:right w:val="nil"/>
            </w:tcBorders>
            <w:shd w:val="clear" w:color="auto" w:fill="auto"/>
            <w:noWrap/>
            <w:tcMar>
              <w:top w:w="15" w:type="dxa"/>
              <w:left w:w="15" w:type="dxa"/>
              <w:bottom w:w="0" w:type="dxa"/>
              <w:right w:w="15" w:type="dxa"/>
            </w:tcMar>
            <w:vAlign w:val="bottom"/>
          </w:tcPr>
          <w:p w14:paraId="56EC47BC" w14:textId="77777777" w:rsidR="00A05B02" w:rsidRDefault="00A05B02" w:rsidP="009134D4">
            <w:pPr>
              <w:widowControl w:val="0"/>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88DA0D" w14:textId="77777777" w:rsidR="00A05B02" w:rsidRDefault="00A05B02" w:rsidP="009134D4">
            <w:pPr>
              <w:widowControl w:val="0"/>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220DFF" w14:textId="77777777" w:rsidR="00A05B02" w:rsidRDefault="00A05B02" w:rsidP="009134D4">
            <w:pPr>
              <w:widowControl w:val="0"/>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77FD158" w14:textId="77777777" w:rsidR="00A05B02" w:rsidRDefault="00A05B02" w:rsidP="009134D4">
            <w:pPr>
              <w:widowControl w:val="0"/>
              <w:rPr>
                <w:sz w:val="20"/>
                <w:szCs w:val="20"/>
              </w:rPr>
            </w:pPr>
          </w:p>
        </w:tc>
      </w:tr>
      <w:tr w:rsidR="00A05B02" w14:paraId="6D6C14E3" w14:textId="77777777" w:rsidTr="009134D4">
        <w:trPr>
          <w:trHeight w:val="288"/>
        </w:trPr>
        <w:tc>
          <w:tcPr>
            <w:tcW w:w="2377" w:type="dxa"/>
            <w:tcBorders>
              <w:top w:val="single" w:sz="4" w:space="0" w:color="FFFFFF"/>
              <w:left w:val="single" w:sz="4" w:space="0" w:color="FFFFFF"/>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3FD03E2F"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Expenditure%revenue</w:t>
            </w:r>
          </w:p>
        </w:tc>
        <w:tc>
          <w:tcPr>
            <w:tcW w:w="2233" w:type="dxa"/>
            <w:tcBorders>
              <w:top w:val="single" w:sz="4" w:space="0" w:color="FFFFFF"/>
              <w:left w:val="nil"/>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32EE6046"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Profitability</w:t>
            </w:r>
          </w:p>
        </w:tc>
        <w:tc>
          <w:tcPr>
            <w:tcW w:w="1351" w:type="dxa"/>
            <w:tcBorders>
              <w:top w:val="single" w:sz="4" w:space="0" w:color="FFFFFF"/>
              <w:left w:val="nil"/>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7DF0370A" w14:textId="6E8C31D8" w:rsidR="00A05B02" w:rsidRDefault="004E5B04" w:rsidP="009134D4">
            <w:pPr>
              <w:widowControl w:val="0"/>
              <w:jc w:val="center"/>
              <w:rPr>
                <w:rFonts w:ascii="Calibri" w:hAnsi="Calibri" w:cs="Calibri"/>
                <w:b/>
                <w:bCs/>
                <w:color w:val="FFFFFF"/>
              </w:rPr>
            </w:pPr>
            <w:r>
              <w:rPr>
                <w:rFonts w:ascii="Calibri" w:hAnsi="Calibri" w:cs="Calibri"/>
                <w:b/>
                <w:bCs/>
                <w:color w:val="FFFFFF"/>
              </w:rPr>
              <w:t>FV</w:t>
            </w:r>
          </w:p>
        </w:tc>
        <w:tc>
          <w:tcPr>
            <w:tcW w:w="1552" w:type="dxa"/>
            <w:tcBorders>
              <w:top w:val="single" w:sz="4" w:space="0" w:color="FFFFFF"/>
              <w:left w:val="nil"/>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037C8421"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ODL</w:t>
            </w:r>
          </w:p>
        </w:tc>
        <w:tc>
          <w:tcPr>
            <w:tcW w:w="1341" w:type="dxa"/>
            <w:tcBorders>
              <w:top w:val="single" w:sz="4" w:space="0" w:color="FFFFFF"/>
              <w:left w:val="nil"/>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5AE5A574"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OBC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92736" w14:textId="77777777" w:rsidR="00A05B02" w:rsidRDefault="00A05B02" w:rsidP="009134D4">
            <w:pPr>
              <w:widowControl w:val="0"/>
              <w:jc w:val="center"/>
              <w:rPr>
                <w:rFonts w:ascii="Calibri" w:hAnsi="Calibri" w:cs="Calibri"/>
                <w:b/>
                <w:bCs/>
                <w:color w:val="FFFFFF"/>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214D0" w14:textId="77777777" w:rsidR="00A05B02" w:rsidRDefault="00A05B02" w:rsidP="009134D4">
            <w:pPr>
              <w:widowControl w:val="0"/>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5535F" w14:textId="77777777" w:rsidR="00A05B02" w:rsidRDefault="00A05B02" w:rsidP="009134D4">
            <w:pPr>
              <w:widowControl w:val="0"/>
              <w:rPr>
                <w:sz w:val="20"/>
                <w:szCs w:val="20"/>
              </w:rPr>
            </w:pPr>
          </w:p>
        </w:tc>
      </w:tr>
      <w:tr w:rsidR="00A05B02" w14:paraId="033FC2C0" w14:textId="77777777" w:rsidTr="009134D4">
        <w:trPr>
          <w:trHeight w:val="288"/>
        </w:trPr>
        <w:tc>
          <w:tcPr>
            <w:tcW w:w="2377" w:type="dxa"/>
            <w:tcBorders>
              <w:top w:val="nil"/>
              <w:left w:val="single" w:sz="4" w:space="0" w:color="FFFFFF"/>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666A3D33"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&lt;25%</w:t>
            </w:r>
          </w:p>
        </w:tc>
        <w:tc>
          <w:tcPr>
            <w:tcW w:w="2233" w:type="dxa"/>
            <w:tcBorders>
              <w:top w:val="nil"/>
              <w:left w:val="nil"/>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14BACDBC"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Very high</w:t>
            </w:r>
          </w:p>
        </w:tc>
        <w:tc>
          <w:tcPr>
            <w:tcW w:w="135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5D73509B" w14:textId="77777777" w:rsidR="00A05B02" w:rsidRDefault="00A05B02" w:rsidP="009134D4">
            <w:pPr>
              <w:widowControl w:val="0"/>
              <w:jc w:val="center"/>
              <w:rPr>
                <w:rFonts w:ascii="Calibri" w:hAnsi="Calibri" w:cs="Calibri"/>
                <w:color w:val="000000"/>
              </w:rPr>
            </w:pPr>
            <w:r>
              <w:rPr>
                <w:rFonts w:ascii="Calibri" w:hAnsi="Calibri" w:cs="Calibri"/>
                <w:color w:val="000000"/>
              </w:rPr>
              <w:t>16</w:t>
            </w:r>
          </w:p>
        </w:tc>
        <w:tc>
          <w:tcPr>
            <w:tcW w:w="1552"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2BE823B3" w14:textId="77777777" w:rsidR="00A05B02" w:rsidRDefault="00A05B02" w:rsidP="009134D4">
            <w:pPr>
              <w:widowControl w:val="0"/>
              <w:jc w:val="center"/>
              <w:rPr>
                <w:rFonts w:ascii="Calibri" w:hAnsi="Calibri" w:cs="Calibri"/>
                <w:color w:val="000000"/>
              </w:rPr>
            </w:pPr>
            <w:r>
              <w:rPr>
                <w:rFonts w:ascii="Calibri" w:hAnsi="Calibri" w:cs="Calibri"/>
                <w:color w:val="000000"/>
              </w:rPr>
              <w:t>14</w:t>
            </w:r>
          </w:p>
        </w:tc>
        <w:tc>
          <w:tcPr>
            <w:tcW w:w="134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03AE5842" w14:textId="77777777" w:rsidR="00A05B02" w:rsidRDefault="00A05B02" w:rsidP="009134D4">
            <w:pPr>
              <w:widowControl w:val="0"/>
              <w:jc w:val="center"/>
              <w:rPr>
                <w:rFonts w:ascii="Calibri" w:hAnsi="Calibri" w:cs="Calibri"/>
                <w:color w:val="000000"/>
              </w:rPr>
            </w:pPr>
            <w:r>
              <w:rPr>
                <w:rFonts w:ascii="Calibri" w:hAnsi="Calibri" w:cs="Calibri"/>
                <w:color w:val="000000"/>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C815D" w14:textId="77777777" w:rsidR="00A05B02" w:rsidRDefault="00A05B02" w:rsidP="009134D4">
            <w:pPr>
              <w:widowControl w:val="0"/>
              <w:jc w:val="cente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BF21" w14:textId="77777777" w:rsidR="00A05B02" w:rsidRDefault="00A05B02" w:rsidP="009134D4">
            <w:pPr>
              <w:widowControl w:val="0"/>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00F81" w14:textId="77777777" w:rsidR="00A05B02" w:rsidRDefault="00A05B02" w:rsidP="009134D4">
            <w:pPr>
              <w:widowControl w:val="0"/>
              <w:rPr>
                <w:sz w:val="20"/>
                <w:szCs w:val="20"/>
              </w:rPr>
            </w:pPr>
          </w:p>
        </w:tc>
      </w:tr>
      <w:tr w:rsidR="00A05B02" w14:paraId="2DF904E4" w14:textId="77777777" w:rsidTr="009134D4">
        <w:trPr>
          <w:trHeight w:val="288"/>
        </w:trPr>
        <w:tc>
          <w:tcPr>
            <w:tcW w:w="2377" w:type="dxa"/>
            <w:tcBorders>
              <w:top w:val="nil"/>
              <w:left w:val="single" w:sz="4" w:space="0" w:color="FFFFFF"/>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401EEF08"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25-49.9</w:t>
            </w:r>
          </w:p>
        </w:tc>
        <w:tc>
          <w:tcPr>
            <w:tcW w:w="2233" w:type="dxa"/>
            <w:tcBorders>
              <w:top w:val="nil"/>
              <w:left w:val="nil"/>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7DC4D0FC"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High</w:t>
            </w:r>
          </w:p>
        </w:tc>
        <w:tc>
          <w:tcPr>
            <w:tcW w:w="135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0292448B" w14:textId="77777777" w:rsidR="00A05B02" w:rsidRDefault="00A05B02" w:rsidP="009134D4">
            <w:pPr>
              <w:widowControl w:val="0"/>
              <w:jc w:val="center"/>
              <w:rPr>
                <w:rFonts w:ascii="Calibri" w:hAnsi="Calibri" w:cs="Calibri"/>
                <w:color w:val="000000"/>
              </w:rPr>
            </w:pPr>
            <w:r>
              <w:rPr>
                <w:rFonts w:ascii="Calibri" w:hAnsi="Calibri" w:cs="Calibri"/>
                <w:color w:val="000000"/>
              </w:rPr>
              <w:t>19</w:t>
            </w:r>
          </w:p>
        </w:tc>
        <w:tc>
          <w:tcPr>
            <w:tcW w:w="1552"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405C38AD" w14:textId="77777777" w:rsidR="00A05B02" w:rsidRDefault="00A05B02" w:rsidP="009134D4">
            <w:pPr>
              <w:widowControl w:val="0"/>
              <w:jc w:val="center"/>
              <w:rPr>
                <w:rFonts w:ascii="Calibri" w:hAnsi="Calibri" w:cs="Calibri"/>
                <w:color w:val="000000"/>
              </w:rPr>
            </w:pPr>
            <w:r>
              <w:rPr>
                <w:rFonts w:ascii="Calibri" w:hAnsi="Calibri" w:cs="Calibri"/>
                <w:color w:val="000000"/>
              </w:rPr>
              <w:t>44</w:t>
            </w:r>
          </w:p>
        </w:tc>
        <w:tc>
          <w:tcPr>
            <w:tcW w:w="134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2CF716D3" w14:textId="77777777" w:rsidR="00A05B02" w:rsidRDefault="00A05B02" w:rsidP="009134D4">
            <w:pPr>
              <w:widowControl w:val="0"/>
              <w:jc w:val="center"/>
              <w:rPr>
                <w:rFonts w:ascii="Calibri" w:hAnsi="Calibri" w:cs="Calibri"/>
                <w:color w:val="000000"/>
              </w:rPr>
            </w:pPr>
            <w:r>
              <w:rPr>
                <w:rFonts w:ascii="Calibri" w:hAnsi="Calibri" w:cs="Calibri"/>
                <w:color w:val="000000"/>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35C32" w14:textId="77777777" w:rsidR="00A05B02" w:rsidRDefault="00A05B02" w:rsidP="009134D4">
            <w:pPr>
              <w:widowControl w:val="0"/>
              <w:jc w:val="cente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49ED7" w14:textId="77777777" w:rsidR="00A05B02" w:rsidRDefault="00A05B02" w:rsidP="009134D4">
            <w:pPr>
              <w:widowControl w:val="0"/>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E6C2F" w14:textId="77777777" w:rsidR="00A05B02" w:rsidRDefault="00A05B02" w:rsidP="009134D4">
            <w:pPr>
              <w:widowControl w:val="0"/>
              <w:rPr>
                <w:sz w:val="20"/>
                <w:szCs w:val="20"/>
              </w:rPr>
            </w:pPr>
          </w:p>
        </w:tc>
      </w:tr>
      <w:tr w:rsidR="00A05B02" w14:paraId="5CBF9D21" w14:textId="77777777" w:rsidTr="009134D4">
        <w:trPr>
          <w:trHeight w:val="288"/>
        </w:trPr>
        <w:tc>
          <w:tcPr>
            <w:tcW w:w="2377" w:type="dxa"/>
            <w:tcBorders>
              <w:top w:val="nil"/>
              <w:left w:val="single" w:sz="4" w:space="0" w:color="FFFFFF"/>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453D730C"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50-74.9</w:t>
            </w:r>
          </w:p>
        </w:tc>
        <w:tc>
          <w:tcPr>
            <w:tcW w:w="2233" w:type="dxa"/>
            <w:tcBorders>
              <w:top w:val="nil"/>
              <w:left w:val="nil"/>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6173737E"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Moderate</w:t>
            </w:r>
          </w:p>
        </w:tc>
        <w:tc>
          <w:tcPr>
            <w:tcW w:w="135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25228456" w14:textId="77777777" w:rsidR="00A05B02" w:rsidRDefault="00A05B02" w:rsidP="009134D4">
            <w:pPr>
              <w:widowControl w:val="0"/>
              <w:jc w:val="center"/>
              <w:rPr>
                <w:rFonts w:ascii="Calibri" w:hAnsi="Calibri" w:cs="Calibri"/>
                <w:color w:val="000000"/>
              </w:rPr>
            </w:pPr>
            <w:r>
              <w:rPr>
                <w:rFonts w:ascii="Calibri" w:hAnsi="Calibri" w:cs="Calibri"/>
                <w:color w:val="000000"/>
              </w:rPr>
              <w:t>34</w:t>
            </w:r>
          </w:p>
        </w:tc>
        <w:tc>
          <w:tcPr>
            <w:tcW w:w="1552"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383BAFBC" w14:textId="77777777" w:rsidR="00A05B02" w:rsidRDefault="00A05B02" w:rsidP="009134D4">
            <w:pPr>
              <w:widowControl w:val="0"/>
              <w:jc w:val="center"/>
              <w:rPr>
                <w:rFonts w:ascii="Calibri" w:hAnsi="Calibri" w:cs="Calibri"/>
                <w:color w:val="000000"/>
              </w:rPr>
            </w:pPr>
            <w:r>
              <w:rPr>
                <w:rFonts w:ascii="Calibri" w:hAnsi="Calibri" w:cs="Calibri"/>
                <w:color w:val="000000"/>
              </w:rPr>
              <w:t>14</w:t>
            </w:r>
          </w:p>
        </w:tc>
        <w:tc>
          <w:tcPr>
            <w:tcW w:w="134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64D186A0" w14:textId="77777777" w:rsidR="00A05B02" w:rsidRDefault="00A05B02" w:rsidP="009134D4">
            <w:pPr>
              <w:widowControl w:val="0"/>
              <w:jc w:val="center"/>
              <w:rPr>
                <w:rFonts w:ascii="Calibri" w:hAnsi="Calibri" w:cs="Calibri"/>
                <w:color w:val="000000"/>
              </w:rPr>
            </w:pPr>
            <w:r>
              <w:rPr>
                <w:rFonts w:ascii="Calibri" w:hAnsi="Calibri" w:cs="Calibri"/>
                <w:color w:val="000000"/>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6A554" w14:textId="77777777" w:rsidR="00A05B02" w:rsidRDefault="00A05B02" w:rsidP="009134D4">
            <w:pPr>
              <w:widowControl w:val="0"/>
              <w:jc w:val="cente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1755C" w14:textId="77777777" w:rsidR="00A05B02" w:rsidRDefault="00A05B02" w:rsidP="009134D4">
            <w:pPr>
              <w:widowControl w:val="0"/>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02F33" w14:textId="77777777" w:rsidR="00A05B02" w:rsidRDefault="00A05B02" w:rsidP="009134D4">
            <w:pPr>
              <w:widowControl w:val="0"/>
              <w:rPr>
                <w:sz w:val="20"/>
                <w:szCs w:val="20"/>
              </w:rPr>
            </w:pPr>
          </w:p>
        </w:tc>
      </w:tr>
      <w:tr w:rsidR="00A05B02" w14:paraId="48773663" w14:textId="77777777" w:rsidTr="009134D4">
        <w:trPr>
          <w:trHeight w:val="288"/>
        </w:trPr>
        <w:tc>
          <w:tcPr>
            <w:tcW w:w="2377" w:type="dxa"/>
            <w:tcBorders>
              <w:top w:val="nil"/>
              <w:left w:val="single" w:sz="4" w:space="0" w:color="FFFFFF"/>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3DFBE084"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75-99.9</w:t>
            </w:r>
          </w:p>
        </w:tc>
        <w:tc>
          <w:tcPr>
            <w:tcW w:w="2233" w:type="dxa"/>
            <w:tcBorders>
              <w:top w:val="nil"/>
              <w:left w:val="nil"/>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02E10684"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Low</w:t>
            </w:r>
          </w:p>
        </w:tc>
        <w:tc>
          <w:tcPr>
            <w:tcW w:w="135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0DC3B246" w14:textId="77777777" w:rsidR="00A05B02" w:rsidRDefault="00A05B02" w:rsidP="009134D4">
            <w:pPr>
              <w:widowControl w:val="0"/>
              <w:jc w:val="center"/>
              <w:rPr>
                <w:rFonts w:ascii="Calibri" w:hAnsi="Calibri" w:cs="Calibri"/>
                <w:color w:val="000000"/>
              </w:rPr>
            </w:pPr>
            <w:r>
              <w:rPr>
                <w:rFonts w:ascii="Calibri" w:hAnsi="Calibri" w:cs="Calibri"/>
                <w:color w:val="000000"/>
              </w:rPr>
              <w:t>13</w:t>
            </w:r>
          </w:p>
        </w:tc>
        <w:tc>
          <w:tcPr>
            <w:tcW w:w="1552"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279AE360" w14:textId="77777777" w:rsidR="00A05B02" w:rsidRDefault="00A05B02" w:rsidP="009134D4">
            <w:pPr>
              <w:widowControl w:val="0"/>
              <w:jc w:val="center"/>
              <w:rPr>
                <w:rFonts w:ascii="Calibri" w:hAnsi="Calibri" w:cs="Calibri"/>
                <w:color w:val="000000"/>
              </w:rPr>
            </w:pPr>
            <w:r>
              <w:rPr>
                <w:rFonts w:ascii="Calibri" w:hAnsi="Calibri" w:cs="Calibri"/>
                <w:color w:val="000000"/>
              </w:rPr>
              <w:t>7</w:t>
            </w:r>
          </w:p>
        </w:tc>
        <w:tc>
          <w:tcPr>
            <w:tcW w:w="134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7C11B057" w14:textId="77777777" w:rsidR="00A05B02" w:rsidRDefault="00A05B02" w:rsidP="009134D4">
            <w:pPr>
              <w:widowControl w:val="0"/>
              <w:jc w:val="center"/>
              <w:rPr>
                <w:rFonts w:ascii="Calibri" w:hAnsi="Calibri" w:cs="Calibri"/>
                <w:color w:val="000000"/>
              </w:rPr>
            </w:pPr>
            <w:r>
              <w:rPr>
                <w:rFonts w:ascii="Calibri" w:hAnsi="Calibri" w:cs="Calibri"/>
                <w:color w:val="000000"/>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6EAF9" w14:textId="77777777" w:rsidR="00A05B02" w:rsidRDefault="00A05B02" w:rsidP="009134D4">
            <w:pPr>
              <w:widowControl w:val="0"/>
              <w:jc w:val="cente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1258E" w14:textId="77777777" w:rsidR="00A05B02" w:rsidRDefault="00A05B02" w:rsidP="009134D4">
            <w:pPr>
              <w:widowControl w:val="0"/>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A7CEC" w14:textId="77777777" w:rsidR="00A05B02" w:rsidRDefault="00A05B02" w:rsidP="009134D4">
            <w:pPr>
              <w:widowControl w:val="0"/>
              <w:rPr>
                <w:sz w:val="20"/>
                <w:szCs w:val="20"/>
              </w:rPr>
            </w:pPr>
          </w:p>
        </w:tc>
      </w:tr>
      <w:tr w:rsidR="00A05B02" w14:paraId="09EE07C9" w14:textId="77777777" w:rsidTr="009134D4">
        <w:trPr>
          <w:trHeight w:val="288"/>
        </w:trPr>
        <w:tc>
          <w:tcPr>
            <w:tcW w:w="2377" w:type="dxa"/>
            <w:tcBorders>
              <w:top w:val="nil"/>
              <w:left w:val="single" w:sz="4" w:space="0" w:color="FFFFFF"/>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206E46D6"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100</w:t>
            </w:r>
          </w:p>
        </w:tc>
        <w:tc>
          <w:tcPr>
            <w:tcW w:w="2233" w:type="dxa"/>
            <w:tcBorders>
              <w:top w:val="nil"/>
              <w:left w:val="nil"/>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41A05589"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Break-even</w:t>
            </w:r>
          </w:p>
        </w:tc>
        <w:tc>
          <w:tcPr>
            <w:tcW w:w="135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3EFE41C9" w14:textId="77777777" w:rsidR="00A05B02" w:rsidRDefault="00A05B02" w:rsidP="009134D4">
            <w:pPr>
              <w:widowControl w:val="0"/>
              <w:jc w:val="center"/>
              <w:rPr>
                <w:rFonts w:ascii="Calibri" w:hAnsi="Calibri" w:cs="Calibri"/>
                <w:color w:val="000000"/>
              </w:rPr>
            </w:pPr>
            <w:r>
              <w:rPr>
                <w:rFonts w:ascii="Calibri" w:hAnsi="Calibri" w:cs="Calibri"/>
                <w:color w:val="000000"/>
              </w:rPr>
              <w:t>9</w:t>
            </w:r>
          </w:p>
        </w:tc>
        <w:tc>
          <w:tcPr>
            <w:tcW w:w="1552"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3B2E8DC4" w14:textId="77777777" w:rsidR="00A05B02" w:rsidRDefault="00A05B02" w:rsidP="009134D4">
            <w:pPr>
              <w:widowControl w:val="0"/>
              <w:jc w:val="center"/>
              <w:rPr>
                <w:rFonts w:ascii="Calibri" w:hAnsi="Calibri" w:cs="Calibri"/>
                <w:color w:val="000000"/>
              </w:rPr>
            </w:pPr>
            <w:r>
              <w:rPr>
                <w:rFonts w:ascii="Calibri" w:hAnsi="Calibri" w:cs="Calibri"/>
                <w:color w:val="000000"/>
              </w:rPr>
              <w:t>0</w:t>
            </w:r>
          </w:p>
        </w:tc>
        <w:tc>
          <w:tcPr>
            <w:tcW w:w="134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04017891" w14:textId="77777777" w:rsidR="00A05B02" w:rsidRDefault="00A05B02" w:rsidP="009134D4">
            <w:pPr>
              <w:widowControl w:val="0"/>
              <w:jc w:val="center"/>
              <w:rPr>
                <w:rFonts w:ascii="Calibri" w:hAnsi="Calibri" w:cs="Calibri"/>
                <w:color w:val="000000"/>
              </w:rPr>
            </w:pPr>
            <w:r>
              <w:rPr>
                <w:rFonts w:ascii="Calibri" w:hAnsi="Calibri" w:cs="Calibri"/>
                <w:color w:val="000000"/>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AF66B" w14:textId="77777777" w:rsidR="00A05B02" w:rsidRDefault="00A05B02" w:rsidP="009134D4">
            <w:pPr>
              <w:widowControl w:val="0"/>
              <w:jc w:val="cente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32FF" w14:textId="77777777" w:rsidR="00A05B02" w:rsidRDefault="00A05B02" w:rsidP="009134D4">
            <w:pPr>
              <w:widowControl w:val="0"/>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D4F75" w14:textId="77777777" w:rsidR="00A05B02" w:rsidRDefault="00A05B02" w:rsidP="009134D4">
            <w:pPr>
              <w:widowControl w:val="0"/>
              <w:rPr>
                <w:sz w:val="20"/>
                <w:szCs w:val="20"/>
              </w:rPr>
            </w:pPr>
          </w:p>
        </w:tc>
      </w:tr>
      <w:tr w:rsidR="00A05B02" w14:paraId="1EF96D8A" w14:textId="77777777" w:rsidTr="009134D4">
        <w:trPr>
          <w:trHeight w:val="288"/>
        </w:trPr>
        <w:tc>
          <w:tcPr>
            <w:tcW w:w="2377" w:type="dxa"/>
            <w:tcBorders>
              <w:top w:val="nil"/>
              <w:left w:val="single" w:sz="4" w:space="0" w:color="FFFFFF"/>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0BAD5A0D"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100&gt;</w:t>
            </w:r>
          </w:p>
        </w:tc>
        <w:tc>
          <w:tcPr>
            <w:tcW w:w="2233" w:type="dxa"/>
            <w:tcBorders>
              <w:top w:val="nil"/>
              <w:left w:val="nil"/>
              <w:bottom w:val="single" w:sz="4" w:space="0" w:color="FFFFFF"/>
              <w:right w:val="single" w:sz="4" w:space="0" w:color="FFFFFF"/>
            </w:tcBorders>
            <w:shd w:val="clear" w:color="000000" w:fill="49723B"/>
            <w:noWrap/>
            <w:tcMar>
              <w:top w:w="15" w:type="dxa"/>
              <w:left w:w="15" w:type="dxa"/>
              <w:bottom w:w="0" w:type="dxa"/>
              <w:right w:w="15" w:type="dxa"/>
            </w:tcMar>
            <w:vAlign w:val="bottom"/>
            <w:hideMark/>
          </w:tcPr>
          <w:p w14:paraId="146468C3" w14:textId="77777777" w:rsidR="00A05B02" w:rsidRDefault="00A05B02" w:rsidP="009134D4">
            <w:pPr>
              <w:widowControl w:val="0"/>
              <w:jc w:val="center"/>
              <w:rPr>
                <w:rFonts w:ascii="Calibri" w:hAnsi="Calibri" w:cs="Calibri"/>
                <w:b/>
                <w:bCs/>
                <w:color w:val="FFFFFF"/>
              </w:rPr>
            </w:pPr>
            <w:r>
              <w:rPr>
                <w:rFonts w:ascii="Calibri" w:hAnsi="Calibri" w:cs="Calibri"/>
                <w:b/>
                <w:bCs/>
                <w:color w:val="FFFFFF"/>
              </w:rPr>
              <w:t>Loss making</w:t>
            </w:r>
          </w:p>
        </w:tc>
        <w:tc>
          <w:tcPr>
            <w:tcW w:w="135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6B13B19E" w14:textId="77777777" w:rsidR="00A05B02" w:rsidRDefault="00A05B02" w:rsidP="009134D4">
            <w:pPr>
              <w:widowControl w:val="0"/>
              <w:jc w:val="center"/>
              <w:rPr>
                <w:rFonts w:ascii="Calibri" w:hAnsi="Calibri" w:cs="Calibri"/>
                <w:color w:val="000000"/>
              </w:rPr>
            </w:pPr>
            <w:r>
              <w:rPr>
                <w:rFonts w:ascii="Calibri" w:hAnsi="Calibri" w:cs="Calibri"/>
                <w:color w:val="000000"/>
              </w:rPr>
              <w:t>9</w:t>
            </w:r>
          </w:p>
        </w:tc>
        <w:tc>
          <w:tcPr>
            <w:tcW w:w="1552"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6D91DDC0" w14:textId="77777777" w:rsidR="00A05B02" w:rsidRDefault="00A05B02" w:rsidP="009134D4">
            <w:pPr>
              <w:widowControl w:val="0"/>
              <w:jc w:val="center"/>
              <w:rPr>
                <w:rFonts w:ascii="Calibri" w:hAnsi="Calibri" w:cs="Calibri"/>
                <w:color w:val="000000"/>
              </w:rPr>
            </w:pPr>
            <w:r>
              <w:rPr>
                <w:rFonts w:ascii="Calibri" w:hAnsi="Calibri" w:cs="Calibri"/>
                <w:color w:val="000000"/>
              </w:rPr>
              <w:t>21</w:t>
            </w:r>
          </w:p>
        </w:tc>
        <w:tc>
          <w:tcPr>
            <w:tcW w:w="1341" w:type="dxa"/>
            <w:tcBorders>
              <w:top w:val="nil"/>
              <w:left w:val="nil"/>
              <w:bottom w:val="single" w:sz="4" w:space="0" w:color="FFFFFF"/>
              <w:right w:val="single" w:sz="4" w:space="0" w:color="FFFFFF"/>
            </w:tcBorders>
            <w:shd w:val="clear" w:color="000000" w:fill="EFEAE6"/>
            <w:noWrap/>
            <w:tcMar>
              <w:top w:w="15" w:type="dxa"/>
              <w:left w:w="15" w:type="dxa"/>
              <w:bottom w:w="0" w:type="dxa"/>
              <w:right w:w="15" w:type="dxa"/>
            </w:tcMar>
            <w:vAlign w:val="bottom"/>
            <w:hideMark/>
          </w:tcPr>
          <w:p w14:paraId="0FF50990" w14:textId="77777777" w:rsidR="00A05B02" w:rsidRDefault="00A05B02" w:rsidP="009134D4">
            <w:pPr>
              <w:widowControl w:val="0"/>
              <w:jc w:val="center"/>
              <w:rPr>
                <w:rFonts w:ascii="Calibri" w:hAnsi="Calibri" w:cs="Calibri"/>
                <w:color w:val="000000"/>
              </w:rPr>
            </w:pPr>
            <w:r>
              <w:rPr>
                <w:rFonts w:ascii="Calibri" w:hAnsi="Calibri" w:cs="Calibri"/>
                <w:color w:val="000000"/>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C81B3" w14:textId="77777777" w:rsidR="00A05B02" w:rsidRDefault="00A05B02" w:rsidP="009134D4">
            <w:pPr>
              <w:widowControl w:val="0"/>
              <w:jc w:val="center"/>
              <w:rPr>
                <w:rFonts w:ascii="Calibri" w:hAnsi="Calibri" w:cs="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88632" w14:textId="77777777" w:rsidR="00A05B02" w:rsidRDefault="00A05B02" w:rsidP="009134D4">
            <w:pPr>
              <w:widowControl w:val="0"/>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101A8" w14:textId="77777777" w:rsidR="00A05B02" w:rsidRDefault="00A05B02" w:rsidP="009134D4">
            <w:pPr>
              <w:widowControl w:val="0"/>
              <w:rPr>
                <w:sz w:val="20"/>
                <w:szCs w:val="20"/>
              </w:rPr>
            </w:pPr>
          </w:p>
        </w:tc>
      </w:tr>
    </w:tbl>
    <w:p w14:paraId="54150A6B" w14:textId="26B8EC0E" w:rsidR="009134D4" w:rsidRDefault="00A05B02" w:rsidP="009134D4">
      <w:pPr>
        <w:widowControl w:val="0"/>
        <w:jc w:val="both"/>
      </w:pPr>
      <w:r w:rsidRPr="000672E5">
        <w:rPr>
          <w:rFonts w:cstheme="minorHAnsi"/>
          <w:sz w:val="28"/>
          <w:szCs w:val="28"/>
        </w:rPr>
        <w:t xml:space="preserve"> </w:t>
      </w:r>
    </w:p>
    <w:p w14:paraId="5421A9FE" w14:textId="2E9C710E" w:rsidR="00EF631B" w:rsidRDefault="00EF631B">
      <w:r>
        <w:br w:type="page"/>
      </w:r>
    </w:p>
    <w:p w14:paraId="6E2E6A94" w14:textId="006C35B7" w:rsidR="004E5B04" w:rsidRDefault="004E5B04"/>
    <w:tbl>
      <w:tblPr>
        <w:tblW w:w="8632" w:type="dxa"/>
        <w:tblLook w:val="04A0" w:firstRow="1" w:lastRow="0" w:firstColumn="1" w:lastColumn="0" w:noHBand="0" w:noVBand="1"/>
      </w:tblPr>
      <w:tblGrid>
        <w:gridCol w:w="1976"/>
        <w:gridCol w:w="1779"/>
        <w:gridCol w:w="2455"/>
        <w:gridCol w:w="2122"/>
        <w:gridCol w:w="300"/>
      </w:tblGrid>
      <w:tr w:rsidR="00A05B02" w:rsidRPr="008E5EAD" w14:paraId="3914C4F8" w14:textId="77777777" w:rsidTr="009134D4">
        <w:trPr>
          <w:trHeight w:val="462"/>
        </w:trPr>
        <w:tc>
          <w:tcPr>
            <w:tcW w:w="8632" w:type="dxa"/>
            <w:gridSpan w:val="5"/>
            <w:tcBorders>
              <w:top w:val="nil"/>
              <w:left w:val="nil"/>
              <w:bottom w:val="nil"/>
              <w:right w:val="nil"/>
            </w:tcBorders>
            <w:shd w:val="clear" w:color="auto" w:fill="auto"/>
            <w:noWrap/>
            <w:vAlign w:val="bottom"/>
            <w:hideMark/>
          </w:tcPr>
          <w:tbl>
            <w:tblPr>
              <w:tblW w:w="8080" w:type="dxa"/>
              <w:tblLook w:val="04A0" w:firstRow="1" w:lastRow="0" w:firstColumn="1" w:lastColumn="0" w:noHBand="0" w:noVBand="1"/>
            </w:tblPr>
            <w:tblGrid>
              <w:gridCol w:w="2759"/>
              <w:gridCol w:w="1420"/>
              <w:gridCol w:w="1478"/>
              <w:gridCol w:w="1507"/>
              <w:gridCol w:w="222"/>
              <w:gridCol w:w="236"/>
              <w:gridCol w:w="236"/>
              <w:gridCol w:w="194"/>
              <w:gridCol w:w="28"/>
            </w:tblGrid>
            <w:tr w:rsidR="00A05B02" w:rsidRPr="003334BE" w14:paraId="3553D11D" w14:textId="77777777" w:rsidTr="009134D4">
              <w:trPr>
                <w:gridAfter w:val="1"/>
                <w:wAfter w:w="28" w:type="dxa"/>
                <w:trHeight w:val="288"/>
              </w:trPr>
              <w:tc>
                <w:tcPr>
                  <w:tcW w:w="8052" w:type="dxa"/>
                  <w:gridSpan w:val="8"/>
                  <w:tcBorders>
                    <w:top w:val="nil"/>
                    <w:left w:val="nil"/>
                    <w:bottom w:val="nil"/>
                    <w:right w:val="nil"/>
                  </w:tcBorders>
                  <w:shd w:val="clear" w:color="auto" w:fill="auto"/>
                  <w:noWrap/>
                  <w:vAlign w:val="bottom"/>
                  <w:hideMark/>
                </w:tcPr>
                <w:p w14:paraId="363BF5DC" w14:textId="112D5380" w:rsidR="00A05B02" w:rsidRPr="003334BE" w:rsidRDefault="007F34A8" w:rsidP="009134D4">
                  <w:pPr>
                    <w:widowControl w:val="0"/>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5</w:t>
                  </w:r>
                  <w:r w:rsidR="004E5B04">
                    <w:rPr>
                      <w:rFonts w:ascii="Calibri" w:eastAsia="Times New Roman" w:hAnsi="Calibri" w:cs="Calibri"/>
                      <w:b/>
                      <w:bCs/>
                      <w:color w:val="5F735C"/>
                      <w:lang w:eastAsia="en-GB"/>
                    </w:rPr>
                    <w:t>:  Profit/student for FV</w:t>
                  </w:r>
                  <w:r w:rsidR="00A05B02" w:rsidRPr="003334BE">
                    <w:rPr>
                      <w:rFonts w:ascii="Calibri" w:eastAsia="Times New Roman" w:hAnsi="Calibri" w:cs="Calibri"/>
                      <w:b/>
                      <w:bCs/>
                      <w:color w:val="5F735C"/>
                      <w:lang w:eastAsia="en-GB"/>
                    </w:rPr>
                    <w:t>, ODL and OBC offshore  provision, 2015/16</w:t>
                  </w:r>
                </w:p>
              </w:tc>
            </w:tr>
            <w:tr w:rsidR="00A05B02" w:rsidRPr="003334BE" w14:paraId="242F733F" w14:textId="77777777" w:rsidTr="009134D4">
              <w:trPr>
                <w:trHeight w:val="288"/>
              </w:trPr>
              <w:tc>
                <w:tcPr>
                  <w:tcW w:w="5657" w:type="dxa"/>
                  <w:gridSpan w:val="3"/>
                  <w:tcBorders>
                    <w:top w:val="nil"/>
                    <w:left w:val="nil"/>
                    <w:bottom w:val="nil"/>
                    <w:right w:val="nil"/>
                  </w:tcBorders>
                  <w:shd w:val="clear" w:color="auto" w:fill="auto"/>
                  <w:noWrap/>
                  <w:vAlign w:val="bottom"/>
                  <w:hideMark/>
                </w:tcPr>
                <w:p w14:paraId="6B8A175B" w14:textId="77777777" w:rsidR="00A05B02" w:rsidRPr="003334BE" w:rsidRDefault="00A05B02" w:rsidP="009134D4">
                  <w:pPr>
                    <w:widowControl w:val="0"/>
                    <w:spacing w:after="0" w:line="240" w:lineRule="auto"/>
                    <w:rPr>
                      <w:rFonts w:ascii="Calibri" w:eastAsia="Times New Roman" w:hAnsi="Calibri" w:cs="Calibri"/>
                      <w:b/>
                      <w:bCs/>
                      <w:color w:val="5F735C"/>
                      <w:lang w:eastAsia="en-GB"/>
                    </w:rPr>
                  </w:pPr>
                  <w:r w:rsidRPr="003334BE">
                    <w:rPr>
                      <w:rFonts w:ascii="Calibri" w:eastAsia="Times New Roman" w:hAnsi="Calibri" w:cs="Calibri"/>
                      <w:b/>
                      <w:bCs/>
                      <w:color w:val="5F735C"/>
                      <w:lang w:eastAsia="en-GB"/>
                    </w:rPr>
                    <w:t>(rounded percentages)</w:t>
                  </w:r>
                </w:p>
              </w:tc>
              <w:tc>
                <w:tcPr>
                  <w:tcW w:w="1507" w:type="dxa"/>
                  <w:tcBorders>
                    <w:top w:val="nil"/>
                    <w:left w:val="nil"/>
                    <w:bottom w:val="nil"/>
                    <w:right w:val="nil"/>
                  </w:tcBorders>
                  <w:shd w:val="clear" w:color="auto" w:fill="auto"/>
                  <w:noWrap/>
                  <w:vAlign w:val="bottom"/>
                  <w:hideMark/>
                </w:tcPr>
                <w:p w14:paraId="2BAEE563" w14:textId="77777777" w:rsidR="00A05B02" w:rsidRPr="003334BE" w:rsidRDefault="00A05B02" w:rsidP="009134D4">
                  <w:pPr>
                    <w:widowControl w:val="0"/>
                    <w:spacing w:after="0" w:line="240" w:lineRule="auto"/>
                    <w:rPr>
                      <w:rFonts w:ascii="Calibri" w:eastAsia="Times New Roman" w:hAnsi="Calibri" w:cs="Calibri"/>
                      <w:b/>
                      <w:bCs/>
                      <w:color w:val="5F735C"/>
                      <w:lang w:eastAsia="en-GB"/>
                    </w:rPr>
                  </w:pPr>
                </w:p>
              </w:tc>
              <w:tc>
                <w:tcPr>
                  <w:tcW w:w="222" w:type="dxa"/>
                  <w:tcBorders>
                    <w:top w:val="nil"/>
                    <w:left w:val="nil"/>
                    <w:bottom w:val="nil"/>
                    <w:right w:val="nil"/>
                  </w:tcBorders>
                  <w:shd w:val="clear" w:color="auto" w:fill="auto"/>
                  <w:noWrap/>
                  <w:vAlign w:val="bottom"/>
                  <w:hideMark/>
                </w:tcPr>
                <w:p w14:paraId="6FA2CD05"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53A032A6"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43C3F1A2"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4F1999D6"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3334BE" w14:paraId="72006CF2" w14:textId="77777777" w:rsidTr="009134D4">
              <w:trPr>
                <w:trHeight w:val="288"/>
              </w:trPr>
              <w:tc>
                <w:tcPr>
                  <w:tcW w:w="2759"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4B64FCD2" w14:textId="77777777" w:rsidR="00A05B02" w:rsidRPr="003334BE" w:rsidRDefault="00A05B02" w:rsidP="009134D4">
                  <w:pPr>
                    <w:widowControl w:val="0"/>
                    <w:spacing w:after="0" w:line="240" w:lineRule="auto"/>
                    <w:jc w:val="center"/>
                    <w:rPr>
                      <w:rFonts w:ascii="Calibri" w:eastAsia="Times New Roman" w:hAnsi="Calibri" w:cs="Calibri"/>
                      <w:b/>
                      <w:bCs/>
                      <w:color w:val="FFFFFF"/>
                      <w:lang w:eastAsia="en-GB"/>
                    </w:rPr>
                  </w:pPr>
                  <w:r w:rsidRPr="003334BE">
                    <w:rPr>
                      <w:rFonts w:ascii="Calibri" w:eastAsia="Times New Roman" w:hAnsi="Calibri" w:cs="Calibri"/>
                      <w:b/>
                      <w:bCs/>
                      <w:color w:val="FFFFFF"/>
                      <w:lang w:eastAsia="en-GB"/>
                    </w:rPr>
                    <w:t>£</w:t>
                  </w:r>
                </w:p>
              </w:tc>
              <w:tc>
                <w:tcPr>
                  <w:tcW w:w="1420" w:type="dxa"/>
                  <w:tcBorders>
                    <w:top w:val="single" w:sz="4" w:space="0" w:color="FFFFFF"/>
                    <w:left w:val="nil"/>
                    <w:bottom w:val="single" w:sz="4" w:space="0" w:color="FFFFFF"/>
                    <w:right w:val="single" w:sz="4" w:space="0" w:color="FFFFFF"/>
                  </w:tcBorders>
                  <w:shd w:val="clear" w:color="000000" w:fill="49723B"/>
                  <w:noWrap/>
                  <w:vAlign w:val="bottom"/>
                  <w:hideMark/>
                </w:tcPr>
                <w:p w14:paraId="7C43E252" w14:textId="5C83B113" w:rsidR="00A05B02" w:rsidRPr="003334BE" w:rsidRDefault="00DC1667" w:rsidP="009134D4">
                  <w:pPr>
                    <w:widowControl w:val="0"/>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FV</w:t>
                  </w:r>
                </w:p>
              </w:tc>
              <w:tc>
                <w:tcPr>
                  <w:tcW w:w="1478" w:type="dxa"/>
                  <w:tcBorders>
                    <w:top w:val="single" w:sz="4" w:space="0" w:color="FFFFFF"/>
                    <w:left w:val="nil"/>
                    <w:bottom w:val="single" w:sz="4" w:space="0" w:color="FFFFFF"/>
                    <w:right w:val="single" w:sz="4" w:space="0" w:color="FFFFFF"/>
                  </w:tcBorders>
                  <w:shd w:val="clear" w:color="000000" w:fill="49723B"/>
                  <w:noWrap/>
                  <w:vAlign w:val="bottom"/>
                  <w:hideMark/>
                </w:tcPr>
                <w:p w14:paraId="534E626B" w14:textId="77777777" w:rsidR="00A05B02" w:rsidRPr="003334BE" w:rsidRDefault="00A05B02" w:rsidP="009134D4">
                  <w:pPr>
                    <w:widowControl w:val="0"/>
                    <w:spacing w:after="0" w:line="240" w:lineRule="auto"/>
                    <w:jc w:val="center"/>
                    <w:rPr>
                      <w:rFonts w:ascii="Calibri" w:eastAsia="Times New Roman" w:hAnsi="Calibri" w:cs="Calibri"/>
                      <w:b/>
                      <w:bCs/>
                      <w:color w:val="FFFFFF"/>
                      <w:lang w:eastAsia="en-GB"/>
                    </w:rPr>
                  </w:pPr>
                  <w:r w:rsidRPr="003334BE">
                    <w:rPr>
                      <w:rFonts w:ascii="Calibri" w:eastAsia="Times New Roman" w:hAnsi="Calibri" w:cs="Calibri"/>
                      <w:b/>
                      <w:bCs/>
                      <w:color w:val="FFFFFF"/>
                      <w:lang w:eastAsia="en-GB"/>
                    </w:rPr>
                    <w:t>ODL</w:t>
                  </w:r>
                </w:p>
              </w:tc>
              <w:tc>
                <w:tcPr>
                  <w:tcW w:w="1507" w:type="dxa"/>
                  <w:tcBorders>
                    <w:top w:val="single" w:sz="4" w:space="0" w:color="FFFFFF"/>
                    <w:left w:val="nil"/>
                    <w:bottom w:val="single" w:sz="4" w:space="0" w:color="FFFFFF"/>
                    <w:right w:val="single" w:sz="4" w:space="0" w:color="FFFFFF"/>
                  </w:tcBorders>
                  <w:shd w:val="clear" w:color="000000" w:fill="49723B"/>
                  <w:noWrap/>
                  <w:vAlign w:val="bottom"/>
                  <w:hideMark/>
                </w:tcPr>
                <w:p w14:paraId="01227BD1" w14:textId="77777777" w:rsidR="00A05B02" w:rsidRPr="003334BE" w:rsidRDefault="00A05B02" w:rsidP="009134D4">
                  <w:pPr>
                    <w:widowControl w:val="0"/>
                    <w:spacing w:after="0" w:line="240" w:lineRule="auto"/>
                    <w:jc w:val="center"/>
                    <w:rPr>
                      <w:rFonts w:ascii="Calibri" w:eastAsia="Times New Roman" w:hAnsi="Calibri" w:cs="Calibri"/>
                      <w:b/>
                      <w:bCs/>
                      <w:color w:val="FFFFFF"/>
                      <w:lang w:eastAsia="en-GB"/>
                    </w:rPr>
                  </w:pPr>
                  <w:r w:rsidRPr="003334BE">
                    <w:rPr>
                      <w:rFonts w:ascii="Calibri" w:eastAsia="Times New Roman" w:hAnsi="Calibri" w:cs="Calibri"/>
                      <w:b/>
                      <w:bCs/>
                      <w:color w:val="FFFFFF"/>
                      <w:lang w:eastAsia="en-GB"/>
                    </w:rPr>
                    <w:t>OBC</w:t>
                  </w:r>
                </w:p>
              </w:tc>
              <w:tc>
                <w:tcPr>
                  <w:tcW w:w="222" w:type="dxa"/>
                  <w:tcBorders>
                    <w:top w:val="nil"/>
                    <w:left w:val="nil"/>
                    <w:bottom w:val="nil"/>
                    <w:right w:val="nil"/>
                  </w:tcBorders>
                  <w:shd w:val="clear" w:color="auto" w:fill="auto"/>
                  <w:noWrap/>
                  <w:vAlign w:val="bottom"/>
                  <w:hideMark/>
                </w:tcPr>
                <w:p w14:paraId="22F4A558" w14:textId="77777777" w:rsidR="00A05B02" w:rsidRPr="003334BE" w:rsidRDefault="00A05B02" w:rsidP="009134D4">
                  <w:pPr>
                    <w:widowControl w:val="0"/>
                    <w:spacing w:after="0" w:line="240" w:lineRule="auto"/>
                    <w:jc w:val="center"/>
                    <w:rPr>
                      <w:rFonts w:ascii="Calibri" w:eastAsia="Times New Roman" w:hAnsi="Calibri" w:cs="Calibri"/>
                      <w:b/>
                      <w:bCs/>
                      <w:color w:val="FFFFFF"/>
                      <w:lang w:eastAsia="en-GB"/>
                    </w:rPr>
                  </w:pPr>
                </w:p>
              </w:tc>
              <w:tc>
                <w:tcPr>
                  <w:tcW w:w="236" w:type="dxa"/>
                  <w:tcBorders>
                    <w:top w:val="nil"/>
                    <w:left w:val="nil"/>
                    <w:bottom w:val="nil"/>
                    <w:right w:val="nil"/>
                  </w:tcBorders>
                  <w:shd w:val="clear" w:color="auto" w:fill="auto"/>
                  <w:noWrap/>
                  <w:vAlign w:val="bottom"/>
                  <w:hideMark/>
                </w:tcPr>
                <w:p w14:paraId="1E77DF16"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77B62438"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21987D02"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3334BE" w14:paraId="17F282EA" w14:textId="77777777" w:rsidTr="009134D4">
              <w:trPr>
                <w:trHeight w:val="288"/>
              </w:trPr>
              <w:tc>
                <w:tcPr>
                  <w:tcW w:w="2759" w:type="dxa"/>
                  <w:tcBorders>
                    <w:top w:val="nil"/>
                    <w:left w:val="single" w:sz="4" w:space="0" w:color="FFFFFF"/>
                    <w:bottom w:val="single" w:sz="4" w:space="0" w:color="FFFFFF"/>
                    <w:right w:val="single" w:sz="4" w:space="0" w:color="FFFFFF"/>
                  </w:tcBorders>
                  <w:shd w:val="clear" w:color="000000" w:fill="49723B"/>
                  <w:noWrap/>
                  <w:vAlign w:val="bottom"/>
                  <w:hideMark/>
                </w:tcPr>
                <w:p w14:paraId="15607B19" w14:textId="77777777" w:rsidR="00A05B02" w:rsidRPr="003334BE" w:rsidRDefault="00A05B02" w:rsidP="009134D4">
                  <w:pPr>
                    <w:widowControl w:val="0"/>
                    <w:spacing w:after="0" w:line="240" w:lineRule="auto"/>
                    <w:jc w:val="center"/>
                    <w:rPr>
                      <w:rFonts w:ascii="Calibri" w:eastAsia="Times New Roman" w:hAnsi="Calibri" w:cs="Calibri"/>
                      <w:b/>
                      <w:bCs/>
                      <w:color w:val="FFFFFF"/>
                      <w:lang w:eastAsia="en-GB"/>
                    </w:rPr>
                  </w:pPr>
                  <w:r w:rsidRPr="003334BE">
                    <w:rPr>
                      <w:rFonts w:ascii="Calibri" w:eastAsia="Times New Roman" w:hAnsi="Calibri" w:cs="Calibri"/>
                      <w:b/>
                      <w:bCs/>
                      <w:color w:val="FFFFFF"/>
                      <w:lang w:eastAsia="en-GB"/>
                    </w:rPr>
                    <w:t>&lt;0</w:t>
                  </w:r>
                </w:p>
              </w:tc>
              <w:tc>
                <w:tcPr>
                  <w:tcW w:w="1420" w:type="dxa"/>
                  <w:tcBorders>
                    <w:top w:val="nil"/>
                    <w:left w:val="nil"/>
                    <w:bottom w:val="single" w:sz="4" w:space="0" w:color="FFFFFF"/>
                    <w:right w:val="single" w:sz="4" w:space="0" w:color="FFFFFF"/>
                  </w:tcBorders>
                  <w:shd w:val="clear" w:color="000000" w:fill="EFEAE6"/>
                  <w:noWrap/>
                  <w:vAlign w:val="bottom"/>
                  <w:hideMark/>
                </w:tcPr>
                <w:p w14:paraId="315F393D"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18</w:t>
                  </w:r>
                </w:p>
              </w:tc>
              <w:tc>
                <w:tcPr>
                  <w:tcW w:w="1478" w:type="dxa"/>
                  <w:tcBorders>
                    <w:top w:val="nil"/>
                    <w:left w:val="nil"/>
                    <w:bottom w:val="single" w:sz="4" w:space="0" w:color="FFFFFF"/>
                    <w:right w:val="single" w:sz="4" w:space="0" w:color="FFFFFF"/>
                  </w:tcBorders>
                  <w:shd w:val="clear" w:color="000000" w:fill="EFEAE6"/>
                  <w:noWrap/>
                  <w:vAlign w:val="bottom"/>
                  <w:hideMark/>
                </w:tcPr>
                <w:p w14:paraId="2D2393C1"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21</w:t>
                  </w:r>
                </w:p>
              </w:tc>
              <w:tc>
                <w:tcPr>
                  <w:tcW w:w="1507" w:type="dxa"/>
                  <w:tcBorders>
                    <w:top w:val="nil"/>
                    <w:left w:val="nil"/>
                    <w:bottom w:val="single" w:sz="4" w:space="0" w:color="FFFFFF"/>
                    <w:right w:val="single" w:sz="4" w:space="0" w:color="FFFFFF"/>
                  </w:tcBorders>
                  <w:shd w:val="clear" w:color="000000" w:fill="EFEAE6"/>
                  <w:noWrap/>
                  <w:vAlign w:val="bottom"/>
                  <w:hideMark/>
                </w:tcPr>
                <w:p w14:paraId="48E82E9A"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0E509B78"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14:paraId="4569160C"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6B7FA0D3"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1A49B005"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3334BE" w14:paraId="5CDA4070" w14:textId="77777777" w:rsidTr="009134D4">
              <w:trPr>
                <w:trHeight w:val="288"/>
              </w:trPr>
              <w:tc>
                <w:tcPr>
                  <w:tcW w:w="2759" w:type="dxa"/>
                  <w:tcBorders>
                    <w:top w:val="nil"/>
                    <w:left w:val="single" w:sz="4" w:space="0" w:color="FFFFFF"/>
                    <w:bottom w:val="single" w:sz="4" w:space="0" w:color="FFFFFF"/>
                    <w:right w:val="single" w:sz="4" w:space="0" w:color="FFFFFF"/>
                  </w:tcBorders>
                  <w:shd w:val="clear" w:color="000000" w:fill="49723B"/>
                  <w:noWrap/>
                  <w:vAlign w:val="bottom"/>
                  <w:hideMark/>
                </w:tcPr>
                <w:p w14:paraId="4D950F58" w14:textId="77777777" w:rsidR="00A05B02" w:rsidRPr="003334BE" w:rsidRDefault="00A05B02" w:rsidP="009134D4">
                  <w:pPr>
                    <w:widowControl w:val="0"/>
                    <w:spacing w:after="0" w:line="240" w:lineRule="auto"/>
                    <w:jc w:val="center"/>
                    <w:rPr>
                      <w:rFonts w:ascii="Calibri" w:eastAsia="Times New Roman" w:hAnsi="Calibri" w:cs="Calibri"/>
                      <w:b/>
                      <w:bCs/>
                      <w:color w:val="FFFFFF"/>
                      <w:lang w:eastAsia="en-GB"/>
                    </w:rPr>
                  </w:pPr>
                  <w:r w:rsidRPr="003334BE">
                    <w:rPr>
                      <w:rFonts w:ascii="Calibri" w:eastAsia="Times New Roman" w:hAnsi="Calibri" w:cs="Calibri"/>
                      <w:b/>
                      <w:bCs/>
                      <w:color w:val="FFFFFF"/>
                      <w:lang w:eastAsia="en-GB"/>
                    </w:rPr>
                    <w:t>1-999</w:t>
                  </w:r>
                </w:p>
              </w:tc>
              <w:tc>
                <w:tcPr>
                  <w:tcW w:w="1420" w:type="dxa"/>
                  <w:tcBorders>
                    <w:top w:val="nil"/>
                    <w:left w:val="nil"/>
                    <w:bottom w:val="single" w:sz="4" w:space="0" w:color="FFFFFF"/>
                    <w:right w:val="single" w:sz="4" w:space="0" w:color="FFFFFF"/>
                  </w:tcBorders>
                  <w:shd w:val="clear" w:color="000000" w:fill="EFEAE6"/>
                  <w:noWrap/>
                  <w:vAlign w:val="bottom"/>
                  <w:hideMark/>
                </w:tcPr>
                <w:p w14:paraId="6A7A6F9E"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21</w:t>
                  </w:r>
                </w:p>
              </w:tc>
              <w:tc>
                <w:tcPr>
                  <w:tcW w:w="1478" w:type="dxa"/>
                  <w:tcBorders>
                    <w:top w:val="nil"/>
                    <w:left w:val="nil"/>
                    <w:bottom w:val="single" w:sz="4" w:space="0" w:color="FFFFFF"/>
                    <w:right w:val="single" w:sz="4" w:space="0" w:color="FFFFFF"/>
                  </w:tcBorders>
                  <w:shd w:val="clear" w:color="000000" w:fill="EFEAE6"/>
                  <w:noWrap/>
                  <w:vAlign w:val="bottom"/>
                  <w:hideMark/>
                </w:tcPr>
                <w:p w14:paraId="7618F9A1"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7</w:t>
                  </w:r>
                </w:p>
              </w:tc>
              <w:tc>
                <w:tcPr>
                  <w:tcW w:w="1507" w:type="dxa"/>
                  <w:tcBorders>
                    <w:top w:val="nil"/>
                    <w:left w:val="nil"/>
                    <w:bottom w:val="single" w:sz="4" w:space="0" w:color="FFFFFF"/>
                    <w:right w:val="single" w:sz="4" w:space="0" w:color="FFFFFF"/>
                  </w:tcBorders>
                  <w:shd w:val="clear" w:color="000000" w:fill="EFEAE6"/>
                  <w:noWrap/>
                  <w:vAlign w:val="bottom"/>
                  <w:hideMark/>
                </w:tcPr>
                <w:p w14:paraId="372D91A5"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14</w:t>
                  </w:r>
                </w:p>
              </w:tc>
              <w:tc>
                <w:tcPr>
                  <w:tcW w:w="222" w:type="dxa"/>
                  <w:tcBorders>
                    <w:top w:val="nil"/>
                    <w:left w:val="nil"/>
                    <w:bottom w:val="nil"/>
                    <w:right w:val="nil"/>
                  </w:tcBorders>
                  <w:shd w:val="clear" w:color="auto" w:fill="auto"/>
                  <w:noWrap/>
                  <w:vAlign w:val="bottom"/>
                  <w:hideMark/>
                </w:tcPr>
                <w:p w14:paraId="6A394007"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14:paraId="315A4B9F"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7013EEFF"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47C49D7B"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3334BE" w14:paraId="309F96B7" w14:textId="77777777" w:rsidTr="009134D4">
              <w:trPr>
                <w:trHeight w:val="288"/>
              </w:trPr>
              <w:tc>
                <w:tcPr>
                  <w:tcW w:w="2759" w:type="dxa"/>
                  <w:tcBorders>
                    <w:top w:val="nil"/>
                    <w:left w:val="single" w:sz="4" w:space="0" w:color="FFFFFF"/>
                    <w:bottom w:val="single" w:sz="4" w:space="0" w:color="FFFFFF"/>
                    <w:right w:val="single" w:sz="4" w:space="0" w:color="FFFFFF"/>
                  </w:tcBorders>
                  <w:shd w:val="clear" w:color="000000" w:fill="49723B"/>
                  <w:noWrap/>
                  <w:vAlign w:val="bottom"/>
                  <w:hideMark/>
                </w:tcPr>
                <w:p w14:paraId="3BE6F0D7" w14:textId="77777777" w:rsidR="00A05B02" w:rsidRPr="003334BE" w:rsidRDefault="00A05B02" w:rsidP="009134D4">
                  <w:pPr>
                    <w:widowControl w:val="0"/>
                    <w:spacing w:after="0" w:line="240" w:lineRule="auto"/>
                    <w:jc w:val="center"/>
                    <w:rPr>
                      <w:rFonts w:ascii="Calibri" w:eastAsia="Times New Roman" w:hAnsi="Calibri" w:cs="Calibri"/>
                      <w:b/>
                      <w:bCs/>
                      <w:color w:val="FFFFFF"/>
                      <w:lang w:eastAsia="en-GB"/>
                    </w:rPr>
                  </w:pPr>
                  <w:r w:rsidRPr="003334BE">
                    <w:rPr>
                      <w:rFonts w:ascii="Calibri" w:eastAsia="Times New Roman" w:hAnsi="Calibri" w:cs="Calibri"/>
                      <w:b/>
                      <w:bCs/>
                      <w:color w:val="FFFFFF"/>
                      <w:lang w:eastAsia="en-GB"/>
                    </w:rPr>
                    <w:t>200-499</w:t>
                  </w:r>
                </w:p>
              </w:tc>
              <w:tc>
                <w:tcPr>
                  <w:tcW w:w="1420" w:type="dxa"/>
                  <w:tcBorders>
                    <w:top w:val="nil"/>
                    <w:left w:val="nil"/>
                    <w:bottom w:val="single" w:sz="4" w:space="0" w:color="FFFFFF"/>
                    <w:right w:val="single" w:sz="4" w:space="0" w:color="FFFFFF"/>
                  </w:tcBorders>
                  <w:shd w:val="clear" w:color="000000" w:fill="EFEAE6"/>
                  <w:noWrap/>
                  <w:vAlign w:val="bottom"/>
                  <w:hideMark/>
                </w:tcPr>
                <w:p w14:paraId="25B22E04"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43</w:t>
                  </w:r>
                </w:p>
              </w:tc>
              <w:tc>
                <w:tcPr>
                  <w:tcW w:w="1478" w:type="dxa"/>
                  <w:tcBorders>
                    <w:top w:val="nil"/>
                    <w:left w:val="nil"/>
                    <w:bottom w:val="single" w:sz="4" w:space="0" w:color="FFFFFF"/>
                    <w:right w:val="single" w:sz="4" w:space="0" w:color="FFFFFF"/>
                  </w:tcBorders>
                  <w:shd w:val="clear" w:color="000000" w:fill="EFEAE6"/>
                  <w:noWrap/>
                  <w:vAlign w:val="bottom"/>
                  <w:hideMark/>
                </w:tcPr>
                <w:p w14:paraId="3F9C14FD"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7</w:t>
                  </w:r>
                </w:p>
              </w:tc>
              <w:tc>
                <w:tcPr>
                  <w:tcW w:w="1507" w:type="dxa"/>
                  <w:tcBorders>
                    <w:top w:val="nil"/>
                    <w:left w:val="nil"/>
                    <w:bottom w:val="single" w:sz="4" w:space="0" w:color="FFFFFF"/>
                    <w:right w:val="single" w:sz="4" w:space="0" w:color="FFFFFF"/>
                  </w:tcBorders>
                  <w:shd w:val="clear" w:color="000000" w:fill="EFEAE6"/>
                  <w:noWrap/>
                  <w:vAlign w:val="bottom"/>
                  <w:hideMark/>
                </w:tcPr>
                <w:p w14:paraId="61DDF6F7"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43</w:t>
                  </w:r>
                </w:p>
              </w:tc>
              <w:tc>
                <w:tcPr>
                  <w:tcW w:w="222" w:type="dxa"/>
                  <w:tcBorders>
                    <w:top w:val="nil"/>
                    <w:left w:val="nil"/>
                    <w:bottom w:val="nil"/>
                    <w:right w:val="nil"/>
                  </w:tcBorders>
                  <w:shd w:val="clear" w:color="auto" w:fill="auto"/>
                  <w:noWrap/>
                  <w:vAlign w:val="bottom"/>
                  <w:hideMark/>
                </w:tcPr>
                <w:p w14:paraId="1B583F65"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14:paraId="2384BB1E"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360B34EE"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66FA6FCA"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3334BE" w14:paraId="20619CC6" w14:textId="77777777" w:rsidTr="009134D4">
              <w:trPr>
                <w:trHeight w:val="288"/>
              </w:trPr>
              <w:tc>
                <w:tcPr>
                  <w:tcW w:w="2759" w:type="dxa"/>
                  <w:tcBorders>
                    <w:top w:val="nil"/>
                    <w:left w:val="single" w:sz="4" w:space="0" w:color="FFFFFF"/>
                    <w:bottom w:val="single" w:sz="4" w:space="0" w:color="FFFFFF"/>
                    <w:right w:val="single" w:sz="4" w:space="0" w:color="FFFFFF"/>
                  </w:tcBorders>
                  <w:shd w:val="clear" w:color="000000" w:fill="49723B"/>
                  <w:noWrap/>
                  <w:vAlign w:val="bottom"/>
                  <w:hideMark/>
                </w:tcPr>
                <w:p w14:paraId="7565A765" w14:textId="77777777" w:rsidR="00A05B02" w:rsidRPr="003334BE" w:rsidRDefault="00A05B02" w:rsidP="009134D4">
                  <w:pPr>
                    <w:widowControl w:val="0"/>
                    <w:spacing w:after="0" w:line="240" w:lineRule="auto"/>
                    <w:jc w:val="center"/>
                    <w:rPr>
                      <w:rFonts w:ascii="Calibri" w:eastAsia="Times New Roman" w:hAnsi="Calibri" w:cs="Calibri"/>
                      <w:b/>
                      <w:bCs/>
                      <w:color w:val="FFFFFF"/>
                      <w:lang w:eastAsia="en-GB"/>
                    </w:rPr>
                  </w:pPr>
                  <w:r w:rsidRPr="003334BE">
                    <w:rPr>
                      <w:rFonts w:ascii="Calibri" w:eastAsia="Times New Roman" w:hAnsi="Calibri" w:cs="Calibri"/>
                      <w:b/>
                      <w:bCs/>
                      <w:color w:val="FFFFFF"/>
                      <w:lang w:eastAsia="en-GB"/>
                    </w:rPr>
                    <w:t>500-999</w:t>
                  </w:r>
                </w:p>
              </w:tc>
              <w:tc>
                <w:tcPr>
                  <w:tcW w:w="1420" w:type="dxa"/>
                  <w:tcBorders>
                    <w:top w:val="nil"/>
                    <w:left w:val="nil"/>
                    <w:bottom w:val="single" w:sz="4" w:space="0" w:color="FFFFFF"/>
                    <w:right w:val="single" w:sz="4" w:space="0" w:color="FFFFFF"/>
                  </w:tcBorders>
                  <w:shd w:val="clear" w:color="000000" w:fill="EFEAE6"/>
                  <w:noWrap/>
                  <w:vAlign w:val="bottom"/>
                  <w:hideMark/>
                </w:tcPr>
                <w:p w14:paraId="57D3C161"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11</w:t>
                  </w:r>
                </w:p>
              </w:tc>
              <w:tc>
                <w:tcPr>
                  <w:tcW w:w="1478" w:type="dxa"/>
                  <w:tcBorders>
                    <w:top w:val="nil"/>
                    <w:left w:val="nil"/>
                    <w:bottom w:val="single" w:sz="4" w:space="0" w:color="FFFFFF"/>
                    <w:right w:val="single" w:sz="4" w:space="0" w:color="FFFFFF"/>
                  </w:tcBorders>
                  <w:shd w:val="clear" w:color="000000" w:fill="EFEAE6"/>
                  <w:noWrap/>
                  <w:vAlign w:val="bottom"/>
                  <w:hideMark/>
                </w:tcPr>
                <w:p w14:paraId="71AE9175"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14</w:t>
                  </w:r>
                </w:p>
              </w:tc>
              <w:tc>
                <w:tcPr>
                  <w:tcW w:w="1507" w:type="dxa"/>
                  <w:tcBorders>
                    <w:top w:val="nil"/>
                    <w:left w:val="nil"/>
                    <w:bottom w:val="single" w:sz="4" w:space="0" w:color="FFFFFF"/>
                    <w:right w:val="single" w:sz="4" w:space="0" w:color="FFFFFF"/>
                  </w:tcBorders>
                  <w:shd w:val="clear" w:color="000000" w:fill="EFEAE6"/>
                  <w:noWrap/>
                  <w:vAlign w:val="bottom"/>
                  <w:hideMark/>
                </w:tcPr>
                <w:p w14:paraId="510F32EF"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0</w:t>
                  </w:r>
                </w:p>
              </w:tc>
              <w:tc>
                <w:tcPr>
                  <w:tcW w:w="222" w:type="dxa"/>
                  <w:tcBorders>
                    <w:top w:val="nil"/>
                    <w:left w:val="nil"/>
                    <w:bottom w:val="nil"/>
                    <w:right w:val="nil"/>
                  </w:tcBorders>
                  <w:shd w:val="clear" w:color="auto" w:fill="auto"/>
                  <w:noWrap/>
                  <w:vAlign w:val="bottom"/>
                  <w:hideMark/>
                </w:tcPr>
                <w:p w14:paraId="4F21D75C"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14:paraId="604FCAC6"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7022EC69"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06D47A39"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3334BE" w14:paraId="2E273D63" w14:textId="77777777" w:rsidTr="009134D4">
              <w:trPr>
                <w:trHeight w:val="288"/>
              </w:trPr>
              <w:tc>
                <w:tcPr>
                  <w:tcW w:w="2759" w:type="dxa"/>
                  <w:tcBorders>
                    <w:top w:val="nil"/>
                    <w:left w:val="single" w:sz="4" w:space="0" w:color="FFFFFF"/>
                    <w:bottom w:val="single" w:sz="4" w:space="0" w:color="FFFFFF"/>
                    <w:right w:val="single" w:sz="4" w:space="0" w:color="FFFFFF"/>
                  </w:tcBorders>
                  <w:shd w:val="clear" w:color="000000" w:fill="49723B"/>
                  <w:noWrap/>
                  <w:vAlign w:val="bottom"/>
                  <w:hideMark/>
                </w:tcPr>
                <w:p w14:paraId="5BC81705" w14:textId="77777777" w:rsidR="00A05B02" w:rsidRPr="003334BE" w:rsidRDefault="00A05B02" w:rsidP="009134D4">
                  <w:pPr>
                    <w:widowControl w:val="0"/>
                    <w:spacing w:after="0" w:line="240" w:lineRule="auto"/>
                    <w:jc w:val="center"/>
                    <w:rPr>
                      <w:rFonts w:ascii="Calibri" w:eastAsia="Times New Roman" w:hAnsi="Calibri" w:cs="Calibri"/>
                      <w:b/>
                      <w:bCs/>
                      <w:color w:val="FFFFFF"/>
                      <w:lang w:eastAsia="en-GB"/>
                    </w:rPr>
                  </w:pPr>
                  <w:r w:rsidRPr="003334BE">
                    <w:rPr>
                      <w:rFonts w:ascii="Calibri" w:eastAsia="Times New Roman" w:hAnsi="Calibri" w:cs="Calibri"/>
                      <w:b/>
                      <w:bCs/>
                      <w:color w:val="FFFFFF"/>
                      <w:lang w:eastAsia="en-GB"/>
                    </w:rPr>
                    <w:t>1000&gt;</w:t>
                  </w:r>
                </w:p>
              </w:tc>
              <w:tc>
                <w:tcPr>
                  <w:tcW w:w="1420" w:type="dxa"/>
                  <w:tcBorders>
                    <w:top w:val="nil"/>
                    <w:left w:val="nil"/>
                    <w:bottom w:val="single" w:sz="4" w:space="0" w:color="FFFFFF"/>
                    <w:right w:val="single" w:sz="4" w:space="0" w:color="FFFFFF"/>
                  </w:tcBorders>
                  <w:shd w:val="clear" w:color="000000" w:fill="EFEAE6"/>
                  <w:noWrap/>
                  <w:vAlign w:val="bottom"/>
                  <w:hideMark/>
                </w:tcPr>
                <w:p w14:paraId="2627F269"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7</w:t>
                  </w:r>
                </w:p>
              </w:tc>
              <w:tc>
                <w:tcPr>
                  <w:tcW w:w="1478" w:type="dxa"/>
                  <w:tcBorders>
                    <w:top w:val="nil"/>
                    <w:left w:val="nil"/>
                    <w:bottom w:val="single" w:sz="4" w:space="0" w:color="FFFFFF"/>
                    <w:right w:val="single" w:sz="4" w:space="0" w:color="FFFFFF"/>
                  </w:tcBorders>
                  <w:shd w:val="clear" w:color="000000" w:fill="EFEAE6"/>
                  <w:noWrap/>
                  <w:vAlign w:val="bottom"/>
                  <w:hideMark/>
                </w:tcPr>
                <w:p w14:paraId="658B6695"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50</w:t>
                  </w:r>
                </w:p>
              </w:tc>
              <w:tc>
                <w:tcPr>
                  <w:tcW w:w="1507" w:type="dxa"/>
                  <w:tcBorders>
                    <w:top w:val="nil"/>
                    <w:left w:val="nil"/>
                    <w:bottom w:val="single" w:sz="4" w:space="0" w:color="FFFFFF"/>
                    <w:right w:val="single" w:sz="4" w:space="0" w:color="FFFFFF"/>
                  </w:tcBorders>
                  <w:shd w:val="clear" w:color="000000" w:fill="EFEAE6"/>
                  <w:noWrap/>
                  <w:vAlign w:val="bottom"/>
                  <w:hideMark/>
                </w:tcPr>
                <w:p w14:paraId="2FEB4410"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r w:rsidRPr="003334BE">
                    <w:rPr>
                      <w:rFonts w:ascii="Calibri" w:eastAsia="Times New Roman" w:hAnsi="Calibri" w:cs="Calibri"/>
                      <w:color w:val="000000"/>
                      <w:lang w:eastAsia="en-GB"/>
                    </w:rPr>
                    <w:t>43</w:t>
                  </w:r>
                </w:p>
              </w:tc>
              <w:tc>
                <w:tcPr>
                  <w:tcW w:w="222" w:type="dxa"/>
                  <w:tcBorders>
                    <w:top w:val="nil"/>
                    <w:left w:val="nil"/>
                    <w:bottom w:val="nil"/>
                    <w:right w:val="nil"/>
                  </w:tcBorders>
                  <w:shd w:val="clear" w:color="auto" w:fill="auto"/>
                  <w:noWrap/>
                  <w:vAlign w:val="bottom"/>
                  <w:hideMark/>
                </w:tcPr>
                <w:p w14:paraId="6F9EDCCC" w14:textId="77777777" w:rsidR="00A05B02" w:rsidRPr="003334BE" w:rsidRDefault="00A05B02" w:rsidP="009134D4">
                  <w:pPr>
                    <w:widowControl w:val="0"/>
                    <w:spacing w:after="0" w:line="240" w:lineRule="auto"/>
                    <w:jc w:val="center"/>
                    <w:rPr>
                      <w:rFonts w:ascii="Calibri" w:eastAsia="Times New Roman" w:hAnsi="Calibri" w:cs="Calibri"/>
                      <w:color w:val="000000"/>
                      <w:lang w:eastAsia="en-GB"/>
                    </w:rPr>
                  </w:pPr>
                </w:p>
              </w:tc>
              <w:tc>
                <w:tcPr>
                  <w:tcW w:w="236" w:type="dxa"/>
                  <w:tcBorders>
                    <w:top w:val="nil"/>
                    <w:left w:val="nil"/>
                    <w:bottom w:val="nil"/>
                    <w:right w:val="nil"/>
                  </w:tcBorders>
                  <w:shd w:val="clear" w:color="auto" w:fill="auto"/>
                  <w:noWrap/>
                  <w:vAlign w:val="bottom"/>
                  <w:hideMark/>
                </w:tcPr>
                <w:p w14:paraId="3C8966C9"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7E38FD6A"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6B5EC7E3"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3334BE" w14:paraId="3EDADD2A" w14:textId="77777777" w:rsidTr="009134D4">
              <w:trPr>
                <w:trHeight w:val="288"/>
              </w:trPr>
              <w:tc>
                <w:tcPr>
                  <w:tcW w:w="7164" w:type="dxa"/>
                  <w:gridSpan w:val="4"/>
                  <w:tcBorders>
                    <w:top w:val="nil"/>
                    <w:left w:val="nil"/>
                    <w:bottom w:val="nil"/>
                    <w:right w:val="nil"/>
                  </w:tcBorders>
                  <w:shd w:val="clear" w:color="auto" w:fill="auto"/>
                  <w:noWrap/>
                  <w:vAlign w:val="bottom"/>
                  <w:hideMark/>
                </w:tcPr>
                <w:p w14:paraId="326AC46D" w14:textId="77777777" w:rsidR="00A05B02" w:rsidRPr="003334BE" w:rsidRDefault="00A05B02" w:rsidP="009134D4">
                  <w:pPr>
                    <w:widowControl w:val="0"/>
                    <w:spacing w:after="0" w:line="240" w:lineRule="auto"/>
                    <w:rPr>
                      <w:rFonts w:ascii="Calibri" w:eastAsia="Times New Roman" w:hAnsi="Calibri" w:cs="Calibri"/>
                      <w:b/>
                      <w:bCs/>
                      <w:color w:val="5F735C"/>
                      <w:lang w:eastAsia="en-GB"/>
                    </w:rPr>
                  </w:pPr>
                  <w:r w:rsidRPr="003334BE">
                    <w:rPr>
                      <w:rFonts w:ascii="Calibri" w:eastAsia="Times New Roman" w:hAnsi="Calibri" w:cs="Calibri"/>
                      <w:b/>
                      <w:bCs/>
                      <w:color w:val="5F735C"/>
                      <w:lang w:eastAsia="en-GB"/>
                    </w:rPr>
                    <w:t>Source: University Offshore Survey</w:t>
                  </w:r>
                </w:p>
              </w:tc>
              <w:tc>
                <w:tcPr>
                  <w:tcW w:w="222" w:type="dxa"/>
                  <w:tcBorders>
                    <w:top w:val="nil"/>
                    <w:left w:val="nil"/>
                    <w:bottom w:val="nil"/>
                    <w:right w:val="nil"/>
                  </w:tcBorders>
                  <w:shd w:val="clear" w:color="auto" w:fill="auto"/>
                  <w:noWrap/>
                  <w:vAlign w:val="bottom"/>
                  <w:hideMark/>
                </w:tcPr>
                <w:p w14:paraId="44FE4BAF" w14:textId="77777777" w:rsidR="00A05B02" w:rsidRPr="003334BE" w:rsidRDefault="00A05B02" w:rsidP="009134D4">
                  <w:pPr>
                    <w:widowControl w:val="0"/>
                    <w:spacing w:after="0" w:line="240" w:lineRule="auto"/>
                    <w:rPr>
                      <w:rFonts w:ascii="Calibri" w:eastAsia="Times New Roman" w:hAnsi="Calibri" w:cs="Calibri"/>
                      <w:b/>
                      <w:bCs/>
                      <w:color w:val="5F735C"/>
                      <w:lang w:eastAsia="en-GB"/>
                    </w:rPr>
                  </w:pPr>
                </w:p>
              </w:tc>
              <w:tc>
                <w:tcPr>
                  <w:tcW w:w="236" w:type="dxa"/>
                  <w:tcBorders>
                    <w:top w:val="nil"/>
                    <w:left w:val="nil"/>
                    <w:bottom w:val="nil"/>
                    <w:right w:val="nil"/>
                  </w:tcBorders>
                  <w:shd w:val="clear" w:color="auto" w:fill="auto"/>
                  <w:noWrap/>
                  <w:vAlign w:val="bottom"/>
                  <w:hideMark/>
                </w:tcPr>
                <w:p w14:paraId="6AAA5A5A"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36" w:type="dxa"/>
                  <w:tcBorders>
                    <w:top w:val="nil"/>
                    <w:left w:val="nil"/>
                    <w:bottom w:val="nil"/>
                    <w:right w:val="nil"/>
                  </w:tcBorders>
                  <w:shd w:val="clear" w:color="auto" w:fill="auto"/>
                  <w:noWrap/>
                  <w:vAlign w:val="bottom"/>
                  <w:hideMark/>
                </w:tcPr>
                <w:p w14:paraId="24593079"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222" w:type="dxa"/>
                  <w:gridSpan w:val="2"/>
                  <w:tcBorders>
                    <w:top w:val="nil"/>
                    <w:left w:val="nil"/>
                    <w:bottom w:val="nil"/>
                    <w:right w:val="nil"/>
                  </w:tcBorders>
                  <w:shd w:val="clear" w:color="auto" w:fill="auto"/>
                  <w:noWrap/>
                  <w:vAlign w:val="bottom"/>
                  <w:hideMark/>
                </w:tcPr>
                <w:p w14:paraId="0CA55C84" w14:textId="77777777" w:rsidR="00A05B02" w:rsidRPr="003334BE" w:rsidRDefault="00A05B02" w:rsidP="009134D4">
                  <w:pPr>
                    <w:widowControl w:val="0"/>
                    <w:spacing w:after="0" w:line="240" w:lineRule="auto"/>
                    <w:rPr>
                      <w:rFonts w:ascii="Times New Roman" w:eastAsia="Times New Roman" w:hAnsi="Times New Roman" w:cs="Times New Roman"/>
                      <w:sz w:val="20"/>
                      <w:szCs w:val="20"/>
                      <w:lang w:eastAsia="en-GB"/>
                    </w:rPr>
                  </w:pPr>
                </w:p>
              </w:tc>
            </w:tr>
          </w:tbl>
          <w:p w14:paraId="6D636A59" w14:textId="77777777" w:rsidR="00A05B02" w:rsidRDefault="00A05B02" w:rsidP="009134D4">
            <w:pPr>
              <w:widowControl w:val="0"/>
              <w:spacing w:after="0" w:line="240" w:lineRule="auto"/>
              <w:rPr>
                <w:rFonts w:ascii="Calibri" w:eastAsia="Times New Roman" w:hAnsi="Calibri" w:cs="Calibri"/>
                <w:b/>
                <w:bCs/>
                <w:color w:val="5F735C"/>
                <w:lang w:eastAsia="en-GB"/>
              </w:rPr>
            </w:pPr>
          </w:p>
          <w:p w14:paraId="19F3CD39" w14:textId="0DA028F7" w:rsidR="00A05B02" w:rsidRPr="008E5EAD" w:rsidRDefault="00A05B02" w:rsidP="009134D4">
            <w:pPr>
              <w:widowControl w:val="0"/>
              <w:spacing w:after="0" w:line="240" w:lineRule="auto"/>
              <w:rPr>
                <w:rFonts w:ascii="Calibri" w:eastAsia="Times New Roman" w:hAnsi="Calibri" w:cs="Calibri"/>
                <w:b/>
                <w:bCs/>
                <w:color w:val="5F735C"/>
                <w:lang w:eastAsia="en-GB"/>
              </w:rPr>
            </w:pPr>
          </w:p>
        </w:tc>
      </w:tr>
      <w:tr w:rsidR="00A05B02" w:rsidRPr="008E5EAD" w14:paraId="4C032FA8" w14:textId="77777777" w:rsidTr="009134D4">
        <w:trPr>
          <w:trHeight w:val="462"/>
        </w:trPr>
        <w:tc>
          <w:tcPr>
            <w:tcW w:w="8632" w:type="dxa"/>
            <w:gridSpan w:val="5"/>
            <w:tcBorders>
              <w:top w:val="nil"/>
              <w:left w:val="nil"/>
              <w:bottom w:val="nil"/>
              <w:right w:val="nil"/>
            </w:tcBorders>
            <w:shd w:val="clear" w:color="auto" w:fill="auto"/>
            <w:noWrap/>
            <w:vAlign w:val="bottom"/>
          </w:tcPr>
          <w:p w14:paraId="6CD53FF3" w14:textId="77777777" w:rsidR="00A05B02" w:rsidRPr="008E5EAD" w:rsidRDefault="00A05B02" w:rsidP="009134D4">
            <w:pPr>
              <w:widowControl w:val="0"/>
              <w:spacing w:after="0" w:line="240" w:lineRule="auto"/>
              <w:rPr>
                <w:rFonts w:ascii="Calibri" w:eastAsia="Times New Roman" w:hAnsi="Calibri" w:cs="Calibri"/>
                <w:b/>
                <w:bCs/>
                <w:color w:val="5F735C"/>
                <w:lang w:eastAsia="en-GB"/>
              </w:rPr>
            </w:pPr>
          </w:p>
        </w:tc>
      </w:tr>
      <w:tr w:rsidR="004E5B04" w:rsidRPr="008E5EAD" w14:paraId="027947D0" w14:textId="77777777" w:rsidTr="009134D4">
        <w:trPr>
          <w:trHeight w:val="462"/>
        </w:trPr>
        <w:tc>
          <w:tcPr>
            <w:tcW w:w="8632" w:type="dxa"/>
            <w:gridSpan w:val="5"/>
            <w:tcBorders>
              <w:top w:val="nil"/>
              <w:left w:val="nil"/>
              <w:bottom w:val="nil"/>
              <w:right w:val="nil"/>
            </w:tcBorders>
            <w:shd w:val="clear" w:color="auto" w:fill="auto"/>
            <w:noWrap/>
            <w:vAlign w:val="bottom"/>
          </w:tcPr>
          <w:p w14:paraId="53230B67" w14:textId="77777777" w:rsidR="004E5B04" w:rsidRPr="008E5EAD" w:rsidRDefault="004E5B04" w:rsidP="009134D4">
            <w:pPr>
              <w:widowControl w:val="0"/>
              <w:spacing w:after="0" w:line="240" w:lineRule="auto"/>
              <w:rPr>
                <w:rFonts w:ascii="Calibri" w:eastAsia="Times New Roman" w:hAnsi="Calibri" w:cs="Calibri"/>
                <w:b/>
                <w:bCs/>
                <w:color w:val="5F735C"/>
                <w:lang w:eastAsia="en-GB"/>
              </w:rPr>
            </w:pPr>
          </w:p>
        </w:tc>
      </w:tr>
      <w:tr w:rsidR="00A05B02" w:rsidRPr="008E5EAD" w14:paraId="7A240EB0" w14:textId="77777777" w:rsidTr="004E5B04">
        <w:trPr>
          <w:trHeight w:val="462"/>
        </w:trPr>
        <w:tc>
          <w:tcPr>
            <w:tcW w:w="1976" w:type="dxa"/>
            <w:tcBorders>
              <w:top w:val="single" w:sz="4" w:space="0" w:color="FFFFFF"/>
              <w:left w:val="single" w:sz="4" w:space="0" w:color="FFFFFF"/>
              <w:bottom w:val="single" w:sz="4" w:space="0" w:color="FFFFFF"/>
              <w:right w:val="single" w:sz="4" w:space="0" w:color="FFFFFF"/>
            </w:tcBorders>
            <w:shd w:val="clear" w:color="000000" w:fill="49723B"/>
            <w:noWrap/>
            <w:vAlign w:val="bottom"/>
          </w:tcPr>
          <w:p w14:paraId="31482CE7" w14:textId="196FACA2" w:rsidR="00A05B02" w:rsidRPr="008E5EAD" w:rsidRDefault="00A05B02" w:rsidP="004E5B04">
            <w:pPr>
              <w:widowControl w:val="0"/>
              <w:spacing w:after="0" w:line="240" w:lineRule="auto"/>
              <w:rPr>
                <w:rFonts w:ascii="Calibri" w:eastAsia="Times New Roman" w:hAnsi="Calibri" w:cs="Calibri"/>
                <w:b/>
                <w:bCs/>
                <w:color w:val="FFFFFF"/>
                <w:lang w:eastAsia="en-GB"/>
              </w:rPr>
            </w:pPr>
          </w:p>
        </w:tc>
        <w:tc>
          <w:tcPr>
            <w:tcW w:w="1779" w:type="dxa"/>
            <w:tcBorders>
              <w:top w:val="single" w:sz="4" w:space="0" w:color="FFFFFF"/>
              <w:left w:val="nil"/>
              <w:bottom w:val="single" w:sz="4" w:space="0" w:color="FFFFFF"/>
              <w:right w:val="single" w:sz="4" w:space="0" w:color="FFFFFF"/>
            </w:tcBorders>
            <w:shd w:val="clear" w:color="000000" w:fill="49723B"/>
            <w:noWrap/>
            <w:vAlign w:val="bottom"/>
          </w:tcPr>
          <w:p w14:paraId="38EF70D6" w14:textId="126074DB" w:rsidR="00A05B02" w:rsidRPr="008E5EAD" w:rsidRDefault="00A05B02" w:rsidP="009134D4">
            <w:pPr>
              <w:widowControl w:val="0"/>
              <w:spacing w:after="0" w:line="240" w:lineRule="auto"/>
              <w:jc w:val="center"/>
              <w:rPr>
                <w:rFonts w:ascii="Calibri" w:eastAsia="Times New Roman" w:hAnsi="Calibri" w:cs="Calibri"/>
                <w:b/>
                <w:bCs/>
                <w:color w:val="FFFFFF"/>
                <w:lang w:eastAsia="en-GB"/>
              </w:rPr>
            </w:pPr>
          </w:p>
        </w:tc>
        <w:tc>
          <w:tcPr>
            <w:tcW w:w="2455" w:type="dxa"/>
            <w:tcBorders>
              <w:top w:val="single" w:sz="4" w:space="0" w:color="FFFFFF"/>
              <w:left w:val="nil"/>
              <w:bottom w:val="single" w:sz="4" w:space="0" w:color="FFFFFF"/>
              <w:right w:val="single" w:sz="4" w:space="0" w:color="FFFFFF"/>
            </w:tcBorders>
            <w:shd w:val="clear" w:color="000000" w:fill="49723B"/>
            <w:noWrap/>
            <w:vAlign w:val="bottom"/>
          </w:tcPr>
          <w:p w14:paraId="54C89031" w14:textId="2730B36F" w:rsidR="00A05B02" w:rsidRPr="008E5EAD" w:rsidRDefault="00A05B02" w:rsidP="009134D4">
            <w:pPr>
              <w:widowControl w:val="0"/>
              <w:spacing w:after="0" w:line="240" w:lineRule="auto"/>
              <w:jc w:val="center"/>
              <w:rPr>
                <w:rFonts w:ascii="Calibri" w:eastAsia="Times New Roman" w:hAnsi="Calibri" w:cs="Calibri"/>
                <w:b/>
                <w:bCs/>
                <w:color w:val="FFFFFF"/>
                <w:lang w:eastAsia="en-GB"/>
              </w:rPr>
            </w:pPr>
          </w:p>
        </w:tc>
        <w:tc>
          <w:tcPr>
            <w:tcW w:w="2122" w:type="dxa"/>
            <w:tcBorders>
              <w:top w:val="single" w:sz="4" w:space="0" w:color="FFFFFF"/>
              <w:left w:val="nil"/>
              <w:bottom w:val="single" w:sz="4" w:space="0" w:color="FFFFFF"/>
              <w:right w:val="single" w:sz="4" w:space="0" w:color="FFFFFF"/>
            </w:tcBorders>
            <w:shd w:val="clear" w:color="000000" w:fill="49723B"/>
            <w:noWrap/>
            <w:vAlign w:val="bottom"/>
          </w:tcPr>
          <w:p w14:paraId="2D508876" w14:textId="545049EC" w:rsidR="00A05B02" w:rsidRPr="008E5EAD" w:rsidRDefault="00A05B02" w:rsidP="009134D4">
            <w:pPr>
              <w:widowControl w:val="0"/>
              <w:spacing w:after="0" w:line="240" w:lineRule="auto"/>
              <w:jc w:val="center"/>
              <w:rPr>
                <w:rFonts w:ascii="Calibri" w:eastAsia="Times New Roman" w:hAnsi="Calibri" w:cs="Calibri"/>
                <w:b/>
                <w:bCs/>
                <w:color w:val="FFFFFF"/>
                <w:lang w:eastAsia="en-GB"/>
              </w:rPr>
            </w:pPr>
          </w:p>
        </w:tc>
        <w:tc>
          <w:tcPr>
            <w:tcW w:w="300" w:type="dxa"/>
            <w:tcBorders>
              <w:top w:val="nil"/>
              <w:left w:val="nil"/>
              <w:bottom w:val="nil"/>
              <w:right w:val="nil"/>
            </w:tcBorders>
            <w:shd w:val="clear" w:color="auto" w:fill="auto"/>
            <w:noWrap/>
            <w:vAlign w:val="bottom"/>
          </w:tcPr>
          <w:p w14:paraId="058FD67C" w14:textId="77777777" w:rsidR="00A05B02" w:rsidRPr="008E5EAD" w:rsidRDefault="00A05B02" w:rsidP="009134D4">
            <w:pPr>
              <w:widowControl w:val="0"/>
              <w:spacing w:after="0" w:line="240" w:lineRule="auto"/>
              <w:jc w:val="center"/>
              <w:rPr>
                <w:rFonts w:ascii="Calibri" w:eastAsia="Times New Roman" w:hAnsi="Calibri" w:cs="Calibri"/>
                <w:b/>
                <w:bCs/>
                <w:color w:val="FFFFFF"/>
                <w:lang w:eastAsia="en-GB"/>
              </w:rPr>
            </w:pPr>
          </w:p>
        </w:tc>
      </w:tr>
      <w:tr w:rsidR="00A05B02" w:rsidRPr="008E5EAD" w14:paraId="78BC1367" w14:textId="77777777" w:rsidTr="004E5B04">
        <w:trPr>
          <w:trHeight w:val="462"/>
        </w:trPr>
        <w:tc>
          <w:tcPr>
            <w:tcW w:w="1976" w:type="dxa"/>
            <w:tcBorders>
              <w:top w:val="nil"/>
              <w:left w:val="single" w:sz="4" w:space="0" w:color="FFFFFF"/>
              <w:bottom w:val="single" w:sz="4" w:space="0" w:color="FFFFFF"/>
              <w:right w:val="single" w:sz="4" w:space="0" w:color="FFFFFF"/>
            </w:tcBorders>
            <w:shd w:val="clear" w:color="000000" w:fill="49723B"/>
            <w:noWrap/>
            <w:vAlign w:val="bottom"/>
          </w:tcPr>
          <w:p w14:paraId="54546641" w14:textId="0D4B2FA2" w:rsidR="00A05B02" w:rsidRPr="008E5EAD" w:rsidRDefault="00A05B02" w:rsidP="009134D4">
            <w:pPr>
              <w:widowControl w:val="0"/>
              <w:spacing w:after="0" w:line="240" w:lineRule="auto"/>
              <w:jc w:val="center"/>
              <w:rPr>
                <w:rFonts w:ascii="Calibri" w:eastAsia="Times New Roman" w:hAnsi="Calibri" w:cs="Calibri"/>
                <w:b/>
                <w:bCs/>
                <w:color w:val="FFFFFF"/>
                <w:lang w:eastAsia="en-GB"/>
              </w:rPr>
            </w:pPr>
          </w:p>
        </w:tc>
        <w:tc>
          <w:tcPr>
            <w:tcW w:w="1779" w:type="dxa"/>
            <w:tcBorders>
              <w:top w:val="nil"/>
              <w:left w:val="nil"/>
              <w:bottom w:val="single" w:sz="4" w:space="0" w:color="FFFFFF"/>
              <w:right w:val="single" w:sz="4" w:space="0" w:color="FFFFFF"/>
            </w:tcBorders>
            <w:shd w:val="clear" w:color="000000" w:fill="EFEAE6"/>
            <w:noWrap/>
            <w:vAlign w:val="bottom"/>
          </w:tcPr>
          <w:p w14:paraId="44E3B03E" w14:textId="6E249A95"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c>
          <w:tcPr>
            <w:tcW w:w="2455" w:type="dxa"/>
            <w:tcBorders>
              <w:top w:val="nil"/>
              <w:left w:val="nil"/>
              <w:bottom w:val="single" w:sz="4" w:space="0" w:color="FFFFFF"/>
              <w:right w:val="single" w:sz="4" w:space="0" w:color="FFFFFF"/>
            </w:tcBorders>
            <w:shd w:val="clear" w:color="000000" w:fill="EFEAE6"/>
            <w:noWrap/>
            <w:vAlign w:val="bottom"/>
          </w:tcPr>
          <w:p w14:paraId="6DED1230" w14:textId="3636C4B1"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c>
          <w:tcPr>
            <w:tcW w:w="2122" w:type="dxa"/>
            <w:tcBorders>
              <w:top w:val="nil"/>
              <w:left w:val="nil"/>
              <w:bottom w:val="single" w:sz="4" w:space="0" w:color="FFFFFF"/>
              <w:right w:val="single" w:sz="4" w:space="0" w:color="FFFFFF"/>
            </w:tcBorders>
            <w:shd w:val="clear" w:color="000000" w:fill="EFEAE6"/>
            <w:noWrap/>
            <w:vAlign w:val="bottom"/>
          </w:tcPr>
          <w:p w14:paraId="3ADFA935" w14:textId="6C3E89BB"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c>
          <w:tcPr>
            <w:tcW w:w="300" w:type="dxa"/>
            <w:tcBorders>
              <w:top w:val="nil"/>
              <w:left w:val="nil"/>
              <w:bottom w:val="nil"/>
              <w:right w:val="nil"/>
            </w:tcBorders>
            <w:shd w:val="clear" w:color="auto" w:fill="auto"/>
            <w:noWrap/>
            <w:vAlign w:val="bottom"/>
          </w:tcPr>
          <w:p w14:paraId="316B3424" w14:textId="77777777"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8E5EAD" w14:paraId="3D39A4CE" w14:textId="77777777" w:rsidTr="004E5B04">
        <w:trPr>
          <w:trHeight w:val="462"/>
        </w:trPr>
        <w:tc>
          <w:tcPr>
            <w:tcW w:w="1976" w:type="dxa"/>
            <w:tcBorders>
              <w:top w:val="nil"/>
              <w:left w:val="single" w:sz="4" w:space="0" w:color="FFFFFF"/>
              <w:bottom w:val="single" w:sz="4" w:space="0" w:color="FFFFFF"/>
              <w:right w:val="single" w:sz="4" w:space="0" w:color="FFFFFF"/>
            </w:tcBorders>
            <w:shd w:val="clear" w:color="000000" w:fill="49723B"/>
            <w:noWrap/>
            <w:vAlign w:val="bottom"/>
          </w:tcPr>
          <w:p w14:paraId="62415DD0" w14:textId="58D6045C" w:rsidR="00A05B02" w:rsidRPr="008E5EAD" w:rsidRDefault="00A05B02" w:rsidP="009134D4">
            <w:pPr>
              <w:widowControl w:val="0"/>
              <w:spacing w:after="0" w:line="240" w:lineRule="auto"/>
              <w:jc w:val="center"/>
              <w:rPr>
                <w:rFonts w:ascii="Calibri" w:eastAsia="Times New Roman" w:hAnsi="Calibri" w:cs="Calibri"/>
                <w:b/>
                <w:bCs/>
                <w:color w:val="FFFFFF"/>
                <w:lang w:eastAsia="en-GB"/>
              </w:rPr>
            </w:pPr>
          </w:p>
        </w:tc>
        <w:tc>
          <w:tcPr>
            <w:tcW w:w="1779" w:type="dxa"/>
            <w:tcBorders>
              <w:top w:val="nil"/>
              <w:left w:val="nil"/>
              <w:bottom w:val="single" w:sz="4" w:space="0" w:color="FFFFFF"/>
              <w:right w:val="single" w:sz="4" w:space="0" w:color="FFFFFF"/>
            </w:tcBorders>
            <w:shd w:val="clear" w:color="000000" w:fill="EFEAE6"/>
            <w:noWrap/>
            <w:vAlign w:val="bottom"/>
          </w:tcPr>
          <w:p w14:paraId="00B8D719" w14:textId="745415D2"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c>
          <w:tcPr>
            <w:tcW w:w="2455" w:type="dxa"/>
            <w:tcBorders>
              <w:top w:val="nil"/>
              <w:left w:val="nil"/>
              <w:bottom w:val="single" w:sz="4" w:space="0" w:color="FFFFFF"/>
              <w:right w:val="single" w:sz="4" w:space="0" w:color="FFFFFF"/>
            </w:tcBorders>
            <w:shd w:val="clear" w:color="000000" w:fill="EFEAE6"/>
            <w:noWrap/>
            <w:vAlign w:val="bottom"/>
          </w:tcPr>
          <w:p w14:paraId="4E208816" w14:textId="75EF31BD"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c>
          <w:tcPr>
            <w:tcW w:w="2122" w:type="dxa"/>
            <w:tcBorders>
              <w:top w:val="nil"/>
              <w:left w:val="nil"/>
              <w:bottom w:val="single" w:sz="4" w:space="0" w:color="FFFFFF"/>
              <w:right w:val="single" w:sz="4" w:space="0" w:color="FFFFFF"/>
            </w:tcBorders>
            <w:shd w:val="clear" w:color="000000" w:fill="EFEAE6"/>
            <w:noWrap/>
            <w:vAlign w:val="bottom"/>
          </w:tcPr>
          <w:p w14:paraId="5111A210" w14:textId="186F03BD"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c>
          <w:tcPr>
            <w:tcW w:w="300" w:type="dxa"/>
            <w:tcBorders>
              <w:top w:val="nil"/>
              <w:left w:val="nil"/>
              <w:bottom w:val="nil"/>
              <w:right w:val="nil"/>
            </w:tcBorders>
            <w:shd w:val="clear" w:color="auto" w:fill="auto"/>
            <w:noWrap/>
            <w:vAlign w:val="bottom"/>
          </w:tcPr>
          <w:p w14:paraId="2C831E99" w14:textId="77777777"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8E5EAD" w14:paraId="506CCFEB" w14:textId="77777777" w:rsidTr="004E5B04">
        <w:trPr>
          <w:trHeight w:val="462"/>
        </w:trPr>
        <w:tc>
          <w:tcPr>
            <w:tcW w:w="1976" w:type="dxa"/>
            <w:tcBorders>
              <w:top w:val="nil"/>
              <w:left w:val="single" w:sz="4" w:space="0" w:color="FFFFFF"/>
              <w:bottom w:val="single" w:sz="4" w:space="0" w:color="FFFFFF"/>
              <w:right w:val="single" w:sz="4" w:space="0" w:color="FFFFFF"/>
            </w:tcBorders>
            <w:shd w:val="clear" w:color="000000" w:fill="49723B"/>
            <w:noWrap/>
            <w:vAlign w:val="bottom"/>
          </w:tcPr>
          <w:p w14:paraId="677448C7" w14:textId="403FE2B6" w:rsidR="00A05B02" w:rsidRPr="008E5EAD" w:rsidRDefault="00A05B02" w:rsidP="009134D4">
            <w:pPr>
              <w:widowControl w:val="0"/>
              <w:spacing w:after="0" w:line="240" w:lineRule="auto"/>
              <w:jc w:val="center"/>
              <w:rPr>
                <w:rFonts w:ascii="Calibri" w:eastAsia="Times New Roman" w:hAnsi="Calibri" w:cs="Calibri"/>
                <w:b/>
                <w:bCs/>
                <w:color w:val="FFFFFF"/>
                <w:lang w:eastAsia="en-GB"/>
              </w:rPr>
            </w:pPr>
          </w:p>
        </w:tc>
        <w:tc>
          <w:tcPr>
            <w:tcW w:w="1779" w:type="dxa"/>
            <w:tcBorders>
              <w:top w:val="nil"/>
              <w:left w:val="nil"/>
              <w:bottom w:val="single" w:sz="4" w:space="0" w:color="FFFFFF"/>
              <w:right w:val="single" w:sz="4" w:space="0" w:color="FFFFFF"/>
            </w:tcBorders>
            <w:shd w:val="clear" w:color="000000" w:fill="EFEAE6"/>
            <w:noWrap/>
            <w:vAlign w:val="bottom"/>
          </w:tcPr>
          <w:p w14:paraId="7318E13E" w14:textId="0D563BC6"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c>
          <w:tcPr>
            <w:tcW w:w="2455" w:type="dxa"/>
            <w:tcBorders>
              <w:top w:val="nil"/>
              <w:left w:val="nil"/>
              <w:bottom w:val="single" w:sz="4" w:space="0" w:color="FFFFFF"/>
              <w:right w:val="single" w:sz="4" w:space="0" w:color="FFFFFF"/>
            </w:tcBorders>
            <w:shd w:val="clear" w:color="000000" w:fill="EFEAE6"/>
            <w:noWrap/>
            <w:vAlign w:val="bottom"/>
          </w:tcPr>
          <w:p w14:paraId="1C85F765" w14:textId="2834D182"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c>
          <w:tcPr>
            <w:tcW w:w="2122" w:type="dxa"/>
            <w:tcBorders>
              <w:top w:val="nil"/>
              <w:left w:val="nil"/>
              <w:bottom w:val="single" w:sz="4" w:space="0" w:color="FFFFFF"/>
              <w:right w:val="single" w:sz="4" w:space="0" w:color="FFFFFF"/>
            </w:tcBorders>
            <w:shd w:val="clear" w:color="000000" w:fill="EFEAE6"/>
            <w:noWrap/>
            <w:vAlign w:val="bottom"/>
          </w:tcPr>
          <w:p w14:paraId="5A709882" w14:textId="25722CFE"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c>
          <w:tcPr>
            <w:tcW w:w="300" w:type="dxa"/>
            <w:tcBorders>
              <w:top w:val="nil"/>
              <w:left w:val="nil"/>
              <w:bottom w:val="nil"/>
              <w:right w:val="nil"/>
            </w:tcBorders>
            <w:shd w:val="clear" w:color="auto" w:fill="auto"/>
            <w:noWrap/>
            <w:vAlign w:val="bottom"/>
          </w:tcPr>
          <w:p w14:paraId="2C97A39F" w14:textId="77777777" w:rsidR="00A05B02" w:rsidRPr="008E5EAD"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8E5EAD" w14:paraId="0F8D8AB9" w14:textId="77777777" w:rsidTr="004E5B04">
        <w:trPr>
          <w:trHeight w:val="462"/>
        </w:trPr>
        <w:tc>
          <w:tcPr>
            <w:tcW w:w="8332" w:type="dxa"/>
            <w:gridSpan w:val="4"/>
            <w:tcBorders>
              <w:top w:val="nil"/>
              <w:left w:val="nil"/>
              <w:bottom w:val="nil"/>
              <w:right w:val="nil"/>
            </w:tcBorders>
            <w:shd w:val="clear" w:color="auto" w:fill="auto"/>
            <w:noWrap/>
            <w:vAlign w:val="bottom"/>
          </w:tcPr>
          <w:p w14:paraId="79715D4F" w14:textId="6DE93A67" w:rsidR="00A05B02" w:rsidRPr="008E5EAD" w:rsidRDefault="00A05B02" w:rsidP="009134D4">
            <w:pPr>
              <w:widowControl w:val="0"/>
              <w:spacing w:after="0" w:line="240" w:lineRule="auto"/>
              <w:rPr>
                <w:rFonts w:ascii="Calibri" w:eastAsia="Times New Roman" w:hAnsi="Calibri" w:cs="Calibri"/>
                <w:b/>
                <w:bCs/>
                <w:color w:val="5F735C"/>
                <w:lang w:eastAsia="en-GB"/>
              </w:rPr>
            </w:pPr>
          </w:p>
        </w:tc>
        <w:tc>
          <w:tcPr>
            <w:tcW w:w="300" w:type="dxa"/>
            <w:tcBorders>
              <w:top w:val="nil"/>
              <w:left w:val="nil"/>
              <w:bottom w:val="nil"/>
              <w:right w:val="nil"/>
            </w:tcBorders>
            <w:shd w:val="clear" w:color="auto" w:fill="auto"/>
            <w:noWrap/>
            <w:vAlign w:val="bottom"/>
          </w:tcPr>
          <w:p w14:paraId="0D1591F8" w14:textId="77777777" w:rsidR="00A05B02" w:rsidRPr="008E5EAD" w:rsidRDefault="00A05B02" w:rsidP="009134D4">
            <w:pPr>
              <w:widowControl w:val="0"/>
              <w:spacing w:after="0" w:line="240" w:lineRule="auto"/>
              <w:rPr>
                <w:rFonts w:ascii="Calibri" w:eastAsia="Times New Roman" w:hAnsi="Calibri" w:cs="Calibri"/>
                <w:b/>
                <w:bCs/>
                <w:color w:val="5F735C"/>
                <w:lang w:eastAsia="en-GB"/>
              </w:rPr>
            </w:pPr>
          </w:p>
        </w:tc>
      </w:tr>
    </w:tbl>
    <w:p w14:paraId="23600C2D" w14:textId="77777777" w:rsidR="009134D4" w:rsidRDefault="009134D4">
      <w:r>
        <w:br w:type="page"/>
      </w:r>
    </w:p>
    <w:tbl>
      <w:tblPr>
        <w:tblW w:w="9310" w:type="dxa"/>
        <w:tblLook w:val="04A0" w:firstRow="1" w:lastRow="0" w:firstColumn="1" w:lastColumn="0" w:noHBand="0" w:noVBand="1"/>
      </w:tblPr>
      <w:tblGrid>
        <w:gridCol w:w="1427"/>
        <w:gridCol w:w="1290"/>
        <w:gridCol w:w="2900"/>
        <w:gridCol w:w="2556"/>
        <w:gridCol w:w="864"/>
        <w:gridCol w:w="273"/>
      </w:tblGrid>
      <w:tr w:rsidR="00A05B02" w:rsidRPr="00287F34" w14:paraId="4D21A0DB" w14:textId="77777777" w:rsidTr="009134D4">
        <w:trPr>
          <w:trHeight w:val="475"/>
        </w:trPr>
        <w:tc>
          <w:tcPr>
            <w:tcW w:w="9310" w:type="dxa"/>
            <w:gridSpan w:val="6"/>
            <w:tcBorders>
              <w:top w:val="nil"/>
              <w:left w:val="nil"/>
              <w:bottom w:val="nil"/>
              <w:right w:val="nil"/>
            </w:tcBorders>
            <w:shd w:val="clear" w:color="auto" w:fill="auto"/>
            <w:noWrap/>
            <w:vAlign w:val="bottom"/>
            <w:hideMark/>
          </w:tcPr>
          <w:p w14:paraId="440F9474" w14:textId="1F44899D" w:rsidR="00A05B02" w:rsidRDefault="00A05B02" w:rsidP="009134D4">
            <w:pPr>
              <w:widowControl w:val="0"/>
              <w:spacing w:after="0" w:line="240" w:lineRule="auto"/>
              <w:rPr>
                <w:rFonts w:ascii="Calibri" w:eastAsia="Times New Roman" w:hAnsi="Calibri" w:cs="Calibri"/>
                <w:b/>
                <w:bCs/>
                <w:color w:val="5F735C"/>
                <w:lang w:eastAsia="en-GB"/>
              </w:rPr>
            </w:pPr>
          </w:p>
          <w:p w14:paraId="24BEF74A" w14:textId="0FC83EFB" w:rsidR="00A05B02" w:rsidRPr="00287F34" w:rsidRDefault="007F34A8" w:rsidP="009134D4">
            <w:pPr>
              <w:widowControl w:val="0"/>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6</w:t>
            </w:r>
            <w:r w:rsidR="00A05B02" w:rsidRPr="00287F34">
              <w:rPr>
                <w:rFonts w:ascii="Calibri" w:eastAsia="Times New Roman" w:hAnsi="Calibri" w:cs="Calibri"/>
                <w:b/>
                <w:bCs/>
                <w:color w:val="5F735C"/>
                <w:lang w:eastAsia="en-GB"/>
              </w:rPr>
              <w:t>: Offshore revenue/student from overseas partners, distance learners</w:t>
            </w:r>
            <w:r w:rsidR="00A05B02">
              <w:rPr>
                <w:rFonts w:ascii="Calibri" w:eastAsia="Times New Roman" w:hAnsi="Calibri" w:cs="Calibri"/>
                <w:b/>
                <w:bCs/>
                <w:color w:val="5F735C"/>
                <w:lang w:eastAsia="en-GB"/>
              </w:rPr>
              <w:t xml:space="preserve"> and overseas branch campuses, 1996-97 and 2015/16 (£ current prices)</w:t>
            </w:r>
          </w:p>
        </w:tc>
      </w:tr>
      <w:tr w:rsidR="00A05B02" w:rsidRPr="00287F34" w14:paraId="7D3FB0CF" w14:textId="77777777" w:rsidTr="009134D4">
        <w:trPr>
          <w:trHeight w:val="475"/>
        </w:trPr>
        <w:tc>
          <w:tcPr>
            <w:tcW w:w="9037" w:type="dxa"/>
            <w:gridSpan w:val="5"/>
            <w:tcBorders>
              <w:top w:val="nil"/>
              <w:left w:val="nil"/>
              <w:bottom w:val="nil"/>
              <w:right w:val="nil"/>
            </w:tcBorders>
            <w:shd w:val="clear" w:color="auto" w:fill="auto"/>
            <w:noWrap/>
            <w:vAlign w:val="bottom"/>
          </w:tcPr>
          <w:p w14:paraId="1E24DCA2" w14:textId="77777777" w:rsidR="00A05B02" w:rsidRPr="00287F34" w:rsidRDefault="00A05B02" w:rsidP="009134D4">
            <w:pPr>
              <w:widowControl w:val="0"/>
              <w:spacing w:after="0" w:line="240" w:lineRule="auto"/>
              <w:rPr>
                <w:rFonts w:ascii="Calibri" w:eastAsia="Times New Roman" w:hAnsi="Calibri" w:cs="Calibri"/>
                <w:b/>
                <w:bCs/>
                <w:color w:val="5F735C"/>
                <w:lang w:eastAsia="en-GB"/>
              </w:rPr>
            </w:pPr>
          </w:p>
        </w:tc>
        <w:tc>
          <w:tcPr>
            <w:tcW w:w="273" w:type="dxa"/>
            <w:tcBorders>
              <w:top w:val="nil"/>
              <w:left w:val="nil"/>
              <w:bottom w:val="nil"/>
              <w:right w:val="nil"/>
            </w:tcBorders>
            <w:shd w:val="clear" w:color="auto" w:fill="auto"/>
            <w:noWrap/>
            <w:vAlign w:val="bottom"/>
          </w:tcPr>
          <w:p w14:paraId="0730FBFC" w14:textId="77777777" w:rsidR="00A05B02" w:rsidRPr="00287F34" w:rsidRDefault="00A05B02" w:rsidP="009134D4">
            <w:pPr>
              <w:widowControl w:val="0"/>
              <w:spacing w:after="0" w:line="240" w:lineRule="auto"/>
              <w:rPr>
                <w:rFonts w:ascii="Calibri" w:eastAsia="Times New Roman" w:hAnsi="Calibri" w:cs="Calibri"/>
                <w:b/>
                <w:bCs/>
                <w:color w:val="5F735C"/>
                <w:lang w:eastAsia="en-GB"/>
              </w:rPr>
            </w:pPr>
          </w:p>
        </w:tc>
      </w:tr>
      <w:tr w:rsidR="00A05B02" w:rsidRPr="00287F34" w14:paraId="7548DA87" w14:textId="77777777" w:rsidTr="009134D4">
        <w:trPr>
          <w:trHeight w:val="475"/>
        </w:trPr>
        <w:tc>
          <w:tcPr>
            <w:tcW w:w="1427"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0F6EF33B" w14:textId="77777777" w:rsidR="00A05B02" w:rsidRPr="00287F34" w:rsidRDefault="00A05B02" w:rsidP="009134D4">
            <w:pPr>
              <w:widowControl w:val="0"/>
              <w:spacing w:after="0" w:line="240" w:lineRule="auto"/>
              <w:jc w:val="center"/>
              <w:rPr>
                <w:rFonts w:ascii="Calibri" w:eastAsia="Times New Roman" w:hAnsi="Calibri" w:cs="Calibri"/>
                <w:b/>
                <w:bCs/>
                <w:color w:val="FFFFFF"/>
                <w:lang w:eastAsia="en-GB"/>
              </w:rPr>
            </w:pPr>
            <w:r w:rsidRPr="00287F34">
              <w:rPr>
                <w:rFonts w:ascii="Calibri" w:eastAsia="Times New Roman" w:hAnsi="Calibri" w:cs="Calibri"/>
                <w:b/>
                <w:bCs/>
                <w:color w:val="FFFFFF"/>
                <w:lang w:eastAsia="en-GB"/>
              </w:rPr>
              <w:t>Year</w:t>
            </w:r>
          </w:p>
        </w:tc>
        <w:tc>
          <w:tcPr>
            <w:tcW w:w="1290" w:type="dxa"/>
            <w:tcBorders>
              <w:top w:val="single" w:sz="4" w:space="0" w:color="FFFFFF"/>
              <w:left w:val="nil"/>
              <w:bottom w:val="single" w:sz="4" w:space="0" w:color="FFFFFF"/>
              <w:right w:val="single" w:sz="4" w:space="0" w:color="FFFFFF"/>
            </w:tcBorders>
            <w:shd w:val="clear" w:color="000000" w:fill="49723B"/>
            <w:noWrap/>
            <w:vAlign w:val="bottom"/>
            <w:hideMark/>
          </w:tcPr>
          <w:p w14:paraId="2E75E5FE" w14:textId="2EAC0848" w:rsidR="00A05B02" w:rsidRPr="00287F34" w:rsidRDefault="00DC1667" w:rsidP="00DC1667">
            <w:pPr>
              <w:widowControl w:val="0"/>
              <w:spacing w:after="0" w:line="240" w:lineRule="auto"/>
              <w:jc w:val="center"/>
              <w:rPr>
                <w:rFonts w:ascii="Calibri" w:eastAsia="Times New Roman" w:hAnsi="Calibri" w:cs="Calibri"/>
                <w:b/>
                <w:bCs/>
                <w:color w:val="FFFFFF"/>
                <w:lang w:eastAsia="en-GB"/>
              </w:rPr>
            </w:pPr>
            <w:r>
              <w:rPr>
                <w:rFonts w:ascii="Calibri" w:eastAsia="Times New Roman" w:hAnsi="Calibri" w:cs="Calibri"/>
                <w:b/>
                <w:bCs/>
                <w:color w:val="FFFFFF"/>
                <w:lang w:eastAsia="en-GB"/>
              </w:rPr>
              <w:t>Overseas p</w:t>
            </w:r>
            <w:r w:rsidR="00A05B02" w:rsidRPr="00287F34">
              <w:rPr>
                <w:rFonts w:ascii="Calibri" w:eastAsia="Times New Roman" w:hAnsi="Calibri" w:cs="Calibri"/>
                <w:b/>
                <w:bCs/>
                <w:color w:val="FFFFFF"/>
                <w:lang w:eastAsia="en-GB"/>
              </w:rPr>
              <w:t>artner</w:t>
            </w:r>
          </w:p>
        </w:tc>
        <w:tc>
          <w:tcPr>
            <w:tcW w:w="2900" w:type="dxa"/>
            <w:tcBorders>
              <w:top w:val="single" w:sz="4" w:space="0" w:color="FFFFFF"/>
              <w:left w:val="nil"/>
              <w:bottom w:val="single" w:sz="4" w:space="0" w:color="FFFFFF"/>
              <w:right w:val="single" w:sz="4" w:space="0" w:color="FFFFFF"/>
            </w:tcBorders>
            <w:shd w:val="clear" w:color="000000" w:fill="49723B"/>
            <w:noWrap/>
            <w:vAlign w:val="bottom"/>
            <w:hideMark/>
          </w:tcPr>
          <w:p w14:paraId="7C0506A7" w14:textId="77777777" w:rsidR="00A05B02" w:rsidRPr="00287F34" w:rsidRDefault="00A05B02" w:rsidP="009134D4">
            <w:pPr>
              <w:widowControl w:val="0"/>
              <w:spacing w:after="0" w:line="240" w:lineRule="auto"/>
              <w:jc w:val="center"/>
              <w:rPr>
                <w:rFonts w:ascii="Calibri" w:eastAsia="Times New Roman" w:hAnsi="Calibri" w:cs="Calibri"/>
                <w:b/>
                <w:bCs/>
                <w:color w:val="FFFFFF"/>
                <w:lang w:eastAsia="en-GB"/>
              </w:rPr>
            </w:pPr>
            <w:r w:rsidRPr="00287F34">
              <w:rPr>
                <w:rFonts w:ascii="Calibri" w:eastAsia="Times New Roman" w:hAnsi="Calibri" w:cs="Calibri"/>
                <w:b/>
                <w:bCs/>
                <w:color w:val="FFFFFF"/>
                <w:lang w:eastAsia="en-GB"/>
              </w:rPr>
              <w:t>Distance learning</w:t>
            </w:r>
          </w:p>
        </w:tc>
        <w:tc>
          <w:tcPr>
            <w:tcW w:w="2556" w:type="dxa"/>
            <w:tcBorders>
              <w:top w:val="single" w:sz="4" w:space="0" w:color="FFFFFF"/>
              <w:left w:val="nil"/>
              <w:bottom w:val="single" w:sz="4" w:space="0" w:color="FFFFFF"/>
              <w:right w:val="single" w:sz="4" w:space="0" w:color="FFFFFF"/>
            </w:tcBorders>
            <w:shd w:val="clear" w:color="000000" w:fill="49723B"/>
            <w:noWrap/>
            <w:vAlign w:val="bottom"/>
            <w:hideMark/>
          </w:tcPr>
          <w:p w14:paraId="67DD3C83" w14:textId="77777777" w:rsidR="00A05B02" w:rsidRPr="00287F34" w:rsidRDefault="00A05B02" w:rsidP="009134D4">
            <w:pPr>
              <w:widowControl w:val="0"/>
              <w:spacing w:after="0" w:line="240" w:lineRule="auto"/>
              <w:jc w:val="center"/>
              <w:rPr>
                <w:rFonts w:ascii="Calibri" w:eastAsia="Times New Roman" w:hAnsi="Calibri" w:cs="Calibri"/>
                <w:b/>
                <w:bCs/>
                <w:color w:val="FFFFFF"/>
                <w:lang w:eastAsia="en-GB"/>
              </w:rPr>
            </w:pPr>
            <w:r w:rsidRPr="00287F34">
              <w:rPr>
                <w:rFonts w:ascii="Calibri" w:eastAsia="Times New Roman" w:hAnsi="Calibri" w:cs="Calibri"/>
                <w:b/>
                <w:bCs/>
                <w:color w:val="FFFFFF"/>
                <w:lang w:eastAsia="en-GB"/>
              </w:rPr>
              <w:t>Branch campus</w:t>
            </w:r>
          </w:p>
        </w:tc>
        <w:tc>
          <w:tcPr>
            <w:tcW w:w="864" w:type="dxa"/>
            <w:tcBorders>
              <w:top w:val="single" w:sz="4" w:space="0" w:color="FFFFFF"/>
              <w:left w:val="nil"/>
              <w:bottom w:val="single" w:sz="4" w:space="0" w:color="FFFFFF"/>
              <w:right w:val="single" w:sz="4" w:space="0" w:color="FFFFFF"/>
            </w:tcBorders>
            <w:shd w:val="clear" w:color="000000" w:fill="49723B"/>
            <w:noWrap/>
            <w:vAlign w:val="bottom"/>
            <w:hideMark/>
          </w:tcPr>
          <w:p w14:paraId="2D675392" w14:textId="77777777" w:rsidR="00A05B02" w:rsidRPr="00287F34" w:rsidRDefault="00A05B02" w:rsidP="009134D4">
            <w:pPr>
              <w:widowControl w:val="0"/>
              <w:spacing w:after="0" w:line="240" w:lineRule="auto"/>
              <w:jc w:val="center"/>
              <w:rPr>
                <w:rFonts w:ascii="Calibri" w:eastAsia="Times New Roman" w:hAnsi="Calibri" w:cs="Calibri"/>
                <w:b/>
                <w:bCs/>
                <w:color w:val="FFFFFF"/>
                <w:lang w:eastAsia="en-GB"/>
              </w:rPr>
            </w:pPr>
            <w:r w:rsidRPr="00287F34">
              <w:rPr>
                <w:rFonts w:ascii="Calibri" w:eastAsia="Times New Roman" w:hAnsi="Calibri" w:cs="Calibri"/>
                <w:b/>
                <w:bCs/>
                <w:color w:val="FFFFFF"/>
                <w:lang w:eastAsia="en-GB"/>
              </w:rPr>
              <w:t>All</w:t>
            </w:r>
          </w:p>
        </w:tc>
        <w:tc>
          <w:tcPr>
            <w:tcW w:w="273" w:type="dxa"/>
            <w:tcBorders>
              <w:top w:val="nil"/>
              <w:left w:val="nil"/>
              <w:bottom w:val="nil"/>
              <w:right w:val="nil"/>
            </w:tcBorders>
            <w:shd w:val="clear" w:color="auto" w:fill="auto"/>
            <w:noWrap/>
            <w:vAlign w:val="bottom"/>
            <w:hideMark/>
          </w:tcPr>
          <w:p w14:paraId="6FFDC3AE" w14:textId="77777777" w:rsidR="00A05B02" w:rsidRPr="00287F34" w:rsidRDefault="00A05B02" w:rsidP="009134D4">
            <w:pPr>
              <w:widowControl w:val="0"/>
              <w:spacing w:after="0" w:line="240" w:lineRule="auto"/>
              <w:jc w:val="center"/>
              <w:rPr>
                <w:rFonts w:ascii="Calibri" w:eastAsia="Times New Roman" w:hAnsi="Calibri" w:cs="Calibri"/>
                <w:b/>
                <w:bCs/>
                <w:color w:val="FFFFFF"/>
                <w:lang w:eastAsia="en-GB"/>
              </w:rPr>
            </w:pPr>
          </w:p>
        </w:tc>
      </w:tr>
      <w:tr w:rsidR="00A05B02" w:rsidRPr="00287F34" w14:paraId="3108575B" w14:textId="77777777" w:rsidTr="009134D4">
        <w:trPr>
          <w:trHeight w:val="475"/>
        </w:trPr>
        <w:tc>
          <w:tcPr>
            <w:tcW w:w="1427" w:type="dxa"/>
            <w:tcBorders>
              <w:top w:val="nil"/>
              <w:left w:val="single" w:sz="4" w:space="0" w:color="FFFFFF"/>
              <w:bottom w:val="single" w:sz="4" w:space="0" w:color="FFFFFF"/>
              <w:right w:val="single" w:sz="4" w:space="0" w:color="FFFFFF"/>
            </w:tcBorders>
            <w:shd w:val="clear" w:color="000000" w:fill="49723B"/>
            <w:noWrap/>
            <w:vAlign w:val="bottom"/>
            <w:hideMark/>
          </w:tcPr>
          <w:p w14:paraId="06F451AD" w14:textId="77777777" w:rsidR="00A05B02" w:rsidRPr="00287F34" w:rsidRDefault="00A05B02" w:rsidP="009134D4">
            <w:pPr>
              <w:widowControl w:val="0"/>
              <w:spacing w:after="0" w:line="240" w:lineRule="auto"/>
              <w:jc w:val="center"/>
              <w:rPr>
                <w:rFonts w:ascii="Calibri" w:eastAsia="Times New Roman" w:hAnsi="Calibri" w:cs="Calibri"/>
                <w:b/>
                <w:bCs/>
                <w:color w:val="FFFFFF"/>
                <w:lang w:eastAsia="en-GB"/>
              </w:rPr>
            </w:pPr>
            <w:r w:rsidRPr="00287F34">
              <w:rPr>
                <w:rFonts w:ascii="Calibri" w:eastAsia="Times New Roman" w:hAnsi="Calibri" w:cs="Calibri"/>
                <w:b/>
                <w:bCs/>
                <w:color w:val="FFFFFF"/>
                <w:lang w:eastAsia="en-GB"/>
              </w:rPr>
              <w:t>1996-97</w:t>
            </w:r>
          </w:p>
        </w:tc>
        <w:tc>
          <w:tcPr>
            <w:tcW w:w="1290" w:type="dxa"/>
            <w:tcBorders>
              <w:top w:val="nil"/>
              <w:left w:val="nil"/>
              <w:bottom w:val="single" w:sz="4" w:space="0" w:color="FFFFFF"/>
              <w:right w:val="single" w:sz="4" w:space="0" w:color="FFFFFF"/>
            </w:tcBorders>
            <w:shd w:val="clear" w:color="000000" w:fill="EFEAE6"/>
            <w:noWrap/>
            <w:vAlign w:val="bottom"/>
            <w:hideMark/>
          </w:tcPr>
          <w:p w14:paraId="65EE0B39"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Na</w:t>
            </w:r>
          </w:p>
        </w:tc>
        <w:tc>
          <w:tcPr>
            <w:tcW w:w="2900" w:type="dxa"/>
            <w:tcBorders>
              <w:top w:val="nil"/>
              <w:left w:val="nil"/>
              <w:bottom w:val="single" w:sz="4" w:space="0" w:color="FFFFFF"/>
              <w:right w:val="single" w:sz="4" w:space="0" w:color="FFFFFF"/>
            </w:tcBorders>
            <w:shd w:val="clear" w:color="000000" w:fill="EFEAE6"/>
            <w:noWrap/>
            <w:vAlign w:val="bottom"/>
            <w:hideMark/>
          </w:tcPr>
          <w:p w14:paraId="78317E71"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Na</w:t>
            </w:r>
          </w:p>
        </w:tc>
        <w:tc>
          <w:tcPr>
            <w:tcW w:w="2556" w:type="dxa"/>
            <w:tcBorders>
              <w:top w:val="nil"/>
              <w:left w:val="nil"/>
              <w:bottom w:val="single" w:sz="4" w:space="0" w:color="FFFFFF"/>
              <w:right w:val="single" w:sz="4" w:space="0" w:color="FFFFFF"/>
            </w:tcBorders>
            <w:shd w:val="clear" w:color="000000" w:fill="EFEAE6"/>
            <w:noWrap/>
            <w:vAlign w:val="bottom"/>
            <w:hideMark/>
          </w:tcPr>
          <w:p w14:paraId="1DCCB51B"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Na</w:t>
            </w:r>
          </w:p>
        </w:tc>
        <w:tc>
          <w:tcPr>
            <w:tcW w:w="864" w:type="dxa"/>
            <w:tcBorders>
              <w:top w:val="nil"/>
              <w:left w:val="nil"/>
              <w:bottom w:val="single" w:sz="4" w:space="0" w:color="FFFFFF"/>
              <w:right w:val="single" w:sz="4" w:space="0" w:color="FFFFFF"/>
            </w:tcBorders>
            <w:shd w:val="clear" w:color="000000" w:fill="EFEAE6"/>
            <w:noWrap/>
            <w:vAlign w:val="bottom"/>
            <w:hideMark/>
          </w:tcPr>
          <w:p w14:paraId="514C909E"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500</w:t>
            </w:r>
          </w:p>
        </w:tc>
        <w:tc>
          <w:tcPr>
            <w:tcW w:w="273" w:type="dxa"/>
            <w:tcBorders>
              <w:top w:val="nil"/>
              <w:left w:val="nil"/>
              <w:bottom w:val="nil"/>
              <w:right w:val="nil"/>
            </w:tcBorders>
            <w:shd w:val="clear" w:color="auto" w:fill="auto"/>
            <w:noWrap/>
            <w:vAlign w:val="bottom"/>
            <w:hideMark/>
          </w:tcPr>
          <w:p w14:paraId="0154E601"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287F34" w14:paraId="7BAAB632" w14:textId="77777777" w:rsidTr="009134D4">
        <w:trPr>
          <w:trHeight w:val="475"/>
        </w:trPr>
        <w:tc>
          <w:tcPr>
            <w:tcW w:w="1427" w:type="dxa"/>
            <w:tcBorders>
              <w:top w:val="nil"/>
              <w:left w:val="single" w:sz="4" w:space="0" w:color="FFFFFF"/>
              <w:bottom w:val="single" w:sz="4" w:space="0" w:color="FFFFFF"/>
              <w:right w:val="single" w:sz="4" w:space="0" w:color="FFFFFF"/>
            </w:tcBorders>
            <w:shd w:val="clear" w:color="000000" w:fill="49723B"/>
            <w:noWrap/>
            <w:vAlign w:val="bottom"/>
            <w:hideMark/>
          </w:tcPr>
          <w:p w14:paraId="280C113B" w14:textId="77777777" w:rsidR="00A05B02" w:rsidRPr="00287F34" w:rsidRDefault="00A05B02" w:rsidP="009134D4">
            <w:pPr>
              <w:widowControl w:val="0"/>
              <w:spacing w:after="0" w:line="240" w:lineRule="auto"/>
              <w:jc w:val="center"/>
              <w:rPr>
                <w:rFonts w:ascii="Calibri" w:eastAsia="Times New Roman" w:hAnsi="Calibri" w:cs="Calibri"/>
                <w:b/>
                <w:bCs/>
                <w:color w:val="FFFFFF"/>
                <w:lang w:eastAsia="en-GB"/>
              </w:rPr>
            </w:pPr>
            <w:r w:rsidRPr="00287F34">
              <w:rPr>
                <w:rFonts w:ascii="Calibri" w:eastAsia="Times New Roman" w:hAnsi="Calibri" w:cs="Calibri"/>
                <w:b/>
                <w:bCs/>
                <w:color w:val="FFFFFF"/>
                <w:lang w:eastAsia="en-GB"/>
              </w:rPr>
              <w:t>2003-04</w:t>
            </w:r>
          </w:p>
        </w:tc>
        <w:tc>
          <w:tcPr>
            <w:tcW w:w="1290" w:type="dxa"/>
            <w:tcBorders>
              <w:top w:val="nil"/>
              <w:left w:val="nil"/>
              <w:bottom w:val="single" w:sz="4" w:space="0" w:color="FFFFFF"/>
              <w:right w:val="single" w:sz="4" w:space="0" w:color="FFFFFF"/>
            </w:tcBorders>
            <w:shd w:val="clear" w:color="000000" w:fill="EFEAE6"/>
            <w:noWrap/>
            <w:vAlign w:val="bottom"/>
            <w:hideMark/>
          </w:tcPr>
          <w:p w14:paraId="71FDDB3C"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500</w:t>
            </w:r>
          </w:p>
        </w:tc>
        <w:tc>
          <w:tcPr>
            <w:tcW w:w="2900" w:type="dxa"/>
            <w:tcBorders>
              <w:top w:val="nil"/>
              <w:left w:val="nil"/>
              <w:bottom w:val="single" w:sz="4" w:space="0" w:color="FFFFFF"/>
              <w:right w:val="single" w:sz="4" w:space="0" w:color="FFFFFF"/>
            </w:tcBorders>
            <w:shd w:val="clear" w:color="000000" w:fill="EFEAE6"/>
            <w:noWrap/>
            <w:vAlign w:val="bottom"/>
            <w:hideMark/>
          </w:tcPr>
          <w:p w14:paraId="32D08A57"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2014</w:t>
            </w:r>
          </w:p>
        </w:tc>
        <w:tc>
          <w:tcPr>
            <w:tcW w:w="2556" w:type="dxa"/>
            <w:tcBorders>
              <w:top w:val="nil"/>
              <w:left w:val="nil"/>
              <w:bottom w:val="single" w:sz="4" w:space="0" w:color="FFFFFF"/>
              <w:right w:val="single" w:sz="4" w:space="0" w:color="FFFFFF"/>
            </w:tcBorders>
            <w:shd w:val="clear" w:color="000000" w:fill="EFEAE6"/>
            <w:noWrap/>
            <w:vAlign w:val="bottom"/>
            <w:hideMark/>
          </w:tcPr>
          <w:p w14:paraId="0557FF4E"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2706</w:t>
            </w:r>
          </w:p>
        </w:tc>
        <w:tc>
          <w:tcPr>
            <w:tcW w:w="864" w:type="dxa"/>
            <w:tcBorders>
              <w:top w:val="nil"/>
              <w:left w:val="nil"/>
              <w:bottom w:val="single" w:sz="4" w:space="0" w:color="FFFFFF"/>
              <w:right w:val="single" w:sz="4" w:space="0" w:color="FFFFFF"/>
            </w:tcBorders>
            <w:shd w:val="clear" w:color="000000" w:fill="EFEAE6"/>
            <w:noWrap/>
            <w:vAlign w:val="bottom"/>
            <w:hideMark/>
          </w:tcPr>
          <w:p w14:paraId="1BEA02B1"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932</w:t>
            </w:r>
          </w:p>
        </w:tc>
        <w:tc>
          <w:tcPr>
            <w:tcW w:w="273" w:type="dxa"/>
            <w:tcBorders>
              <w:top w:val="nil"/>
              <w:left w:val="nil"/>
              <w:bottom w:val="nil"/>
              <w:right w:val="nil"/>
            </w:tcBorders>
            <w:shd w:val="clear" w:color="auto" w:fill="auto"/>
            <w:noWrap/>
            <w:vAlign w:val="bottom"/>
            <w:hideMark/>
          </w:tcPr>
          <w:p w14:paraId="7B761258"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287F34" w14:paraId="04B5FD4F" w14:textId="77777777" w:rsidTr="009134D4">
        <w:trPr>
          <w:trHeight w:val="475"/>
        </w:trPr>
        <w:tc>
          <w:tcPr>
            <w:tcW w:w="1427" w:type="dxa"/>
            <w:tcBorders>
              <w:top w:val="nil"/>
              <w:left w:val="single" w:sz="4" w:space="0" w:color="FFFFFF"/>
              <w:bottom w:val="single" w:sz="4" w:space="0" w:color="FFFFFF"/>
              <w:right w:val="single" w:sz="4" w:space="0" w:color="FFFFFF"/>
            </w:tcBorders>
            <w:shd w:val="clear" w:color="000000" w:fill="49723B"/>
            <w:noWrap/>
            <w:vAlign w:val="bottom"/>
            <w:hideMark/>
          </w:tcPr>
          <w:p w14:paraId="5F1CA2A9" w14:textId="77777777" w:rsidR="00A05B02" w:rsidRPr="00287F34" w:rsidRDefault="00A05B02" w:rsidP="009134D4">
            <w:pPr>
              <w:widowControl w:val="0"/>
              <w:spacing w:after="0" w:line="240" w:lineRule="auto"/>
              <w:jc w:val="center"/>
              <w:rPr>
                <w:rFonts w:ascii="Calibri" w:eastAsia="Times New Roman" w:hAnsi="Calibri" w:cs="Calibri"/>
                <w:b/>
                <w:bCs/>
                <w:color w:val="FFFFFF"/>
                <w:lang w:eastAsia="en-GB"/>
              </w:rPr>
            </w:pPr>
            <w:r w:rsidRPr="00287F34">
              <w:rPr>
                <w:rFonts w:ascii="Calibri" w:eastAsia="Times New Roman" w:hAnsi="Calibri" w:cs="Calibri"/>
                <w:b/>
                <w:bCs/>
                <w:color w:val="FFFFFF"/>
                <w:lang w:eastAsia="en-GB"/>
              </w:rPr>
              <w:t>2012/13</w:t>
            </w:r>
          </w:p>
        </w:tc>
        <w:tc>
          <w:tcPr>
            <w:tcW w:w="1290" w:type="dxa"/>
            <w:tcBorders>
              <w:top w:val="nil"/>
              <w:left w:val="nil"/>
              <w:bottom w:val="single" w:sz="4" w:space="0" w:color="FFFFFF"/>
              <w:right w:val="single" w:sz="4" w:space="0" w:color="FFFFFF"/>
            </w:tcBorders>
            <w:shd w:val="clear" w:color="000000" w:fill="EFEAE6"/>
            <w:noWrap/>
            <w:vAlign w:val="bottom"/>
            <w:hideMark/>
          </w:tcPr>
          <w:p w14:paraId="68990908"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470</w:t>
            </w:r>
          </w:p>
        </w:tc>
        <w:tc>
          <w:tcPr>
            <w:tcW w:w="2900" w:type="dxa"/>
            <w:tcBorders>
              <w:top w:val="nil"/>
              <w:left w:val="nil"/>
              <w:bottom w:val="single" w:sz="4" w:space="0" w:color="FFFFFF"/>
              <w:right w:val="single" w:sz="4" w:space="0" w:color="FFFFFF"/>
            </w:tcBorders>
            <w:shd w:val="clear" w:color="000000" w:fill="EFEAE6"/>
            <w:noWrap/>
            <w:vAlign w:val="bottom"/>
            <w:hideMark/>
          </w:tcPr>
          <w:p w14:paraId="51FC575D"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2285</w:t>
            </w:r>
          </w:p>
        </w:tc>
        <w:tc>
          <w:tcPr>
            <w:tcW w:w="2556" w:type="dxa"/>
            <w:tcBorders>
              <w:top w:val="nil"/>
              <w:left w:val="nil"/>
              <w:bottom w:val="single" w:sz="4" w:space="0" w:color="FFFFFF"/>
              <w:right w:val="single" w:sz="4" w:space="0" w:color="FFFFFF"/>
            </w:tcBorders>
            <w:shd w:val="clear" w:color="000000" w:fill="EFEAE6"/>
            <w:noWrap/>
            <w:vAlign w:val="bottom"/>
            <w:hideMark/>
          </w:tcPr>
          <w:p w14:paraId="58B0745C"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7991</w:t>
            </w:r>
          </w:p>
        </w:tc>
        <w:tc>
          <w:tcPr>
            <w:tcW w:w="864" w:type="dxa"/>
            <w:tcBorders>
              <w:top w:val="nil"/>
              <w:left w:val="nil"/>
              <w:bottom w:val="single" w:sz="4" w:space="0" w:color="FFFFFF"/>
              <w:right w:val="single" w:sz="4" w:space="0" w:color="FFFFFF"/>
            </w:tcBorders>
            <w:shd w:val="clear" w:color="000000" w:fill="EFEAE6"/>
            <w:noWrap/>
            <w:vAlign w:val="bottom"/>
            <w:hideMark/>
          </w:tcPr>
          <w:p w14:paraId="046CC4A4"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1925</w:t>
            </w:r>
          </w:p>
        </w:tc>
        <w:tc>
          <w:tcPr>
            <w:tcW w:w="273" w:type="dxa"/>
            <w:tcBorders>
              <w:top w:val="nil"/>
              <w:left w:val="nil"/>
              <w:bottom w:val="nil"/>
              <w:right w:val="nil"/>
            </w:tcBorders>
            <w:shd w:val="clear" w:color="auto" w:fill="auto"/>
            <w:noWrap/>
            <w:vAlign w:val="bottom"/>
            <w:hideMark/>
          </w:tcPr>
          <w:p w14:paraId="5BC08B89"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287F34" w14:paraId="76EBC3F3" w14:textId="77777777" w:rsidTr="009134D4">
        <w:trPr>
          <w:trHeight w:val="475"/>
        </w:trPr>
        <w:tc>
          <w:tcPr>
            <w:tcW w:w="1427" w:type="dxa"/>
            <w:tcBorders>
              <w:top w:val="nil"/>
              <w:left w:val="single" w:sz="4" w:space="0" w:color="FFFFFF"/>
              <w:bottom w:val="single" w:sz="4" w:space="0" w:color="FFFFFF"/>
              <w:right w:val="single" w:sz="4" w:space="0" w:color="FFFFFF"/>
            </w:tcBorders>
            <w:shd w:val="clear" w:color="000000" w:fill="49723B"/>
            <w:noWrap/>
            <w:vAlign w:val="bottom"/>
            <w:hideMark/>
          </w:tcPr>
          <w:p w14:paraId="54C380D0" w14:textId="77777777" w:rsidR="00A05B02" w:rsidRPr="00287F34" w:rsidRDefault="00A05B02" w:rsidP="009134D4">
            <w:pPr>
              <w:widowControl w:val="0"/>
              <w:spacing w:after="0" w:line="240" w:lineRule="auto"/>
              <w:jc w:val="center"/>
              <w:rPr>
                <w:rFonts w:ascii="Calibri" w:eastAsia="Times New Roman" w:hAnsi="Calibri" w:cs="Calibri"/>
                <w:b/>
                <w:bCs/>
                <w:color w:val="FFFFFF"/>
                <w:lang w:eastAsia="en-GB"/>
              </w:rPr>
            </w:pPr>
            <w:r w:rsidRPr="00287F34">
              <w:rPr>
                <w:rFonts w:ascii="Calibri" w:eastAsia="Times New Roman" w:hAnsi="Calibri" w:cs="Calibri"/>
                <w:b/>
                <w:bCs/>
                <w:color w:val="FFFFFF"/>
                <w:lang w:eastAsia="en-GB"/>
              </w:rPr>
              <w:t>2015/16</w:t>
            </w:r>
          </w:p>
        </w:tc>
        <w:tc>
          <w:tcPr>
            <w:tcW w:w="1290" w:type="dxa"/>
            <w:tcBorders>
              <w:top w:val="nil"/>
              <w:left w:val="nil"/>
              <w:bottom w:val="single" w:sz="4" w:space="0" w:color="FFFFFF"/>
              <w:right w:val="single" w:sz="4" w:space="0" w:color="FFFFFF"/>
            </w:tcBorders>
            <w:shd w:val="clear" w:color="000000" w:fill="EFEAE6"/>
            <w:noWrap/>
            <w:vAlign w:val="bottom"/>
            <w:hideMark/>
          </w:tcPr>
          <w:p w14:paraId="6B317F7B"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840</w:t>
            </w:r>
          </w:p>
        </w:tc>
        <w:tc>
          <w:tcPr>
            <w:tcW w:w="2900" w:type="dxa"/>
            <w:tcBorders>
              <w:top w:val="nil"/>
              <w:left w:val="nil"/>
              <w:bottom w:val="single" w:sz="4" w:space="0" w:color="FFFFFF"/>
              <w:right w:val="single" w:sz="4" w:space="0" w:color="FFFFFF"/>
            </w:tcBorders>
            <w:shd w:val="clear" w:color="000000" w:fill="EFEAE6"/>
            <w:noWrap/>
            <w:vAlign w:val="bottom"/>
            <w:hideMark/>
          </w:tcPr>
          <w:p w14:paraId="64F47C4E"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1430</w:t>
            </w:r>
          </w:p>
        </w:tc>
        <w:tc>
          <w:tcPr>
            <w:tcW w:w="2556" w:type="dxa"/>
            <w:tcBorders>
              <w:top w:val="nil"/>
              <w:left w:val="nil"/>
              <w:bottom w:val="single" w:sz="4" w:space="0" w:color="FFFFFF"/>
              <w:right w:val="single" w:sz="4" w:space="0" w:color="FFFFFF"/>
            </w:tcBorders>
            <w:shd w:val="clear" w:color="000000" w:fill="EFEAE6"/>
            <w:noWrap/>
            <w:vAlign w:val="bottom"/>
            <w:hideMark/>
          </w:tcPr>
          <w:p w14:paraId="1251A876"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6240</w:t>
            </w:r>
          </w:p>
        </w:tc>
        <w:tc>
          <w:tcPr>
            <w:tcW w:w="864" w:type="dxa"/>
            <w:tcBorders>
              <w:top w:val="nil"/>
              <w:left w:val="nil"/>
              <w:bottom w:val="single" w:sz="4" w:space="0" w:color="FFFFFF"/>
              <w:right w:val="single" w:sz="4" w:space="0" w:color="FFFFFF"/>
            </w:tcBorders>
            <w:shd w:val="clear" w:color="000000" w:fill="EFEAE6"/>
            <w:noWrap/>
            <w:vAlign w:val="bottom"/>
            <w:hideMark/>
          </w:tcPr>
          <w:p w14:paraId="61B86E76"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r w:rsidRPr="00287F34">
              <w:rPr>
                <w:rFonts w:ascii="Calibri" w:eastAsia="Times New Roman" w:hAnsi="Calibri" w:cs="Calibri"/>
                <w:color w:val="000000"/>
                <w:lang w:eastAsia="en-GB"/>
              </w:rPr>
              <w:t>1500</w:t>
            </w:r>
          </w:p>
        </w:tc>
        <w:tc>
          <w:tcPr>
            <w:tcW w:w="273" w:type="dxa"/>
            <w:tcBorders>
              <w:top w:val="nil"/>
              <w:left w:val="nil"/>
              <w:bottom w:val="nil"/>
              <w:right w:val="nil"/>
            </w:tcBorders>
            <w:shd w:val="clear" w:color="auto" w:fill="auto"/>
            <w:noWrap/>
            <w:vAlign w:val="bottom"/>
            <w:hideMark/>
          </w:tcPr>
          <w:p w14:paraId="7B729C86" w14:textId="77777777" w:rsidR="00A05B02" w:rsidRPr="00287F3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287F34" w14:paraId="3E3ACDE9" w14:textId="77777777" w:rsidTr="009134D4">
        <w:trPr>
          <w:trHeight w:val="475"/>
        </w:trPr>
        <w:tc>
          <w:tcPr>
            <w:tcW w:w="9310" w:type="dxa"/>
            <w:gridSpan w:val="6"/>
            <w:tcBorders>
              <w:top w:val="nil"/>
              <w:left w:val="nil"/>
              <w:bottom w:val="nil"/>
              <w:right w:val="nil"/>
            </w:tcBorders>
            <w:shd w:val="clear" w:color="auto" w:fill="auto"/>
            <w:noWrap/>
            <w:vAlign w:val="bottom"/>
            <w:hideMark/>
          </w:tcPr>
          <w:p w14:paraId="4DC94A78" w14:textId="5B4D74F0" w:rsidR="00A05B02" w:rsidRPr="00287F34" w:rsidRDefault="00A05B02" w:rsidP="004E5B04">
            <w:pPr>
              <w:widowControl w:val="0"/>
              <w:spacing w:after="0" w:line="240" w:lineRule="auto"/>
              <w:rPr>
                <w:rFonts w:ascii="Calibri" w:eastAsia="Times New Roman" w:hAnsi="Calibri" w:cs="Calibri"/>
                <w:b/>
                <w:bCs/>
                <w:color w:val="5F735C"/>
                <w:lang w:eastAsia="en-GB"/>
              </w:rPr>
            </w:pPr>
            <w:r w:rsidRPr="00287F34">
              <w:rPr>
                <w:rFonts w:ascii="Calibri" w:eastAsia="Times New Roman" w:hAnsi="Calibri" w:cs="Calibri"/>
                <w:b/>
                <w:bCs/>
                <w:color w:val="5F735C"/>
                <w:lang w:eastAsia="en-GB"/>
              </w:rPr>
              <w:t xml:space="preserve">Source: Bennell 1998, Lenton 2009, DBIS 2014, </w:t>
            </w:r>
            <w:r w:rsidR="004E5B04">
              <w:rPr>
                <w:rFonts w:ascii="Calibri" w:eastAsia="Times New Roman" w:hAnsi="Calibri" w:cs="Calibri"/>
                <w:b/>
                <w:bCs/>
                <w:color w:val="5F735C"/>
                <w:lang w:eastAsia="en-GB"/>
              </w:rPr>
              <w:t>Author</w:t>
            </w:r>
            <w:r w:rsidRPr="00287F34">
              <w:rPr>
                <w:rFonts w:ascii="Calibri" w:eastAsia="Times New Roman" w:hAnsi="Calibri" w:cs="Calibri"/>
                <w:b/>
                <w:bCs/>
                <w:color w:val="5F735C"/>
                <w:lang w:eastAsia="en-GB"/>
              </w:rPr>
              <w:t xml:space="preserve"> 2015/16 Survey</w:t>
            </w:r>
          </w:p>
        </w:tc>
      </w:tr>
    </w:tbl>
    <w:p w14:paraId="21DB63DA" w14:textId="77777777" w:rsidR="00EF631B" w:rsidRDefault="00EF631B">
      <w:r>
        <w:br w:type="page"/>
      </w:r>
    </w:p>
    <w:tbl>
      <w:tblPr>
        <w:tblW w:w="9037" w:type="dxa"/>
        <w:tblLook w:val="04A0" w:firstRow="1" w:lastRow="0" w:firstColumn="1" w:lastColumn="0" w:noHBand="0" w:noVBand="1"/>
      </w:tblPr>
      <w:tblGrid>
        <w:gridCol w:w="1191"/>
        <w:gridCol w:w="2436"/>
        <w:gridCol w:w="2301"/>
        <w:gridCol w:w="2839"/>
        <w:gridCol w:w="270"/>
      </w:tblGrid>
      <w:tr w:rsidR="00A05B02" w:rsidRPr="00CA1774" w14:paraId="2E8C85AD" w14:textId="77777777" w:rsidTr="00EF631B">
        <w:trPr>
          <w:trHeight w:val="451"/>
        </w:trPr>
        <w:tc>
          <w:tcPr>
            <w:tcW w:w="9037" w:type="dxa"/>
            <w:gridSpan w:val="5"/>
            <w:tcBorders>
              <w:top w:val="nil"/>
              <w:left w:val="nil"/>
              <w:bottom w:val="nil"/>
              <w:right w:val="nil"/>
            </w:tcBorders>
            <w:shd w:val="clear" w:color="auto" w:fill="auto"/>
            <w:noWrap/>
            <w:vAlign w:val="bottom"/>
            <w:hideMark/>
          </w:tcPr>
          <w:p w14:paraId="70FA4832" w14:textId="3007447E" w:rsidR="00A05B02" w:rsidRDefault="00A05B02" w:rsidP="009134D4">
            <w:pPr>
              <w:widowControl w:val="0"/>
              <w:spacing w:after="0" w:line="240" w:lineRule="auto"/>
              <w:rPr>
                <w:rFonts w:ascii="Calibri" w:eastAsia="Times New Roman" w:hAnsi="Calibri" w:cs="Calibri"/>
                <w:b/>
                <w:bCs/>
                <w:color w:val="5F735C"/>
                <w:lang w:eastAsia="en-GB"/>
              </w:rPr>
            </w:pPr>
          </w:p>
          <w:p w14:paraId="4CB09D3A" w14:textId="7068A1C5" w:rsidR="00A05B02" w:rsidRPr="00CA1774" w:rsidRDefault="007F34A8" w:rsidP="009134D4">
            <w:pPr>
              <w:widowControl w:val="0"/>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7</w:t>
            </w:r>
            <w:r w:rsidR="00A05B02" w:rsidRPr="00CA1774">
              <w:rPr>
                <w:rFonts w:ascii="Calibri" w:eastAsia="Times New Roman" w:hAnsi="Calibri" w:cs="Calibri"/>
                <w:b/>
                <w:bCs/>
                <w:color w:val="5F735C"/>
                <w:lang w:eastAsia="en-GB"/>
              </w:rPr>
              <w:t>: Offshore student income as % of total UK university income,</w:t>
            </w:r>
            <w:r w:rsidR="00A05B02">
              <w:rPr>
                <w:rFonts w:ascii="Calibri" w:eastAsia="Times New Roman" w:hAnsi="Calibri" w:cs="Calibri"/>
                <w:b/>
                <w:bCs/>
                <w:color w:val="5F735C"/>
                <w:lang w:eastAsia="en-GB"/>
              </w:rPr>
              <w:t xml:space="preserve"> total overseas student tuition fees, 2015/16</w:t>
            </w:r>
          </w:p>
        </w:tc>
      </w:tr>
      <w:tr w:rsidR="00A05B02" w:rsidRPr="00CA1774" w14:paraId="74E1A09F" w14:textId="77777777" w:rsidTr="00EF631B">
        <w:trPr>
          <w:trHeight w:val="451"/>
        </w:trPr>
        <w:tc>
          <w:tcPr>
            <w:tcW w:w="8767" w:type="dxa"/>
            <w:gridSpan w:val="4"/>
            <w:tcBorders>
              <w:top w:val="nil"/>
              <w:left w:val="nil"/>
              <w:bottom w:val="nil"/>
              <w:right w:val="nil"/>
            </w:tcBorders>
            <w:shd w:val="clear" w:color="auto" w:fill="auto"/>
            <w:noWrap/>
            <w:vAlign w:val="bottom"/>
          </w:tcPr>
          <w:p w14:paraId="5FF0FBE3" w14:textId="77777777" w:rsidR="00A05B02" w:rsidRPr="00CA1774" w:rsidRDefault="00A05B02" w:rsidP="009134D4">
            <w:pPr>
              <w:widowControl w:val="0"/>
              <w:spacing w:after="0" w:line="240" w:lineRule="auto"/>
              <w:rPr>
                <w:rFonts w:ascii="Calibri" w:eastAsia="Times New Roman" w:hAnsi="Calibri" w:cs="Calibri"/>
                <w:b/>
                <w:bCs/>
                <w:color w:val="5F735C"/>
                <w:lang w:eastAsia="en-GB"/>
              </w:rPr>
            </w:pPr>
          </w:p>
        </w:tc>
        <w:tc>
          <w:tcPr>
            <w:tcW w:w="270" w:type="dxa"/>
            <w:tcBorders>
              <w:top w:val="nil"/>
              <w:left w:val="nil"/>
              <w:bottom w:val="nil"/>
              <w:right w:val="nil"/>
            </w:tcBorders>
            <w:shd w:val="clear" w:color="auto" w:fill="auto"/>
            <w:noWrap/>
            <w:vAlign w:val="bottom"/>
          </w:tcPr>
          <w:p w14:paraId="3AFC1C97" w14:textId="77777777" w:rsidR="00A05B02" w:rsidRPr="00CA1774" w:rsidRDefault="00A05B02" w:rsidP="009134D4">
            <w:pPr>
              <w:widowControl w:val="0"/>
              <w:spacing w:after="0" w:line="240" w:lineRule="auto"/>
              <w:rPr>
                <w:rFonts w:ascii="Calibri" w:eastAsia="Times New Roman" w:hAnsi="Calibri" w:cs="Calibri"/>
                <w:b/>
                <w:bCs/>
                <w:color w:val="5F735C"/>
                <w:lang w:eastAsia="en-GB"/>
              </w:rPr>
            </w:pPr>
          </w:p>
        </w:tc>
      </w:tr>
      <w:tr w:rsidR="00A05B02" w:rsidRPr="00CA1774" w14:paraId="74D6FA7C" w14:textId="77777777" w:rsidTr="00EF631B">
        <w:trPr>
          <w:trHeight w:val="451"/>
        </w:trPr>
        <w:tc>
          <w:tcPr>
            <w:tcW w:w="1191"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0EDBF6D1"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 </w:t>
            </w:r>
          </w:p>
        </w:tc>
        <w:tc>
          <w:tcPr>
            <w:tcW w:w="2436" w:type="dxa"/>
            <w:tcBorders>
              <w:top w:val="single" w:sz="4" w:space="0" w:color="FFFFFF"/>
              <w:left w:val="nil"/>
              <w:bottom w:val="single" w:sz="4" w:space="0" w:color="FFFFFF"/>
              <w:right w:val="single" w:sz="4" w:space="0" w:color="FFFFFF"/>
            </w:tcBorders>
            <w:shd w:val="clear" w:color="000000" w:fill="49723B"/>
            <w:noWrap/>
            <w:vAlign w:val="bottom"/>
            <w:hideMark/>
          </w:tcPr>
          <w:p w14:paraId="27985791"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University income</w:t>
            </w:r>
          </w:p>
        </w:tc>
        <w:tc>
          <w:tcPr>
            <w:tcW w:w="2301" w:type="dxa"/>
            <w:tcBorders>
              <w:top w:val="single" w:sz="4" w:space="0" w:color="FFFFFF"/>
              <w:left w:val="nil"/>
              <w:bottom w:val="single" w:sz="4" w:space="0" w:color="FFFFFF"/>
              <w:right w:val="single" w:sz="4" w:space="0" w:color="FFFFFF"/>
            </w:tcBorders>
            <w:shd w:val="clear" w:color="000000" w:fill="49723B"/>
            <w:noWrap/>
            <w:vAlign w:val="bottom"/>
            <w:hideMark/>
          </w:tcPr>
          <w:p w14:paraId="1A640C87"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Total tuition fees</w:t>
            </w:r>
          </w:p>
        </w:tc>
        <w:tc>
          <w:tcPr>
            <w:tcW w:w="2839" w:type="dxa"/>
            <w:tcBorders>
              <w:top w:val="single" w:sz="4" w:space="0" w:color="FFFFFF"/>
              <w:left w:val="nil"/>
              <w:bottom w:val="single" w:sz="4" w:space="0" w:color="FFFFFF"/>
              <w:right w:val="single" w:sz="4" w:space="0" w:color="FFFFFF"/>
            </w:tcBorders>
            <w:shd w:val="clear" w:color="000000" w:fill="49723B"/>
            <w:noWrap/>
            <w:vAlign w:val="bottom"/>
            <w:hideMark/>
          </w:tcPr>
          <w:p w14:paraId="0B414906"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Overseas tuition fees</w:t>
            </w:r>
          </w:p>
        </w:tc>
        <w:tc>
          <w:tcPr>
            <w:tcW w:w="270" w:type="dxa"/>
            <w:tcBorders>
              <w:top w:val="nil"/>
              <w:left w:val="nil"/>
              <w:bottom w:val="nil"/>
              <w:right w:val="nil"/>
            </w:tcBorders>
            <w:shd w:val="clear" w:color="auto" w:fill="auto"/>
            <w:noWrap/>
            <w:vAlign w:val="bottom"/>
            <w:hideMark/>
          </w:tcPr>
          <w:p w14:paraId="629B2493"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p>
        </w:tc>
      </w:tr>
      <w:tr w:rsidR="00A05B02" w:rsidRPr="00CA1774" w14:paraId="3847F60F" w14:textId="77777777" w:rsidTr="00EF631B">
        <w:trPr>
          <w:trHeight w:val="451"/>
        </w:trPr>
        <w:tc>
          <w:tcPr>
            <w:tcW w:w="1191" w:type="dxa"/>
            <w:tcBorders>
              <w:top w:val="nil"/>
              <w:left w:val="single" w:sz="4" w:space="0" w:color="FFFFFF"/>
              <w:bottom w:val="single" w:sz="4" w:space="0" w:color="FFFFFF"/>
              <w:right w:val="single" w:sz="4" w:space="0" w:color="FFFFFF"/>
            </w:tcBorders>
            <w:shd w:val="clear" w:color="000000" w:fill="49723B"/>
            <w:noWrap/>
            <w:vAlign w:val="bottom"/>
            <w:hideMark/>
          </w:tcPr>
          <w:p w14:paraId="76545424"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1996-97</w:t>
            </w:r>
          </w:p>
        </w:tc>
        <w:tc>
          <w:tcPr>
            <w:tcW w:w="2436" w:type="dxa"/>
            <w:tcBorders>
              <w:top w:val="nil"/>
              <w:left w:val="nil"/>
              <w:bottom w:val="single" w:sz="4" w:space="0" w:color="FFFFFF"/>
              <w:right w:val="single" w:sz="4" w:space="0" w:color="FFFFFF"/>
            </w:tcBorders>
            <w:shd w:val="clear" w:color="000000" w:fill="EFEAE6"/>
            <w:noWrap/>
            <w:vAlign w:val="bottom"/>
            <w:hideMark/>
          </w:tcPr>
          <w:p w14:paraId="1C2CD4E7"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0.9</w:t>
            </w:r>
          </w:p>
        </w:tc>
        <w:tc>
          <w:tcPr>
            <w:tcW w:w="2301" w:type="dxa"/>
            <w:tcBorders>
              <w:top w:val="nil"/>
              <w:left w:val="nil"/>
              <w:bottom w:val="single" w:sz="4" w:space="0" w:color="FFFFFF"/>
              <w:right w:val="single" w:sz="4" w:space="0" w:color="FFFFFF"/>
            </w:tcBorders>
            <w:shd w:val="clear" w:color="000000" w:fill="EFEAE6"/>
            <w:noWrap/>
            <w:vAlign w:val="bottom"/>
            <w:hideMark/>
          </w:tcPr>
          <w:p w14:paraId="7EF06413"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3.7</w:t>
            </w:r>
          </w:p>
        </w:tc>
        <w:tc>
          <w:tcPr>
            <w:tcW w:w="2839" w:type="dxa"/>
            <w:tcBorders>
              <w:top w:val="nil"/>
              <w:left w:val="nil"/>
              <w:bottom w:val="single" w:sz="4" w:space="0" w:color="FFFFFF"/>
              <w:right w:val="single" w:sz="4" w:space="0" w:color="FFFFFF"/>
            </w:tcBorders>
            <w:shd w:val="clear" w:color="000000" w:fill="EFEAE6"/>
            <w:noWrap/>
            <w:vAlign w:val="bottom"/>
            <w:hideMark/>
          </w:tcPr>
          <w:p w14:paraId="673C3C03"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17.8</w:t>
            </w:r>
          </w:p>
        </w:tc>
        <w:tc>
          <w:tcPr>
            <w:tcW w:w="270" w:type="dxa"/>
            <w:tcBorders>
              <w:top w:val="nil"/>
              <w:left w:val="nil"/>
              <w:bottom w:val="nil"/>
              <w:right w:val="nil"/>
            </w:tcBorders>
            <w:shd w:val="clear" w:color="auto" w:fill="auto"/>
            <w:noWrap/>
            <w:vAlign w:val="bottom"/>
            <w:hideMark/>
          </w:tcPr>
          <w:p w14:paraId="0CD73CE6"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CA1774" w14:paraId="1AB0A5C3" w14:textId="77777777" w:rsidTr="00EF631B">
        <w:trPr>
          <w:trHeight w:val="451"/>
        </w:trPr>
        <w:tc>
          <w:tcPr>
            <w:tcW w:w="1191" w:type="dxa"/>
            <w:tcBorders>
              <w:top w:val="nil"/>
              <w:left w:val="single" w:sz="4" w:space="0" w:color="FFFFFF"/>
              <w:bottom w:val="single" w:sz="4" w:space="0" w:color="FFFFFF"/>
              <w:right w:val="single" w:sz="4" w:space="0" w:color="FFFFFF"/>
            </w:tcBorders>
            <w:shd w:val="clear" w:color="000000" w:fill="49723B"/>
            <w:noWrap/>
            <w:vAlign w:val="bottom"/>
            <w:hideMark/>
          </w:tcPr>
          <w:p w14:paraId="3BB76143"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2003-04</w:t>
            </w:r>
          </w:p>
        </w:tc>
        <w:tc>
          <w:tcPr>
            <w:tcW w:w="2436" w:type="dxa"/>
            <w:tcBorders>
              <w:top w:val="nil"/>
              <w:left w:val="nil"/>
              <w:bottom w:val="single" w:sz="4" w:space="0" w:color="FFFFFF"/>
              <w:right w:val="single" w:sz="4" w:space="0" w:color="FFFFFF"/>
            </w:tcBorders>
            <w:shd w:val="clear" w:color="000000" w:fill="EFEAE6"/>
            <w:noWrap/>
            <w:vAlign w:val="bottom"/>
            <w:hideMark/>
          </w:tcPr>
          <w:p w14:paraId="051B0995"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1.2</w:t>
            </w:r>
          </w:p>
        </w:tc>
        <w:tc>
          <w:tcPr>
            <w:tcW w:w="2301" w:type="dxa"/>
            <w:tcBorders>
              <w:top w:val="nil"/>
              <w:left w:val="nil"/>
              <w:bottom w:val="single" w:sz="4" w:space="0" w:color="FFFFFF"/>
              <w:right w:val="single" w:sz="4" w:space="0" w:color="FFFFFF"/>
            </w:tcBorders>
            <w:shd w:val="clear" w:color="000000" w:fill="EFEAE6"/>
            <w:noWrap/>
            <w:vAlign w:val="bottom"/>
            <w:hideMark/>
          </w:tcPr>
          <w:p w14:paraId="794B3C1E"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4.8</w:t>
            </w:r>
          </w:p>
        </w:tc>
        <w:tc>
          <w:tcPr>
            <w:tcW w:w="2839" w:type="dxa"/>
            <w:tcBorders>
              <w:top w:val="nil"/>
              <w:left w:val="nil"/>
              <w:bottom w:val="single" w:sz="4" w:space="0" w:color="FFFFFF"/>
              <w:right w:val="single" w:sz="4" w:space="0" w:color="FFFFFF"/>
            </w:tcBorders>
            <w:shd w:val="clear" w:color="000000" w:fill="EFEAE6"/>
            <w:noWrap/>
            <w:vAlign w:val="bottom"/>
            <w:hideMark/>
          </w:tcPr>
          <w:p w14:paraId="564E446E"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15.3</w:t>
            </w:r>
          </w:p>
        </w:tc>
        <w:tc>
          <w:tcPr>
            <w:tcW w:w="270" w:type="dxa"/>
            <w:tcBorders>
              <w:top w:val="nil"/>
              <w:left w:val="nil"/>
              <w:bottom w:val="nil"/>
              <w:right w:val="nil"/>
            </w:tcBorders>
            <w:shd w:val="clear" w:color="auto" w:fill="auto"/>
            <w:noWrap/>
            <w:vAlign w:val="bottom"/>
            <w:hideMark/>
          </w:tcPr>
          <w:p w14:paraId="13A421C8"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CA1774" w14:paraId="2483659E" w14:textId="77777777" w:rsidTr="00EF631B">
        <w:trPr>
          <w:trHeight w:val="451"/>
        </w:trPr>
        <w:tc>
          <w:tcPr>
            <w:tcW w:w="1191" w:type="dxa"/>
            <w:tcBorders>
              <w:top w:val="nil"/>
              <w:left w:val="single" w:sz="4" w:space="0" w:color="FFFFFF"/>
              <w:bottom w:val="single" w:sz="4" w:space="0" w:color="FFFFFF"/>
              <w:right w:val="single" w:sz="4" w:space="0" w:color="FFFFFF"/>
            </w:tcBorders>
            <w:shd w:val="clear" w:color="000000" w:fill="49723B"/>
            <w:noWrap/>
            <w:vAlign w:val="bottom"/>
            <w:hideMark/>
          </w:tcPr>
          <w:p w14:paraId="05D3F4D9"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2012/13</w:t>
            </w:r>
          </w:p>
        </w:tc>
        <w:tc>
          <w:tcPr>
            <w:tcW w:w="2436" w:type="dxa"/>
            <w:tcBorders>
              <w:top w:val="nil"/>
              <w:left w:val="nil"/>
              <w:bottom w:val="single" w:sz="4" w:space="0" w:color="FFFFFF"/>
              <w:right w:val="single" w:sz="4" w:space="0" w:color="FFFFFF"/>
            </w:tcBorders>
            <w:shd w:val="clear" w:color="000000" w:fill="EFEAE6"/>
            <w:noWrap/>
            <w:vAlign w:val="bottom"/>
            <w:hideMark/>
          </w:tcPr>
          <w:p w14:paraId="2F64D57E"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2.1</w:t>
            </w:r>
          </w:p>
        </w:tc>
        <w:tc>
          <w:tcPr>
            <w:tcW w:w="2301" w:type="dxa"/>
            <w:tcBorders>
              <w:top w:val="nil"/>
              <w:left w:val="nil"/>
              <w:bottom w:val="single" w:sz="4" w:space="0" w:color="FFFFFF"/>
              <w:right w:val="single" w:sz="4" w:space="0" w:color="FFFFFF"/>
            </w:tcBorders>
            <w:shd w:val="clear" w:color="000000" w:fill="EFEAE6"/>
            <w:noWrap/>
            <w:vAlign w:val="bottom"/>
            <w:hideMark/>
          </w:tcPr>
          <w:p w14:paraId="4A5F0024"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5.2</w:t>
            </w:r>
          </w:p>
        </w:tc>
        <w:tc>
          <w:tcPr>
            <w:tcW w:w="2839" w:type="dxa"/>
            <w:tcBorders>
              <w:top w:val="nil"/>
              <w:left w:val="nil"/>
              <w:bottom w:val="single" w:sz="4" w:space="0" w:color="FFFFFF"/>
              <w:right w:val="single" w:sz="4" w:space="0" w:color="FFFFFF"/>
            </w:tcBorders>
            <w:shd w:val="clear" w:color="000000" w:fill="EFEAE6"/>
            <w:noWrap/>
            <w:vAlign w:val="bottom"/>
            <w:hideMark/>
          </w:tcPr>
          <w:p w14:paraId="399535DA"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17.4</w:t>
            </w:r>
          </w:p>
        </w:tc>
        <w:tc>
          <w:tcPr>
            <w:tcW w:w="270" w:type="dxa"/>
            <w:tcBorders>
              <w:top w:val="nil"/>
              <w:left w:val="nil"/>
              <w:bottom w:val="nil"/>
              <w:right w:val="nil"/>
            </w:tcBorders>
            <w:shd w:val="clear" w:color="auto" w:fill="auto"/>
            <w:noWrap/>
            <w:vAlign w:val="bottom"/>
            <w:hideMark/>
          </w:tcPr>
          <w:p w14:paraId="2C3FBEB1"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CA1774" w14:paraId="62C800AE" w14:textId="77777777" w:rsidTr="00EF631B">
        <w:trPr>
          <w:trHeight w:val="451"/>
        </w:trPr>
        <w:tc>
          <w:tcPr>
            <w:tcW w:w="1191" w:type="dxa"/>
            <w:tcBorders>
              <w:top w:val="nil"/>
              <w:left w:val="single" w:sz="4" w:space="0" w:color="FFFFFF"/>
              <w:bottom w:val="single" w:sz="4" w:space="0" w:color="FFFFFF"/>
              <w:right w:val="single" w:sz="4" w:space="0" w:color="FFFFFF"/>
            </w:tcBorders>
            <w:shd w:val="clear" w:color="000000" w:fill="49723B"/>
            <w:noWrap/>
            <w:vAlign w:val="bottom"/>
            <w:hideMark/>
          </w:tcPr>
          <w:p w14:paraId="5FDE25A7"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2015/16</w:t>
            </w:r>
          </w:p>
        </w:tc>
        <w:tc>
          <w:tcPr>
            <w:tcW w:w="2436" w:type="dxa"/>
            <w:tcBorders>
              <w:top w:val="nil"/>
              <w:left w:val="nil"/>
              <w:bottom w:val="single" w:sz="4" w:space="0" w:color="FFFFFF"/>
              <w:right w:val="single" w:sz="4" w:space="0" w:color="FFFFFF"/>
            </w:tcBorders>
            <w:shd w:val="clear" w:color="000000" w:fill="EFEAE6"/>
            <w:noWrap/>
            <w:vAlign w:val="bottom"/>
            <w:hideMark/>
          </w:tcPr>
          <w:p w14:paraId="68576DE7"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1.7</w:t>
            </w:r>
          </w:p>
        </w:tc>
        <w:tc>
          <w:tcPr>
            <w:tcW w:w="2301" w:type="dxa"/>
            <w:tcBorders>
              <w:top w:val="nil"/>
              <w:left w:val="nil"/>
              <w:bottom w:val="single" w:sz="4" w:space="0" w:color="FFFFFF"/>
              <w:right w:val="single" w:sz="4" w:space="0" w:color="FFFFFF"/>
            </w:tcBorders>
            <w:shd w:val="clear" w:color="000000" w:fill="EFEAE6"/>
            <w:noWrap/>
            <w:vAlign w:val="bottom"/>
            <w:hideMark/>
          </w:tcPr>
          <w:p w14:paraId="7D2028E1"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3.6</w:t>
            </w:r>
          </w:p>
        </w:tc>
        <w:tc>
          <w:tcPr>
            <w:tcW w:w="2839" w:type="dxa"/>
            <w:tcBorders>
              <w:top w:val="nil"/>
              <w:left w:val="nil"/>
              <w:bottom w:val="single" w:sz="4" w:space="0" w:color="FFFFFF"/>
              <w:right w:val="single" w:sz="4" w:space="0" w:color="FFFFFF"/>
            </w:tcBorders>
            <w:shd w:val="clear" w:color="000000" w:fill="EFEAE6"/>
            <w:noWrap/>
            <w:vAlign w:val="bottom"/>
            <w:hideMark/>
          </w:tcPr>
          <w:p w14:paraId="55CD4A81"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11.2</w:t>
            </w:r>
          </w:p>
        </w:tc>
        <w:tc>
          <w:tcPr>
            <w:tcW w:w="270" w:type="dxa"/>
            <w:tcBorders>
              <w:top w:val="nil"/>
              <w:left w:val="nil"/>
              <w:bottom w:val="nil"/>
              <w:right w:val="nil"/>
            </w:tcBorders>
            <w:shd w:val="clear" w:color="auto" w:fill="auto"/>
            <w:noWrap/>
            <w:vAlign w:val="bottom"/>
            <w:hideMark/>
          </w:tcPr>
          <w:p w14:paraId="3FB01FFD"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r>
      <w:tr w:rsidR="00A05B02" w:rsidRPr="00CA1774" w14:paraId="5F74ECA2" w14:textId="77777777" w:rsidTr="00EF631B">
        <w:trPr>
          <w:trHeight w:val="451"/>
        </w:trPr>
        <w:tc>
          <w:tcPr>
            <w:tcW w:w="5928" w:type="dxa"/>
            <w:gridSpan w:val="3"/>
            <w:tcBorders>
              <w:top w:val="nil"/>
              <w:left w:val="nil"/>
              <w:bottom w:val="nil"/>
              <w:right w:val="nil"/>
            </w:tcBorders>
            <w:shd w:val="clear" w:color="auto" w:fill="auto"/>
            <w:noWrap/>
            <w:vAlign w:val="bottom"/>
            <w:hideMark/>
          </w:tcPr>
          <w:p w14:paraId="2DCEEFE6" w14:textId="77777777" w:rsidR="00A05B02" w:rsidRPr="00CA1774" w:rsidRDefault="00A05B02" w:rsidP="009134D4">
            <w:pPr>
              <w:widowControl w:val="0"/>
              <w:spacing w:after="0" w:line="240" w:lineRule="auto"/>
              <w:rPr>
                <w:rFonts w:ascii="Calibri" w:eastAsia="Times New Roman" w:hAnsi="Calibri" w:cs="Calibri"/>
                <w:b/>
                <w:bCs/>
                <w:color w:val="5F735C"/>
                <w:lang w:eastAsia="en-GB"/>
              </w:rPr>
            </w:pPr>
            <w:r w:rsidRPr="00CA1774">
              <w:rPr>
                <w:rFonts w:ascii="Calibri" w:eastAsia="Times New Roman" w:hAnsi="Calibri" w:cs="Calibri"/>
                <w:b/>
                <w:bCs/>
                <w:color w:val="5F735C"/>
                <w:lang w:eastAsia="en-GB"/>
              </w:rPr>
              <w:t>Source: HESA data, 2015/16 university survey</w:t>
            </w:r>
          </w:p>
        </w:tc>
        <w:tc>
          <w:tcPr>
            <w:tcW w:w="2839" w:type="dxa"/>
            <w:tcBorders>
              <w:top w:val="nil"/>
              <w:left w:val="nil"/>
              <w:bottom w:val="nil"/>
              <w:right w:val="nil"/>
            </w:tcBorders>
            <w:shd w:val="clear" w:color="auto" w:fill="auto"/>
            <w:noWrap/>
            <w:vAlign w:val="bottom"/>
            <w:hideMark/>
          </w:tcPr>
          <w:p w14:paraId="76D6187A" w14:textId="77777777" w:rsidR="00A05B02" w:rsidRPr="00CA1774" w:rsidRDefault="00A05B02" w:rsidP="009134D4">
            <w:pPr>
              <w:widowControl w:val="0"/>
              <w:spacing w:after="0" w:line="240" w:lineRule="auto"/>
              <w:rPr>
                <w:rFonts w:ascii="Calibri" w:eastAsia="Times New Roman" w:hAnsi="Calibri" w:cs="Calibri"/>
                <w:b/>
                <w:bCs/>
                <w:color w:val="5F735C"/>
                <w:lang w:eastAsia="en-GB"/>
              </w:rPr>
            </w:pPr>
          </w:p>
        </w:tc>
        <w:tc>
          <w:tcPr>
            <w:tcW w:w="270" w:type="dxa"/>
            <w:tcBorders>
              <w:top w:val="nil"/>
              <w:left w:val="nil"/>
              <w:bottom w:val="nil"/>
              <w:right w:val="nil"/>
            </w:tcBorders>
            <w:shd w:val="clear" w:color="auto" w:fill="auto"/>
            <w:noWrap/>
            <w:vAlign w:val="bottom"/>
            <w:hideMark/>
          </w:tcPr>
          <w:p w14:paraId="0E75FCEE"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bl>
    <w:p w14:paraId="227A2750" w14:textId="77777777" w:rsidR="00EF631B" w:rsidRDefault="00EF631B">
      <w:r>
        <w:br w:type="page"/>
      </w:r>
    </w:p>
    <w:tbl>
      <w:tblPr>
        <w:tblW w:w="8710" w:type="dxa"/>
        <w:tblLook w:val="04A0" w:firstRow="1" w:lastRow="0" w:firstColumn="1" w:lastColumn="0" w:noHBand="0" w:noVBand="1"/>
      </w:tblPr>
      <w:tblGrid>
        <w:gridCol w:w="1388"/>
        <w:gridCol w:w="3137"/>
        <w:gridCol w:w="3741"/>
        <w:gridCol w:w="222"/>
        <w:gridCol w:w="222"/>
      </w:tblGrid>
      <w:tr w:rsidR="00A05B02" w:rsidRPr="00CA1774" w14:paraId="11C49497" w14:textId="77777777" w:rsidTr="00EF631B">
        <w:trPr>
          <w:trHeight w:val="288"/>
        </w:trPr>
        <w:tc>
          <w:tcPr>
            <w:tcW w:w="8710" w:type="dxa"/>
            <w:gridSpan w:val="5"/>
            <w:tcBorders>
              <w:top w:val="nil"/>
              <w:left w:val="nil"/>
              <w:bottom w:val="nil"/>
              <w:right w:val="nil"/>
            </w:tcBorders>
            <w:shd w:val="clear" w:color="auto" w:fill="auto"/>
            <w:noWrap/>
            <w:vAlign w:val="bottom"/>
            <w:hideMark/>
          </w:tcPr>
          <w:p w14:paraId="23A6E935" w14:textId="78926002" w:rsidR="00A05B02" w:rsidRDefault="009134D4" w:rsidP="009134D4">
            <w:pPr>
              <w:widowControl w:val="0"/>
              <w:spacing w:after="0" w:line="240" w:lineRule="auto"/>
              <w:rPr>
                <w:rFonts w:ascii="Calibri" w:eastAsia="Times New Roman" w:hAnsi="Calibri" w:cs="Calibri"/>
                <w:b/>
                <w:bCs/>
                <w:color w:val="5F735C"/>
                <w:lang w:eastAsia="en-GB"/>
              </w:rPr>
            </w:pPr>
            <w:r>
              <w:lastRenderedPageBreak/>
              <w:br w:type="page"/>
            </w:r>
          </w:p>
          <w:p w14:paraId="554D4E60" w14:textId="68DF9700" w:rsidR="00A05B02" w:rsidRPr="00CA1774" w:rsidRDefault="007F34A8" w:rsidP="009134D4">
            <w:pPr>
              <w:widowControl w:val="0"/>
              <w:spacing w:after="0" w:line="240" w:lineRule="auto"/>
              <w:rPr>
                <w:rFonts w:ascii="Calibri" w:eastAsia="Times New Roman" w:hAnsi="Calibri" w:cs="Calibri"/>
                <w:b/>
                <w:bCs/>
                <w:color w:val="5F735C"/>
                <w:lang w:eastAsia="en-GB"/>
              </w:rPr>
            </w:pPr>
            <w:r>
              <w:rPr>
                <w:rFonts w:ascii="Calibri" w:eastAsia="Times New Roman" w:hAnsi="Calibri" w:cs="Calibri"/>
                <w:b/>
                <w:bCs/>
                <w:color w:val="5F735C"/>
                <w:lang w:eastAsia="en-GB"/>
              </w:rPr>
              <w:t>Table 8</w:t>
            </w:r>
            <w:r w:rsidR="00A05B02" w:rsidRPr="00CA1774">
              <w:rPr>
                <w:rFonts w:ascii="Calibri" w:eastAsia="Times New Roman" w:hAnsi="Calibri" w:cs="Calibri"/>
                <w:b/>
                <w:bCs/>
                <w:color w:val="5F735C"/>
                <w:lang w:eastAsia="en-GB"/>
              </w:rPr>
              <w:t>: Offshore student income as percentage of total university tuition fee income</w:t>
            </w:r>
          </w:p>
        </w:tc>
      </w:tr>
      <w:tr w:rsidR="00A05B02" w:rsidRPr="00CA1774" w14:paraId="14EBE63F" w14:textId="77777777" w:rsidTr="00EF631B">
        <w:trPr>
          <w:trHeight w:val="288"/>
        </w:trPr>
        <w:tc>
          <w:tcPr>
            <w:tcW w:w="8488" w:type="dxa"/>
            <w:gridSpan w:val="4"/>
            <w:tcBorders>
              <w:top w:val="nil"/>
              <w:left w:val="nil"/>
              <w:bottom w:val="nil"/>
              <w:right w:val="nil"/>
            </w:tcBorders>
            <w:shd w:val="clear" w:color="auto" w:fill="auto"/>
            <w:noWrap/>
            <w:vAlign w:val="bottom"/>
            <w:hideMark/>
          </w:tcPr>
          <w:p w14:paraId="3D8524EB" w14:textId="77777777" w:rsidR="00A05B02" w:rsidRPr="00CA1774" w:rsidRDefault="00A05B02" w:rsidP="009134D4">
            <w:pPr>
              <w:widowControl w:val="0"/>
              <w:spacing w:after="0" w:line="240" w:lineRule="auto"/>
              <w:rPr>
                <w:rFonts w:ascii="Calibri" w:eastAsia="Times New Roman" w:hAnsi="Calibri" w:cs="Calibri"/>
                <w:b/>
                <w:bCs/>
                <w:color w:val="5F735C"/>
                <w:lang w:eastAsia="en-GB"/>
              </w:rPr>
            </w:pPr>
            <w:r w:rsidRPr="00CA1774">
              <w:rPr>
                <w:rFonts w:ascii="Calibri" w:eastAsia="Times New Roman" w:hAnsi="Calibri" w:cs="Calibri"/>
                <w:b/>
                <w:bCs/>
                <w:color w:val="5F735C"/>
                <w:lang w:eastAsia="en-GB"/>
              </w:rPr>
              <w:t>and overseas tuition fee income, 2015/16 (% rounded survey universities)</w:t>
            </w:r>
          </w:p>
        </w:tc>
        <w:tc>
          <w:tcPr>
            <w:tcW w:w="222" w:type="dxa"/>
            <w:tcBorders>
              <w:top w:val="nil"/>
              <w:left w:val="nil"/>
              <w:bottom w:val="nil"/>
              <w:right w:val="nil"/>
            </w:tcBorders>
            <w:shd w:val="clear" w:color="auto" w:fill="auto"/>
            <w:noWrap/>
            <w:vAlign w:val="bottom"/>
            <w:hideMark/>
          </w:tcPr>
          <w:p w14:paraId="37E630D3" w14:textId="77777777" w:rsidR="00A05B02" w:rsidRPr="00CA1774" w:rsidRDefault="00A05B02" w:rsidP="009134D4">
            <w:pPr>
              <w:widowControl w:val="0"/>
              <w:spacing w:after="0" w:line="240" w:lineRule="auto"/>
              <w:rPr>
                <w:rFonts w:ascii="Calibri" w:eastAsia="Times New Roman" w:hAnsi="Calibri" w:cs="Calibri"/>
                <w:b/>
                <w:bCs/>
                <w:color w:val="5F735C"/>
                <w:lang w:eastAsia="en-GB"/>
              </w:rPr>
            </w:pPr>
          </w:p>
        </w:tc>
      </w:tr>
      <w:tr w:rsidR="00A05B02" w:rsidRPr="00CA1774" w14:paraId="05576BDA" w14:textId="77777777" w:rsidTr="00EF631B">
        <w:trPr>
          <w:trHeight w:val="288"/>
        </w:trPr>
        <w:tc>
          <w:tcPr>
            <w:tcW w:w="1388" w:type="dxa"/>
            <w:tcBorders>
              <w:top w:val="single" w:sz="4" w:space="0" w:color="FFFFFF"/>
              <w:left w:val="single" w:sz="4" w:space="0" w:color="FFFFFF"/>
              <w:bottom w:val="single" w:sz="4" w:space="0" w:color="FFFFFF"/>
              <w:right w:val="single" w:sz="4" w:space="0" w:color="FFFFFF"/>
            </w:tcBorders>
            <w:shd w:val="clear" w:color="000000" w:fill="49723B"/>
            <w:noWrap/>
            <w:vAlign w:val="bottom"/>
            <w:hideMark/>
          </w:tcPr>
          <w:p w14:paraId="38ECBF53"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w:t>
            </w:r>
          </w:p>
        </w:tc>
        <w:tc>
          <w:tcPr>
            <w:tcW w:w="3137" w:type="dxa"/>
            <w:tcBorders>
              <w:top w:val="single" w:sz="4" w:space="0" w:color="FFFFFF"/>
              <w:left w:val="nil"/>
              <w:bottom w:val="single" w:sz="4" w:space="0" w:color="FFFFFF"/>
              <w:right w:val="single" w:sz="4" w:space="0" w:color="FFFFFF"/>
            </w:tcBorders>
            <w:shd w:val="clear" w:color="000000" w:fill="49723B"/>
            <w:noWrap/>
            <w:vAlign w:val="bottom"/>
            <w:hideMark/>
          </w:tcPr>
          <w:p w14:paraId="6D74B515"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 total tuition fee income</w:t>
            </w:r>
          </w:p>
        </w:tc>
        <w:tc>
          <w:tcPr>
            <w:tcW w:w="3741" w:type="dxa"/>
            <w:tcBorders>
              <w:top w:val="single" w:sz="4" w:space="0" w:color="FFFFFF"/>
              <w:left w:val="nil"/>
              <w:bottom w:val="single" w:sz="4" w:space="0" w:color="FFFFFF"/>
              <w:right w:val="single" w:sz="4" w:space="0" w:color="FFFFFF"/>
            </w:tcBorders>
            <w:shd w:val="clear" w:color="000000" w:fill="49723B"/>
            <w:noWrap/>
            <w:vAlign w:val="bottom"/>
            <w:hideMark/>
          </w:tcPr>
          <w:p w14:paraId="3153CFFB"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 overseas student fee income</w:t>
            </w:r>
          </w:p>
        </w:tc>
        <w:tc>
          <w:tcPr>
            <w:tcW w:w="222" w:type="dxa"/>
            <w:tcBorders>
              <w:top w:val="nil"/>
              <w:left w:val="nil"/>
              <w:bottom w:val="nil"/>
              <w:right w:val="nil"/>
            </w:tcBorders>
            <w:shd w:val="clear" w:color="auto" w:fill="auto"/>
            <w:noWrap/>
            <w:vAlign w:val="bottom"/>
            <w:hideMark/>
          </w:tcPr>
          <w:p w14:paraId="775E92A4"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p>
        </w:tc>
        <w:tc>
          <w:tcPr>
            <w:tcW w:w="222" w:type="dxa"/>
            <w:tcBorders>
              <w:top w:val="nil"/>
              <w:left w:val="nil"/>
              <w:bottom w:val="nil"/>
              <w:right w:val="nil"/>
            </w:tcBorders>
            <w:shd w:val="clear" w:color="auto" w:fill="auto"/>
            <w:noWrap/>
            <w:vAlign w:val="bottom"/>
            <w:hideMark/>
          </w:tcPr>
          <w:p w14:paraId="022CA235"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CA1774" w14:paraId="1AE72A2F" w14:textId="77777777" w:rsidTr="00EF631B">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05D13E34"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0</w:t>
            </w:r>
          </w:p>
        </w:tc>
        <w:tc>
          <w:tcPr>
            <w:tcW w:w="3137" w:type="dxa"/>
            <w:tcBorders>
              <w:top w:val="nil"/>
              <w:left w:val="nil"/>
              <w:bottom w:val="single" w:sz="4" w:space="0" w:color="FFFFFF"/>
              <w:right w:val="single" w:sz="4" w:space="0" w:color="FFFFFF"/>
            </w:tcBorders>
            <w:shd w:val="clear" w:color="000000" w:fill="EFEAE6"/>
            <w:noWrap/>
            <w:vAlign w:val="bottom"/>
            <w:hideMark/>
          </w:tcPr>
          <w:p w14:paraId="474BF73F"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6</w:t>
            </w:r>
          </w:p>
        </w:tc>
        <w:tc>
          <w:tcPr>
            <w:tcW w:w="3741" w:type="dxa"/>
            <w:tcBorders>
              <w:top w:val="nil"/>
              <w:left w:val="nil"/>
              <w:bottom w:val="single" w:sz="4" w:space="0" w:color="FFFFFF"/>
              <w:right w:val="single" w:sz="4" w:space="0" w:color="FFFFFF"/>
            </w:tcBorders>
            <w:shd w:val="clear" w:color="000000" w:fill="EFEAE6"/>
            <w:noWrap/>
            <w:vAlign w:val="bottom"/>
            <w:hideMark/>
          </w:tcPr>
          <w:p w14:paraId="4858F678"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6</w:t>
            </w:r>
          </w:p>
        </w:tc>
        <w:tc>
          <w:tcPr>
            <w:tcW w:w="222" w:type="dxa"/>
            <w:tcBorders>
              <w:top w:val="nil"/>
              <w:left w:val="nil"/>
              <w:bottom w:val="nil"/>
              <w:right w:val="nil"/>
            </w:tcBorders>
            <w:shd w:val="clear" w:color="auto" w:fill="auto"/>
            <w:noWrap/>
            <w:vAlign w:val="bottom"/>
            <w:hideMark/>
          </w:tcPr>
          <w:p w14:paraId="17F43097"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0DF8BFEA"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CA1774" w14:paraId="40897521" w14:textId="77777777" w:rsidTr="00EF631B">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314A0D10"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0.1-0.99</w:t>
            </w:r>
          </w:p>
        </w:tc>
        <w:tc>
          <w:tcPr>
            <w:tcW w:w="3137" w:type="dxa"/>
            <w:tcBorders>
              <w:top w:val="nil"/>
              <w:left w:val="nil"/>
              <w:bottom w:val="single" w:sz="4" w:space="0" w:color="FFFFFF"/>
              <w:right w:val="single" w:sz="4" w:space="0" w:color="FFFFFF"/>
            </w:tcBorders>
            <w:shd w:val="clear" w:color="000000" w:fill="EFEAE6"/>
            <w:noWrap/>
            <w:vAlign w:val="bottom"/>
            <w:hideMark/>
          </w:tcPr>
          <w:p w14:paraId="00E3FD4D"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28</w:t>
            </w:r>
          </w:p>
        </w:tc>
        <w:tc>
          <w:tcPr>
            <w:tcW w:w="3741" w:type="dxa"/>
            <w:tcBorders>
              <w:top w:val="nil"/>
              <w:left w:val="nil"/>
              <w:bottom w:val="single" w:sz="4" w:space="0" w:color="FFFFFF"/>
              <w:right w:val="single" w:sz="4" w:space="0" w:color="FFFFFF"/>
            </w:tcBorders>
            <w:shd w:val="clear" w:color="000000" w:fill="EFEAE6"/>
            <w:noWrap/>
            <w:vAlign w:val="bottom"/>
            <w:hideMark/>
          </w:tcPr>
          <w:p w14:paraId="45792852"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6</w:t>
            </w:r>
          </w:p>
        </w:tc>
        <w:tc>
          <w:tcPr>
            <w:tcW w:w="222" w:type="dxa"/>
            <w:tcBorders>
              <w:top w:val="nil"/>
              <w:left w:val="nil"/>
              <w:bottom w:val="nil"/>
              <w:right w:val="nil"/>
            </w:tcBorders>
            <w:shd w:val="clear" w:color="auto" w:fill="auto"/>
            <w:noWrap/>
            <w:vAlign w:val="bottom"/>
            <w:hideMark/>
          </w:tcPr>
          <w:p w14:paraId="540CB837"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070406E7"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CA1774" w14:paraId="7E2673B0" w14:textId="77777777" w:rsidTr="00EF631B">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745F4914"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1.0-1.99</w:t>
            </w:r>
          </w:p>
        </w:tc>
        <w:tc>
          <w:tcPr>
            <w:tcW w:w="3137" w:type="dxa"/>
            <w:tcBorders>
              <w:top w:val="nil"/>
              <w:left w:val="nil"/>
              <w:bottom w:val="single" w:sz="4" w:space="0" w:color="FFFFFF"/>
              <w:right w:val="single" w:sz="4" w:space="0" w:color="FFFFFF"/>
            </w:tcBorders>
            <w:shd w:val="clear" w:color="000000" w:fill="EFEAE6"/>
            <w:noWrap/>
            <w:vAlign w:val="bottom"/>
            <w:hideMark/>
          </w:tcPr>
          <w:p w14:paraId="06837928"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20</w:t>
            </w:r>
          </w:p>
        </w:tc>
        <w:tc>
          <w:tcPr>
            <w:tcW w:w="3741" w:type="dxa"/>
            <w:tcBorders>
              <w:top w:val="nil"/>
              <w:left w:val="nil"/>
              <w:bottom w:val="single" w:sz="4" w:space="0" w:color="FFFFFF"/>
              <w:right w:val="single" w:sz="4" w:space="0" w:color="FFFFFF"/>
            </w:tcBorders>
            <w:shd w:val="clear" w:color="000000" w:fill="EFEAE6"/>
            <w:noWrap/>
            <w:vAlign w:val="bottom"/>
            <w:hideMark/>
          </w:tcPr>
          <w:p w14:paraId="7CCBB4CA"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5</w:t>
            </w:r>
          </w:p>
        </w:tc>
        <w:tc>
          <w:tcPr>
            <w:tcW w:w="222" w:type="dxa"/>
            <w:tcBorders>
              <w:top w:val="nil"/>
              <w:left w:val="nil"/>
              <w:bottom w:val="nil"/>
              <w:right w:val="nil"/>
            </w:tcBorders>
            <w:shd w:val="clear" w:color="auto" w:fill="auto"/>
            <w:noWrap/>
            <w:vAlign w:val="bottom"/>
            <w:hideMark/>
          </w:tcPr>
          <w:p w14:paraId="2DE3B19B"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1321437B"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CA1774" w14:paraId="4C093958" w14:textId="77777777" w:rsidTr="00EF631B">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24311502"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2.0-4.99</w:t>
            </w:r>
          </w:p>
        </w:tc>
        <w:tc>
          <w:tcPr>
            <w:tcW w:w="3137" w:type="dxa"/>
            <w:tcBorders>
              <w:top w:val="nil"/>
              <w:left w:val="nil"/>
              <w:bottom w:val="single" w:sz="4" w:space="0" w:color="FFFFFF"/>
              <w:right w:val="single" w:sz="4" w:space="0" w:color="FFFFFF"/>
            </w:tcBorders>
            <w:shd w:val="clear" w:color="000000" w:fill="EFEAE6"/>
            <w:noWrap/>
            <w:vAlign w:val="bottom"/>
            <w:hideMark/>
          </w:tcPr>
          <w:p w14:paraId="09FFC120"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24</w:t>
            </w:r>
          </w:p>
        </w:tc>
        <w:tc>
          <w:tcPr>
            <w:tcW w:w="3741" w:type="dxa"/>
            <w:tcBorders>
              <w:top w:val="nil"/>
              <w:left w:val="nil"/>
              <w:bottom w:val="single" w:sz="4" w:space="0" w:color="FFFFFF"/>
              <w:right w:val="single" w:sz="4" w:space="0" w:color="FFFFFF"/>
            </w:tcBorders>
            <w:shd w:val="clear" w:color="000000" w:fill="EFEAE6"/>
            <w:noWrap/>
            <w:vAlign w:val="bottom"/>
            <w:hideMark/>
          </w:tcPr>
          <w:p w14:paraId="33A0A279"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10</w:t>
            </w:r>
          </w:p>
        </w:tc>
        <w:tc>
          <w:tcPr>
            <w:tcW w:w="222" w:type="dxa"/>
            <w:tcBorders>
              <w:top w:val="nil"/>
              <w:left w:val="nil"/>
              <w:bottom w:val="nil"/>
              <w:right w:val="nil"/>
            </w:tcBorders>
            <w:shd w:val="clear" w:color="auto" w:fill="auto"/>
            <w:noWrap/>
            <w:vAlign w:val="bottom"/>
            <w:hideMark/>
          </w:tcPr>
          <w:p w14:paraId="3485B820"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08F577FF"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CA1774" w14:paraId="3AD2E1C8" w14:textId="77777777" w:rsidTr="00EF631B">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18E9B84B"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5.0-9.99</w:t>
            </w:r>
          </w:p>
        </w:tc>
        <w:tc>
          <w:tcPr>
            <w:tcW w:w="3137" w:type="dxa"/>
            <w:tcBorders>
              <w:top w:val="nil"/>
              <w:left w:val="nil"/>
              <w:bottom w:val="single" w:sz="4" w:space="0" w:color="FFFFFF"/>
              <w:right w:val="single" w:sz="4" w:space="0" w:color="FFFFFF"/>
            </w:tcBorders>
            <w:shd w:val="clear" w:color="000000" w:fill="EFEAE6"/>
            <w:noWrap/>
            <w:vAlign w:val="bottom"/>
            <w:hideMark/>
          </w:tcPr>
          <w:p w14:paraId="594FC81F"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14</w:t>
            </w:r>
          </w:p>
        </w:tc>
        <w:tc>
          <w:tcPr>
            <w:tcW w:w="3741" w:type="dxa"/>
            <w:tcBorders>
              <w:top w:val="nil"/>
              <w:left w:val="nil"/>
              <w:bottom w:val="single" w:sz="4" w:space="0" w:color="FFFFFF"/>
              <w:right w:val="single" w:sz="4" w:space="0" w:color="FFFFFF"/>
            </w:tcBorders>
            <w:shd w:val="clear" w:color="000000" w:fill="EFEAE6"/>
            <w:noWrap/>
            <w:vAlign w:val="bottom"/>
            <w:hideMark/>
          </w:tcPr>
          <w:p w14:paraId="64BD33E9"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25</w:t>
            </w:r>
          </w:p>
        </w:tc>
        <w:tc>
          <w:tcPr>
            <w:tcW w:w="222" w:type="dxa"/>
            <w:tcBorders>
              <w:top w:val="nil"/>
              <w:left w:val="nil"/>
              <w:bottom w:val="nil"/>
              <w:right w:val="nil"/>
            </w:tcBorders>
            <w:shd w:val="clear" w:color="auto" w:fill="auto"/>
            <w:noWrap/>
            <w:vAlign w:val="bottom"/>
            <w:hideMark/>
          </w:tcPr>
          <w:p w14:paraId="497D6C01"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6BA52D97"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CA1774" w14:paraId="3587B493" w14:textId="77777777" w:rsidTr="00EF631B">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472C8D19"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10.0--19.99</w:t>
            </w:r>
          </w:p>
        </w:tc>
        <w:tc>
          <w:tcPr>
            <w:tcW w:w="3137" w:type="dxa"/>
            <w:tcBorders>
              <w:top w:val="nil"/>
              <w:left w:val="nil"/>
              <w:bottom w:val="single" w:sz="4" w:space="0" w:color="FFFFFF"/>
              <w:right w:val="single" w:sz="4" w:space="0" w:color="FFFFFF"/>
            </w:tcBorders>
            <w:shd w:val="clear" w:color="000000" w:fill="EFEAE6"/>
            <w:noWrap/>
            <w:vAlign w:val="bottom"/>
            <w:hideMark/>
          </w:tcPr>
          <w:p w14:paraId="132DD0F3"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w:t>
            </w:r>
          </w:p>
        </w:tc>
        <w:tc>
          <w:tcPr>
            <w:tcW w:w="3741" w:type="dxa"/>
            <w:tcBorders>
              <w:top w:val="nil"/>
              <w:left w:val="nil"/>
              <w:bottom w:val="single" w:sz="4" w:space="0" w:color="FFFFFF"/>
              <w:right w:val="single" w:sz="4" w:space="0" w:color="FFFFFF"/>
            </w:tcBorders>
            <w:shd w:val="clear" w:color="000000" w:fill="EFEAE6"/>
            <w:noWrap/>
            <w:vAlign w:val="bottom"/>
            <w:hideMark/>
          </w:tcPr>
          <w:p w14:paraId="5FB5BE16"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20</w:t>
            </w:r>
          </w:p>
        </w:tc>
        <w:tc>
          <w:tcPr>
            <w:tcW w:w="222" w:type="dxa"/>
            <w:tcBorders>
              <w:top w:val="nil"/>
              <w:left w:val="nil"/>
              <w:bottom w:val="nil"/>
              <w:right w:val="nil"/>
            </w:tcBorders>
            <w:shd w:val="clear" w:color="auto" w:fill="auto"/>
            <w:noWrap/>
            <w:vAlign w:val="bottom"/>
            <w:hideMark/>
          </w:tcPr>
          <w:p w14:paraId="5A4A3A97"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6CB6A292"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CA1774" w14:paraId="24026972" w14:textId="77777777" w:rsidTr="00EF631B">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322736DB"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20.0-49.99</w:t>
            </w:r>
          </w:p>
        </w:tc>
        <w:tc>
          <w:tcPr>
            <w:tcW w:w="3137" w:type="dxa"/>
            <w:tcBorders>
              <w:top w:val="nil"/>
              <w:left w:val="nil"/>
              <w:bottom w:val="single" w:sz="4" w:space="0" w:color="FFFFFF"/>
              <w:right w:val="single" w:sz="4" w:space="0" w:color="FFFFFF"/>
            </w:tcBorders>
            <w:shd w:val="clear" w:color="000000" w:fill="EFEAE6"/>
            <w:noWrap/>
            <w:vAlign w:val="bottom"/>
            <w:hideMark/>
          </w:tcPr>
          <w:p w14:paraId="25704607"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6</w:t>
            </w:r>
          </w:p>
        </w:tc>
        <w:tc>
          <w:tcPr>
            <w:tcW w:w="3741" w:type="dxa"/>
            <w:tcBorders>
              <w:top w:val="nil"/>
              <w:left w:val="nil"/>
              <w:bottom w:val="single" w:sz="4" w:space="0" w:color="FFFFFF"/>
              <w:right w:val="single" w:sz="4" w:space="0" w:color="FFFFFF"/>
            </w:tcBorders>
            <w:shd w:val="clear" w:color="000000" w:fill="EFEAE6"/>
            <w:noWrap/>
            <w:vAlign w:val="bottom"/>
            <w:hideMark/>
          </w:tcPr>
          <w:p w14:paraId="5F3B458B"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13</w:t>
            </w:r>
          </w:p>
        </w:tc>
        <w:tc>
          <w:tcPr>
            <w:tcW w:w="222" w:type="dxa"/>
            <w:tcBorders>
              <w:top w:val="nil"/>
              <w:left w:val="nil"/>
              <w:bottom w:val="nil"/>
              <w:right w:val="nil"/>
            </w:tcBorders>
            <w:shd w:val="clear" w:color="auto" w:fill="auto"/>
            <w:noWrap/>
            <w:vAlign w:val="bottom"/>
            <w:hideMark/>
          </w:tcPr>
          <w:p w14:paraId="7FE7DEE0"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7D5E4177"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CA1774" w14:paraId="2B619575" w14:textId="77777777" w:rsidTr="00EF631B">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0B93ED98"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50.0-99.99</w:t>
            </w:r>
          </w:p>
        </w:tc>
        <w:tc>
          <w:tcPr>
            <w:tcW w:w="3137" w:type="dxa"/>
            <w:tcBorders>
              <w:top w:val="nil"/>
              <w:left w:val="nil"/>
              <w:bottom w:val="single" w:sz="4" w:space="0" w:color="FFFFFF"/>
              <w:right w:val="single" w:sz="4" w:space="0" w:color="FFFFFF"/>
            </w:tcBorders>
            <w:shd w:val="clear" w:color="000000" w:fill="EFEAE6"/>
            <w:noWrap/>
            <w:vAlign w:val="bottom"/>
            <w:hideMark/>
          </w:tcPr>
          <w:p w14:paraId="450E9604"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w:t>
            </w:r>
          </w:p>
        </w:tc>
        <w:tc>
          <w:tcPr>
            <w:tcW w:w="3741" w:type="dxa"/>
            <w:tcBorders>
              <w:top w:val="nil"/>
              <w:left w:val="nil"/>
              <w:bottom w:val="single" w:sz="4" w:space="0" w:color="FFFFFF"/>
              <w:right w:val="single" w:sz="4" w:space="0" w:color="FFFFFF"/>
            </w:tcBorders>
            <w:shd w:val="clear" w:color="000000" w:fill="EFEAE6"/>
            <w:noWrap/>
            <w:vAlign w:val="bottom"/>
            <w:hideMark/>
          </w:tcPr>
          <w:p w14:paraId="5B9E0153"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10</w:t>
            </w:r>
          </w:p>
        </w:tc>
        <w:tc>
          <w:tcPr>
            <w:tcW w:w="222" w:type="dxa"/>
            <w:tcBorders>
              <w:top w:val="nil"/>
              <w:left w:val="nil"/>
              <w:bottom w:val="nil"/>
              <w:right w:val="nil"/>
            </w:tcBorders>
            <w:shd w:val="clear" w:color="auto" w:fill="auto"/>
            <w:noWrap/>
            <w:vAlign w:val="bottom"/>
            <w:hideMark/>
          </w:tcPr>
          <w:p w14:paraId="57A5C03E"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0CCCE45E"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CA1774" w14:paraId="34BD5BC8" w14:textId="77777777" w:rsidTr="00EF631B">
        <w:trPr>
          <w:trHeight w:val="288"/>
        </w:trPr>
        <w:tc>
          <w:tcPr>
            <w:tcW w:w="1388" w:type="dxa"/>
            <w:tcBorders>
              <w:top w:val="nil"/>
              <w:left w:val="single" w:sz="4" w:space="0" w:color="FFFFFF"/>
              <w:bottom w:val="single" w:sz="4" w:space="0" w:color="FFFFFF"/>
              <w:right w:val="single" w:sz="4" w:space="0" w:color="FFFFFF"/>
            </w:tcBorders>
            <w:shd w:val="clear" w:color="000000" w:fill="49723B"/>
            <w:noWrap/>
            <w:vAlign w:val="bottom"/>
            <w:hideMark/>
          </w:tcPr>
          <w:p w14:paraId="59AF82E4" w14:textId="77777777" w:rsidR="00A05B02" w:rsidRPr="00CA1774" w:rsidRDefault="00A05B02" w:rsidP="009134D4">
            <w:pPr>
              <w:widowControl w:val="0"/>
              <w:spacing w:after="0" w:line="240" w:lineRule="auto"/>
              <w:jc w:val="center"/>
              <w:rPr>
                <w:rFonts w:ascii="Calibri" w:eastAsia="Times New Roman" w:hAnsi="Calibri" w:cs="Calibri"/>
                <w:b/>
                <w:bCs/>
                <w:color w:val="FFFFFF"/>
                <w:lang w:eastAsia="en-GB"/>
              </w:rPr>
            </w:pPr>
            <w:r w:rsidRPr="00CA1774">
              <w:rPr>
                <w:rFonts w:ascii="Calibri" w:eastAsia="Times New Roman" w:hAnsi="Calibri" w:cs="Calibri"/>
                <w:b/>
                <w:bCs/>
                <w:color w:val="FFFFFF"/>
                <w:lang w:eastAsia="en-GB"/>
              </w:rPr>
              <w:t>100&gt;</w:t>
            </w:r>
          </w:p>
        </w:tc>
        <w:tc>
          <w:tcPr>
            <w:tcW w:w="3137" w:type="dxa"/>
            <w:tcBorders>
              <w:top w:val="nil"/>
              <w:left w:val="nil"/>
              <w:bottom w:val="single" w:sz="4" w:space="0" w:color="FFFFFF"/>
              <w:right w:val="single" w:sz="4" w:space="0" w:color="FFFFFF"/>
            </w:tcBorders>
            <w:shd w:val="clear" w:color="000000" w:fill="EFEAE6"/>
            <w:noWrap/>
            <w:vAlign w:val="bottom"/>
            <w:hideMark/>
          </w:tcPr>
          <w:p w14:paraId="3D3D596B"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0</w:t>
            </w:r>
          </w:p>
        </w:tc>
        <w:tc>
          <w:tcPr>
            <w:tcW w:w="3741" w:type="dxa"/>
            <w:tcBorders>
              <w:top w:val="nil"/>
              <w:left w:val="nil"/>
              <w:bottom w:val="single" w:sz="4" w:space="0" w:color="FFFFFF"/>
              <w:right w:val="single" w:sz="4" w:space="0" w:color="FFFFFF"/>
            </w:tcBorders>
            <w:shd w:val="clear" w:color="000000" w:fill="EFEAE6"/>
            <w:noWrap/>
            <w:vAlign w:val="bottom"/>
            <w:hideMark/>
          </w:tcPr>
          <w:p w14:paraId="759C299F"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r w:rsidRPr="00CA1774">
              <w:rPr>
                <w:rFonts w:ascii="Calibri" w:eastAsia="Times New Roman" w:hAnsi="Calibri" w:cs="Calibri"/>
                <w:color w:val="000000"/>
                <w:lang w:eastAsia="en-GB"/>
              </w:rPr>
              <w:t>4</w:t>
            </w:r>
          </w:p>
        </w:tc>
        <w:tc>
          <w:tcPr>
            <w:tcW w:w="222" w:type="dxa"/>
            <w:tcBorders>
              <w:top w:val="nil"/>
              <w:left w:val="nil"/>
              <w:bottom w:val="nil"/>
              <w:right w:val="nil"/>
            </w:tcBorders>
            <w:shd w:val="clear" w:color="auto" w:fill="auto"/>
            <w:noWrap/>
            <w:vAlign w:val="bottom"/>
            <w:hideMark/>
          </w:tcPr>
          <w:p w14:paraId="02F5AB1B" w14:textId="77777777" w:rsidR="00A05B02" w:rsidRPr="00CA1774" w:rsidRDefault="00A05B02" w:rsidP="009134D4">
            <w:pPr>
              <w:widowControl w:val="0"/>
              <w:spacing w:after="0" w:line="240" w:lineRule="auto"/>
              <w:jc w:val="center"/>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14:paraId="25B1E57B"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r w:rsidR="00A05B02" w:rsidRPr="00CA1774" w14:paraId="1BBF9FDB" w14:textId="77777777" w:rsidTr="00EF631B">
        <w:trPr>
          <w:trHeight w:val="288"/>
        </w:trPr>
        <w:tc>
          <w:tcPr>
            <w:tcW w:w="8266" w:type="dxa"/>
            <w:gridSpan w:val="3"/>
            <w:tcBorders>
              <w:top w:val="nil"/>
              <w:left w:val="nil"/>
              <w:bottom w:val="nil"/>
              <w:right w:val="nil"/>
            </w:tcBorders>
            <w:shd w:val="clear" w:color="auto" w:fill="auto"/>
            <w:noWrap/>
            <w:vAlign w:val="bottom"/>
            <w:hideMark/>
          </w:tcPr>
          <w:p w14:paraId="5F76C5B2" w14:textId="77777777" w:rsidR="00A05B02" w:rsidRPr="00CA1774" w:rsidRDefault="00A05B02" w:rsidP="009134D4">
            <w:pPr>
              <w:widowControl w:val="0"/>
              <w:spacing w:after="0" w:line="240" w:lineRule="auto"/>
              <w:rPr>
                <w:rFonts w:ascii="Calibri" w:eastAsia="Times New Roman" w:hAnsi="Calibri" w:cs="Calibri"/>
                <w:b/>
                <w:bCs/>
                <w:color w:val="5F735C"/>
                <w:lang w:eastAsia="en-GB"/>
              </w:rPr>
            </w:pPr>
            <w:r w:rsidRPr="00CA1774">
              <w:rPr>
                <w:rFonts w:ascii="Calibri" w:eastAsia="Times New Roman" w:hAnsi="Calibri" w:cs="Calibri"/>
                <w:b/>
                <w:bCs/>
                <w:color w:val="5F735C"/>
                <w:lang w:eastAsia="en-GB"/>
              </w:rPr>
              <w:t>Source: HESA data, 2015/16 university survey</w:t>
            </w:r>
          </w:p>
        </w:tc>
        <w:tc>
          <w:tcPr>
            <w:tcW w:w="222" w:type="dxa"/>
            <w:tcBorders>
              <w:top w:val="nil"/>
              <w:left w:val="nil"/>
              <w:bottom w:val="nil"/>
              <w:right w:val="nil"/>
            </w:tcBorders>
            <w:shd w:val="clear" w:color="auto" w:fill="auto"/>
            <w:noWrap/>
            <w:vAlign w:val="bottom"/>
            <w:hideMark/>
          </w:tcPr>
          <w:p w14:paraId="6A8B26C9" w14:textId="77777777" w:rsidR="00A05B02" w:rsidRPr="00CA1774" w:rsidRDefault="00A05B02" w:rsidP="009134D4">
            <w:pPr>
              <w:widowControl w:val="0"/>
              <w:spacing w:after="0" w:line="240" w:lineRule="auto"/>
              <w:rPr>
                <w:rFonts w:ascii="Calibri" w:eastAsia="Times New Roman" w:hAnsi="Calibri" w:cs="Calibri"/>
                <w:b/>
                <w:bCs/>
                <w:color w:val="5F735C"/>
                <w:lang w:eastAsia="en-GB"/>
              </w:rPr>
            </w:pPr>
          </w:p>
        </w:tc>
        <w:tc>
          <w:tcPr>
            <w:tcW w:w="222" w:type="dxa"/>
            <w:tcBorders>
              <w:top w:val="nil"/>
              <w:left w:val="nil"/>
              <w:bottom w:val="nil"/>
              <w:right w:val="nil"/>
            </w:tcBorders>
            <w:shd w:val="clear" w:color="auto" w:fill="auto"/>
            <w:noWrap/>
            <w:vAlign w:val="bottom"/>
            <w:hideMark/>
          </w:tcPr>
          <w:p w14:paraId="775BE726" w14:textId="77777777" w:rsidR="00A05B02" w:rsidRPr="00CA1774" w:rsidRDefault="00A05B02" w:rsidP="009134D4">
            <w:pPr>
              <w:widowControl w:val="0"/>
              <w:spacing w:after="0" w:line="240" w:lineRule="auto"/>
              <w:rPr>
                <w:rFonts w:ascii="Times New Roman" w:eastAsia="Times New Roman" w:hAnsi="Times New Roman" w:cs="Times New Roman"/>
                <w:sz w:val="20"/>
                <w:szCs w:val="20"/>
                <w:lang w:eastAsia="en-GB"/>
              </w:rPr>
            </w:pPr>
          </w:p>
        </w:tc>
      </w:tr>
    </w:tbl>
    <w:p w14:paraId="1E035736" w14:textId="58E5FC9F" w:rsidR="00A05B02" w:rsidRDefault="00A05B02" w:rsidP="00A05B02">
      <w:pPr>
        <w:widowControl w:val="0"/>
        <w:rPr>
          <w:b/>
          <w:sz w:val="28"/>
          <w:szCs w:val="28"/>
        </w:rPr>
      </w:pPr>
    </w:p>
    <w:p w14:paraId="0A194D4F" w14:textId="07B7989C" w:rsidR="00A05B02" w:rsidRDefault="00A05B02" w:rsidP="00A05B02">
      <w:pPr>
        <w:widowControl w:val="0"/>
        <w:rPr>
          <w:b/>
          <w:sz w:val="28"/>
          <w:szCs w:val="28"/>
        </w:rPr>
      </w:pPr>
    </w:p>
    <w:p w14:paraId="44968D78" w14:textId="5EBE1CF8" w:rsidR="00A05B02" w:rsidRDefault="00A05B02" w:rsidP="00A05B02">
      <w:pPr>
        <w:spacing w:after="160" w:line="259" w:lineRule="auto"/>
        <w:rPr>
          <w:b/>
          <w:sz w:val="28"/>
          <w:szCs w:val="28"/>
        </w:rPr>
      </w:pPr>
      <w:r>
        <w:rPr>
          <w:b/>
          <w:sz w:val="28"/>
          <w:szCs w:val="28"/>
        </w:rPr>
        <w:br w:type="page"/>
      </w:r>
    </w:p>
    <w:p w14:paraId="7FD52E3B" w14:textId="6879A6DD" w:rsidR="00A05B02" w:rsidRPr="006A48C2" w:rsidRDefault="00A05B02" w:rsidP="00A05B02">
      <w:pPr>
        <w:widowControl w:val="0"/>
        <w:rPr>
          <w:b/>
          <w:sz w:val="28"/>
          <w:szCs w:val="28"/>
        </w:rPr>
      </w:pPr>
      <w:r w:rsidRPr="006A48C2">
        <w:rPr>
          <w:b/>
          <w:sz w:val="28"/>
          <w:szCs w:val="28"/>
        </w:rPr>
        <w:lastRenderedPageBreak/>
        <w:t>FIGURES</w:t>
      </w:r>
    </w:p>
    <w:tbl>
      <w:tblPr>
        <w:tblW w:w="13958" w:type="dxa"/>
        <w:tblLook w:val="04A0" w:firstRow="1" w:lastRow="0" w:firstColumn="1" w:lastColumn="0" w:noHBand="0" w:noVBand="1"/>
      </w:tblPr>
      <w:tblGrid>
        <w:gridCol w:w="7691"/>
        <w:gridCol w:w="1091"/>
        <w:gridCol w:w="1489"/>
        <w:gridCol w:w="1240"/>
        <w:gridCol w:w="1588"/>
        <w:gridCol w:w="859"/>
      </w:tblGrid>
      <w:tr w:rsidR="00A05B02" w:rsidRPr="00245BCA" w14:paraId="012E7597" w14:textId="77777777" w:rsidTr="009134D4">
        <w:trPr>
          <w:trHeight w:val="288"/>
        </w:trPr>
        <w:tc>
          <w:tcPr>
            <w:tcW w:w="13958" w:type="dxa"/>
            <w:gridSpan w:val="6"/>
            <w:tcBorders>
              <w:top w:val="nil"/>
              <w:left w:val="nil"/>
              <w:bottom w:val="nil"/>
              <w:right w:val="nil"/>
            </w:tcBorders>
            <w:shd w:val="clear" w:color="auto" w:fill="auto"/>
            <w:noWrap/>
            <w:vAlign w:val="bottom"/>
            <w:hideMark/>
          </w:tcPr>
          <w:p w14:paraId="1110EB96" w14:textId="52FC37EC" w:rsidR="00A05B02" w:rsidRDefault="00A05B02" w:rsidP="009134D4">
            <w:pPr>
              <w:widowControl w:val="0"/>
              <w:rPr>
                <w:sz w:val="28"/>
                <w:szCs w:val="28"/>
              </w:rPr>
            </w:pPr>
          </w:p>
          <w:p w14:paraId="512A9C54" w14:textId="77777777" w:rsidR="00A05B02" w:rsidRDefault="00A05B02" w:rsidP="009134D4">
            <w:pPr>
              <w:widowControl w:val="0"/>
              <w:rPr>
                <w:sz w:val="28"/>
                <w:szCs w:val="28"/>
              </w:rPr>
            </w:pPr>
            <w:r>
              <w:rPr>
                <w:noProof/>
                <w:lang w:eastAsia="en-GB"/>
              </w:rPr>
              <w:drawing>
                <wp:inline distT="0" distB="0" distL="0" distR="0" wp14:anchorId="72CD0F8F" wp14:editId="4A761672">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BC1D40" w14:textId="30FA399E" w:rsidR="00A05B02" w:rsidRDefault="00A05B02" w:rsidP="009134D4">
            <w:pPr>
              <w:widowControl w:val="0"/>
              <w:rPr>
                <w:sz w:val="28"/>
                <w:szCs w:val="28"/>
              </w:rPr>
            </w:pPr>
          </w:p>
          <w:p w14:paraId="4DBB1F2E" w14:textId="0A8136EC" w:rsidR="00A05B02" w:rsidRDefault="00A05B02" w:rsidP="009134D4">
            <w:pPr>
              <w:widowControl w:val="0"/>
              <w:rPr>
                <w:sz w:val="28"/>
                <w:szCs w:val="28"/>
              </w:rPr>
            </w:pPr>
          </w:p>
          <w:p w14:paraId="1EA7F603" w14:textId="19DFD266" w:rsidR="00A05B02" w:rsidRDefault="00A05B02" w:rsidP="009134D4">
            <w:pPr>
              <w:widowControl w:val="0"/>
              <w:rPr>
                <w:sz w:val="28"/>
                <w:szCs w:val="28"/>
              </w:rPr>
            </w:pPr>
          </w:p>
          <w:p w14:paraId="2C95A3D0" w14:textId="77777777" w:rsidR="00A05B02" w:rsidRDefault="00A05B02" w:rsidP="009134D4">
            <w:pPr>
              <w:widowControl w:val="0"/>
              <w:rPr>
                <w:sz w:val="28"/>
                <w:szCs w:val="28"/>
              </w:rPr>
            </w:pPr>
            <w:r w:rsidRPr="005B3610">
              <w:rPr>
                <w:rFonts w:cstheme="minorHAnsi"/>
                <w:noProof/>
                <w:sz w:val="28"/>
                <w:szCs w:val="28"/>
                <w:lang w:eastAsia="en-GB"/>
              </w:rPr>
              <w:lastRenderedPageBreak/>
              <w:drawing>
                <wp:inline distT="0" distB="0" distL="0" distR="0" wp14:anchorId="2432BD87" wp14:editId="01A309CF">
                  <wp:extent cx="4572000" cy="2897257"/>
                  <wp:effectExtent l="0" t="0" r="0" b="17780"/>
                  <wp:docPr id="4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BA2A6C" w14:textId="77777777" w:rsidR="00A05B02" w:rsidRDefault="00A05B02" w:rsidP="009134D4">
            <w:pPr>
              <w:widowControl w:val="0"/>
              <w:rPr>
                <w:sz w:val="28"/>
                <w:szCs w:val="28"/>
              </w:rPr>
            </w:pPr>
          </w:p>
          <w:p w14:paraId="17FA2C21" w14:textId="77777777" w:rsidR="00A05B02" w:rsidRDefault="00A05B02" w:rsidP="009134D4">
            <w:pPr>
              <w:widowControl w:val="0"/>
              <w:rPr>
                <w:sz w:val="28"/>
                <w:szCs w:val="28"/>
              </w:rPr>
            </w:pPr>
            <w:r>
              <w:rPr>
                <w:noProof/>
                <w:lang w:eastAsia="en-GB"/>
              </w:rPr>
              <w:lastRenderedPageBreak/>
              <w:drawing>
                <wp:inline distT="0" distB="0" distL="0" distR="0" wp14:anchorId="3E1DF73D" wp14:editId="17654649">
                  <wp:extent cx="9131300" cy="3733800"/>
                  <wp:effectExtent l="0" t="0" r="12700" b="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7BBEFC" w14:textId="3A974C4D" w:rsidR="00A05B02" w:rsidRDefault="00A05B02" w:rsidP="009134D4">
            <w:pPr>
              <w:widowControl w:val="0"/>
              <w:rPr>
                <w:sz w:val="28"/>
                <w:szCs w:val="28"/>
              </w:rPr>
            </w:pPr>
          </w:p>
          <w:p w14:paraId="6D5AB0F2" w14:textId="77777777" w:rsidR="00A05B02" w:rsidRDefault="00A05B02" w:rsidP="009134D4">
            <w:pPr>
              <w:widowControl w:val="0"/>
              <w:rPr>
                <w:sz w:val="28"/>
                <w:szCs w:val="28"/>
              </w:rPr>
            </w:pPr>
          </w:p>
          <w:p w14:paraId="4B43273A" w14:textId="77777777" w:rsidR="00A05B02" w:rsidRDefault="00A05B02" w:rsidP="009134D4">
            <w:pPr>
              <w:widowControl w:val="0"/>
              <w:rPr>
                <w:sz w:val="28"/>
                <w:szCs w:val="28"/>
              </w:rPr>
            </w:pPr>
          </w:p>
          <w:p w14:paraId="6A44CAE3" w14:textId="5956F71E" w:rsidR="00A05B02" w:rsidRDefault="00A05B02" w:rsidP="009134D4">
            <w:pPr>
              <w:widowControl w:val="0"/>
              <w:rPr>
                <w:sz w:val="28"/>
                <w:szCs w:val="28"/>
              </w:rPr>
            </w:pPr>
          </w:p>
          <w:p w14:paraId="6C28591A" w14:textId="77777777" w:rsidR="00A05B02" w:rsidRDefault="00A05B02" w:rsidP="009134D4">
            <w:pPr>
              <w:widowControl w:val="0"/>
              <w:rPr>
                <w:sz w:val="28"/>
                <w:szCs w:val="28"/>
              </w:rPr>
            </w:pPr>
            <w:r w:rsidRPr="008B38BC">
              <w:rPr>
                <w:rFonts w:cstheme="minorHAnsi"/>
                <w:noProof/>
                <w:sz w:val="28"/>
                <w:szCs w:val="28"/>
                <w:lang w:eastAsia="en-GB"/>
              </w:rPr>
              <w:lastRenderedPageBreak/>
              <w:drawing>
                <wp:inline distT="0" distB="0" distL="0" distR="0" wp14:anchorId="15E63D17" wp14:editId="4460B5B2">
                  <wp:extent cx="5555032" cy="3081402"/>
                  <wp:effectExtent l="0" t="0" r="7620" b="5080"/>
                  <wp:docPr id="48"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EF3733" w14:textId="02EDB0B3" w:rsidR="00A05B02" w:rsidRDefault="00A05B02" w:rsidP="009134D4">
            <w:pPr>
              <w:widowControl w:val="0"/>
              <w:rPr>
                <w:sz w:val="28"/>
                <w:szCs w:val="28"/>
              </w:rPr>
            </w:pPr>
          </w:p>
          <w:p w14:paraId="0E258A01" w14:textId="77777777" w:rsidR="00A05B02" w:rsidRDefault="00A05B02" w:rsidP="009134D4">
            <w:pPr>
              <w:widowControl w:val="0"/>
              <w:rPr>
                <w:sz w:val="28"/>
                <w:szCs w:val="28"/>
              </w:rPr>
            </w:pPr>
          </w:p>
          <w:p w14:paraId="512C001C" w14:textId="77777777" w:rsidR="00A05B02" w:rsidRDefault="00A05B02" w:rsidP="009134D4">
            <w:pPr>
              <w:widowControl w:val="0"/>
              <w:rPr>
                <w:sz w:val="28"/>
                <w:szCs w:val="28"/>
              </w:rPr>
            </w:pPr>
            <w:r w:rsidRPr="008B38BC">
              <w:rPr>
                <w:rFonts w:cstheme="minorHAnsi"/>
                <w:noProof/>
                <w:sz w:val="28"/>
                <w:szCs w:val="28"/>
                <w:lang w:eastAsia="en-GB"/>
              </w:rPr>
              <w:lastRenderedPageBreak/>
              <w:drawing>
                <wp:inline distT="0" distB="0" distL="0" distR="0" wp14:anchorId="599BBEC6" wp14:editId="7DECE050">
                  <wp:extent cx="5617662" cy="3031299"/>
                  <wp:effectExtent l="0" t="0" r="2540" b="17145"/>
                  <wp:docPr id="50"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0D1168" w14:textId="67386BB9" w:rsidR="00A05B02" w:rsidRDefault="00A05B02" w:rsidP="009134D4">
            <w:pPr>
              <w:widowControl w:val="0"/>
              <w:rPr>
                <w:sz w:val="28"/>
                <w:szCs w:val="28"/>
              </w:rPr>
            </w:pPr>
          </w:p>
          <w:p w14:paraId="30619774" w14:textId="77777777" w:rsidR="00A05B02" w:rsidRDefault="00A05B02" w:rsidP="009134D4">
            <w:pPr>
              <w:widowControl w:val="0"/>
              <w:rPr>
                <w:sz w:val="28"/>
                <w:szCs w:val="28"/>
              </w:rPr>
            </w:pPr>
          </w:p>
          <w:p w14:paraId="2AFBFA5C" w14:textId="7A898D04" w:rsidR="00A05B02" w:rsidRDefault="00A05B02" w:rsidP="009134D4">
            <w:pPr>
              <w:widowControl w:val="0"/>
              <w:rPr>
                <w:sz w:val="28"/>
                <w:szCs w:val="28"/>
              </w:rPr>
            </w:pPr>
          </w:p>
          <w:p w14:paraId="1FC05E43" w14:textId="77777777" w:rsidR="00A05B02" w:rsidRDefault="00A05B02" w:rsidP="009134D4">
            <w:pPr>
              <w:widowControl w:val="0"/>
              <w:rPr>
                <w:sz w:val="28"/>
                <w:szCs w:val="28"/>
              </w:rPr>
            </w:pPr>
          </w:p>
          <w:p w14:paraId="31ECE4B7" w14:textId="3A6D131C" w:rsidR="00A05B02" w:rsidRDefault="00A05B02" w:rsidP="009134D4">
            <w:pPr>
              <w:widowControl w:val="0"/>
              <w:rPr>
                <w:sz w:val="28"/>
                <w:szCs w:val="28"/>
              </w:rPr>
            </w:pPr>
          </w:p>
          <w:p w14:paraId="0582DE7C" w14:textId="089DEF33" w:rsidR="00A05B02" w:rsidRDefault="00A05B02" w:rsidP="009134D4">
            <w:pPr>
              <w:widowControl w:val="0"/>
              <w:rPr>
                <w:sz w:val="28"/>
                <w:szCs w:val="28"/>
              </w:rPr>
            </w:pPr>
          </w:p>
          <w:p w14:paraId="2DEE3B30" w14:textId="27617B1A" w:rsidR="00A05B02" w:rsidRDefault="00A05B02" w:rsidP="009134D4">
            <w:pPr>
              <w:widowControl w:val="0"/>
              <w:rPr>
                <w:sz w:val="28"/>
                <w:szCs w:val="28"/>
              </w:rPr>
            </w:pPr>
          </w:p>
          <w:p w14:paraId="61BC660A" w14:textId="13A3866C" w:rsidR="00A05B02" w:rsidRDefault="00A05B02" w:rsidP="009134D4">
            <w:pPr>
              <w:widowControl w:val="0"/>
              <w:rPr>
                <w:sz w:val="28"/>
                <w:szCs w:val="28"/>
              </w:rPr>
            </w:pPr>
          </w:p>
          <w:p w14:paraId="03688939" w14:textId="5C64F4B8" w:rsidR="00A05B02" w:rsidRDefault="00A05B02" w:rsidP="009134D4">
            <w:pPr>
              <w:widowControl w:val="0"/>
              <w:rPr>
                <w:sz w:val="28"/>
                <w:szCs w:val="28"/>
              </w:rPr>
            </w:pPr>
          </w:p>
          <w:tbl>
            <w:tblPr>
              <w:tblW w:w="6010" w:type="dxa"/>
              <w:tblLook w:val="04A0" w:firstRow="1" w:lastRow="0" w:firstColumn="1" w:lastColumn="0" w:noHBand="0" w:noVBand="1"/>
            </w:tblPr>
            <w:tblGrid>
              <w:gridCol w:w="6010"/>
            </w:tblGrid>
            <w:tr w:rsidR="00A05B02" w:rsidRPr="00245BCA" w14:paraId="558E9967" w14:textId="77777777" w:rsidTr="0053570D">
              <w:trPr>
                <w:trHeight w:val="288"/>
              </w:trPr>
              <w:tc>
                <w:tcPr>
                  <w:tcW w:w="6010" w:type="dxa"/>
                  <w:tcBorders>
                    <w:top w:val="nil"/>
                    <w:left w:val="nil"/>
                    <w:bottom w:val="nil"/>
                    <w:right w:val="nil"/>
                  </w:tcBorders>
                  <w:shd w:val="clear" w:color="auto" w:fill="auto"/>
                  <w:noWrap/>
                  <w:vAlign w:val="bottom"/>
                </w:tcPr>
                <w:p w14:paraId="4485A16D" w14:textId="05B369D1" w:rsidR="00A05B02" w:rsidRPr="00245BCA" w:rsidRDefault="00A05B02" w:rsidP="009134D4">
                  <w:pPr>
                    <w:widowControl w:val="0"/>
                    <w:spacing w:after="0" w:line="240" w:lineRule="auto"/>
                    <w:rPr>
                      <w:rFonts w:ascii="Calibri" w:eastAsia="Times New Roman" w:hAnsi="Calibri" w:cs="Calibri"/>
                      <w:color w:val="000000"/>
                      <w:sz w:val="28"/>
                      <w:szCs w:val="28"/>
                      <w:lang w:eastAsia="en-GB"/>
                    </w:rPr>
                  </w:pPr>
                </w:p>
              </w:tc>
            </w:tr>
            <w:tr w:rsidR="0053570D" w:rsidRPr="00245BCA" w14:paraId="6C7954B4" w14:textId="77777777" w:rsidTr="0053570D">
              <w:trPr>
                <w:trHeight w:val="288"/>
              </w:trPr>
              <w:tc>
                <w:tcPr>
                  <w:tcW w:w="6010" w:type="dxa"/>
                  <w:tcBorders>
                    <w:top w:val="nil"/>
                    <w:left w:val="nil"/>
                    <w:bottom w:val="nil"/>
                    <w:right w:val="nil"/>
                  </w:tcBorders>
                  <w:shd w:val="clear" w:color="auto" w:fill="auto"/>
                  <w:noWrap/>
                  <w:vAlign w:val="bottom"/>
                </w:tcPr>
                <w:p w14:paraId="794879E6" w14:textId="77777777" w:rsidR="0053570D" w:rsidRPr="00245BCA" w:rsidRDefault="0053570D" w:rsidP="009134D4">
                  <w:pPr>
                    <w:widowControl w:val="0"/>
                    <w:spacing w:after="0" w:line="240" w:lineRule="auto"/>
                    <w:rPr>
                      <w:rFonts w:ascii="Calibri" w:eastAsia="Times New Roman" w:hAnsi="Calibri" w:cs="Calibri"/>
                      <w:color w:val="000000"/>
                      <w:sz w:val="28"/>
                      <w:szCs w:val="28"/>
                      <w:lang w:eastAsia="en-GB"/>
                    </w:rPr>
                  </w:pPr>
                </w:p>
              </w:tc>
            </w:tr>
            <w:tr w:rsidR="0053570D" w:rsidRPr="00245BCA" w14:paraId="5375C1A3" w14:textId="77777777" w:rsidTr="0053570D">
              <w:trPr>
                <w:trHeight w:val="288"/>
              </w:trPr>
              <w:tc>
                <w:tcPr>
                  <w:tcW w:w="6010" w:type="dxa"/>
                  <w:tcBorders>
                    <w:top w:val="nil"/>
                    <w:left w:val="nil"/>
                    <w:bottom w:val="nil"/>
                    <w:right w:val="nil"/>
                  </w:tcBorders>
                  <w:shd w:val="clear" w:color="auto" w:fill="auto"/>
                  <w:noWrap/>
                  <w:vAlign w:val="bottom"/>
                </w:tcPr>
                <w:p w14:paraId="0959C20A" w14:textId="77777777" w:rsidR="0053570D" w:rsidRPr="00245BCA" w:rsidRDefault="0053570D" w:rsidP="00D73ED3">
                  <w:pPr>
                    <w:widowControl w:val="0"/>
                    <w:spacing w:after="0" w:line="240" w:lineRule="auto"/>
                    <w:rPr>
                      <w:rFonts w:ascii="Calibri" w:eastAsia="Times New Roman" w:hAnsi="Calibri" w:cs="Calibri"/>
                      <w:color w:val="000000"/>
                      <w:sz w:val="28"/>
                      <w:szCs w:val="28"/>
                      <w:lang w:eastAsia="en-GB"/>
                    </w:rPr>
                  </w:pPr>
                </w:p>
              </w:tc>
            </w:tr>
          </w:tbl>
          <w:p w14:paraId="4814685D" w14:textId="77777777" w:rsidR="00A05B02" w:rsidRPr="00245BCA" w:rsidRDefault="00A05B02" w:rsidP="009134D4">
            <w:pPr>
              <w:widowControl w:val="0"/>
              <w:tabs>
                <w:tab w:val="left" w:pos="3690"/>
              </w:tabs>
              <w:jc w:val="both"/>
              <w:rPr>
                <w:rFonts w:ascii="Arial" w:hAnsi="Arial" w:cs="Arial"/>
                <w:sz w:val="28"/>
                <w:szCs w:val="28"/>
              </w:rPr>
            </w:pPr>
          </w:p>
          <w:p w14:paraId="51F4827D" w14:textId="77777777" w:rsidR="00A05B02" w:rsidRPr="00245BCA" w:rsidRDefault="00A05B02" w:rsidP="009134D4">
            <w:pPr>
              <w:widowControl w:val="0"/>
              <w:tabs>
                <w:tab w:val="left" w:pos="3690"/>
              </w:tabs>
              <w:jc w:val="both"/>
              <w:rPr>
                <w:rFonts w:ascii="Arial" w:hAnsi="Arial" w:cs="Arial"/>
                <w:sz w:val="28"/>
                <w:szCs w:val="28"/>
              </w:rPr>
            </w:pPr>
          </w:p>
          <w:p w14:paraId="2C3ED2EC" w14:textId="5FF5FE0F" w:rsidR="00A05B02" w:rsidRPr="00245BCA" w:rsidRDefault="00A05B02" w:rsidP="00DC1667">
            <w:pPr>
              <w:widowControl w:val="0"/>
              <w:spacing w:after="0" w:line="240" w:lineRule="auto"/>
              <w:rPr>
                <w:rFonts w:ascii="Calibri" w:eastAsia="Times New Roman" w:hAnsi="Calibri" w:cs="Calibri"/>
                <w:color w:val="000000"/>
                <w:sz w:val="28"/>
                <w:szCs w:val="28"/>
                <w:lang w:eastAsia="en-GB"/>
              </w:rPr>
            </w:pPr>
          </w:p>
        </w:tc>
      </w:tr>
      <w:tr w:rsidR="00A05B02" w:rsidRPr="00015C21" w14:paraId="3AD65DD5" w14:textId="77777777" w:rsidTr="00DC1667">
        <w:trPr>
          <w:trHeight w:val="300"/>
        </w:trPr>
        <w:tc>
          <w:tcPr>
            <w:tcW w:w="7711" w:type="dxa"/>
            <w:tcBorders>
              <w:top w:val="nil"/>
              <w:left w:val="nil"/>
              <w:bottom w:val="nil"/>
              <w:right w:val="nil"/>
            </w:tcBorders>
            <w:shd w:val="clear" w:color="auto" w:fill="auto"/>
            <w:noWrap/>
            <w:vAlign w:val="bottom"/>
            <w:hideMark/>
          </w:tcPr>
          <w:p w14:paraId="6E61CAC4" w14:textId="77777777" w:rsidR="00A05B02" w:rsidRPr="00015C21" w:rsidRDefault="00A05B02" w:rsidP="009134D4">
            <w:pPr>
              <w:widowControl w:val="0"/>
              <w:spacing w:after="0" w:line="240" w:lineRule="auto"/>
              <w:rPr>
                <w:rFonts w:ascii="Calibri" w:eastAsia="Times New Roman" w:hAnsi="Calibri" w:cs="Calibri"/>
                <w:color w:val="000000"/>
                <w:lang w:eastAsia="en-GB"/>
              </w:rPr>
            </w:pPr>
          </w:p>
        </w:tc>
        <w:tc>
          <w:tcPr>
            <w:tcW w:w="1086" w:type="dxa"/>
            <w:tcBorders>
              <w:top w:val="nil"/>
              <w:left w:val="nil"/>
              <w:bottom w:val="nil"/>
              <w:right w:val="nil"/>
            </w:tcBorders>
            <w:shd w:val="clear" w:color="auto" w:fill="auto"/>
            <w:noWrap/>
            <w:vAlign w:val="bottom"/>
            <w:hideMark/>
          </w:tcPr>
          <w:p w14:paraId="38ACA1CA" w14:textId="77777777" w:rsidR="00A05B02" w:rsidRPr="00015C21" w:rsidRDefault="00A05B02" w:rsidP="009134D4">
            <w:pPr>
              <w:widowControl w:val="0"/>
              <w:spacing w:after="0" w:line="240" w:lineRule="auto"/>
              <w:rPr>
                <w:rFonts w:ascii="Calibri" w:eastAsia="Times New Roman" w:hAnsi="Calibri" w:cs="Calibri"/>
                <w:color w:val="000000"/>
                <w:lang w:eastAsia="en-GB"/>
              </w:rPr>
            </w:pPr>
          </w:p>
        </w:tc>
        <w:tc>
          <w:tcPr>
            <w:tcW w:w="1486" w:type="dxa"/>
            <w:tcBorders>
              <w:top w:val="nil"/>
              <w:left w:val="nil"/>
              <w:bottom w:val="nil"/>
              <w:right w:val="nil"/>
            </w:tcBorders>
            <w:shd w:val="clear" w:color="auto" w:fill="auto"/>
            <w:noWrap/>
            <w:vAlign w:val="bottom"/>
            <w:hideMark/>
          </w:tcPr>
          <w:p w14:paraId="51C786A4" w14:textId="77777777" w:rsidR="00A05B02" w:rsidRPr="00015C21"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1236" w:type="dxa"/>
            <w:tcBorders>
              <w:top w:val="nil"/>
              <w:left w:val="nil"/>
              <w:bottom w:val="nil"/>
              <w:right w:val="nil"/>
            </w:tcBorders>
            <w:shd w:val="clear" w:color="auto" w:fill="auto"/>
            <w:noWrap/>
            <w:vAlign w:val="bottom"/>
            <w:hideMark/>
          </w:tcPr>
          <w:p w14:paraId="6E852D9F" w14:textId="77777777" w:rsidR="00A05B02" w:rsidRPr="00015C21"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1586" w:type="dxa"/>
            <w:tcBorders>
              <w:top w:val="nil"/>
              <w:left w:val="nil"/>
              <w:bottom w:val="nil"/>
              <w:right w:val="nil"/>
            </w:tcBorders>
            <w:shd w:val="clear" w:color="auto" w:fill="auto"/>
            <w:noWrap/>
            <w:vAlign w:val="bottom"/>
            <w:hideMark/>
          </w:tcPr>
          <w:p w14:paraId="06342A1F" w14:textId="77777777" w:rsidR="00A05B02" w:rsidRPr="00015C21" w:rsidRDefault="00A05B02" w:rsidP="009134D4">
            <w:pPr>
              <w:widowControl w:val="0"/>
              <w:spacing w:after="0" w:line="240" w:lineRule="auto"/>
              <w:rPr>
                <w:rFonts w:ascii="Times New Roman" w:eastAsia="Times New Roman" w:hAnsi="Times New Roman" w:cs="Times New Roman"/>
                <w:sz w:val="20"/>
                <w:szCs w:val="20"/>
                <w:lang w:eastAsia="en-GB"/>
              </w:rPr>
            </w:pPr>
          </w:p>
        </w:tc>
        <w:tc>
          <w:tcPr>
            <w:tcW w:w="853" w:type="dxa"/>
            <w:tcBorders>
              <w:top w:val="nil"/>
              <w:left w:val="nil"/>
              <w:bottom w:val="nil"/>
              <w:right w:val="nil"/>
            </w:tcBorders>
            <w:shd w:val="clear" w:color="auto" w:fill="auto"/>
            <w:noWrap/>
            <w:vAlign w:val="bottom"/>
            <w:hideMark/>
          </w:tcPr>
          <w:p w14:paraId="1A409665" w14:textId="77777777" w:rsidR="00A05B02" w:rsidRPr="00015C21" w:rsidRDefault="00A05B02" w:rsidP="009134D4">
            <w:pPr>
              <w:widowControl w:val="0"/>
              <w:spacing w:after="0" w:line="240" w:lineRule="auto"/>
              <w:rPr>
                <w:rFonts w:ascii="Times New Roman" w:eastAsia="Times New Roman" w:hAnsi="Times New Roman" w:cs="Times New Roman"/>
                <w:sz w:val="20"/>
                <w:szCs w:val="20"/>
                <w:lang w:eastAsia="en-GB"/>
              </w:rPr>
            </w:pPr>
          </w:p>
        </w:tc>
      </w:tr>
    </w:tbl>
    <w:p w14:paraId="463051BB" w14:textId="375E0875" w:rsidR="00A05B02" w:rsidRDefault="00A05B02" w:rsidP="00A05B02">
      <w:pPr>
        <w:widowControl w:val="0"/>
        <w:rPr>
          <w:rFonts w:ascii="Arial" w:hAnsi="Arial" w:cs="Arial"/>
          <w:sz w:val="28"/>
          <w:szCs w:val="28"/>
        </w:rPr>
      </w:pPr>
    </w:p>
    <w:p w14:paraId="46BC3CF6" w14:textId="77777777" w:rsidR="00A05B02" w:rsidRDefault="00A05B02" w:rsidP="00A05B02">
      <w:pPr>
        <w:widowControl w:val="0"/>
        <w:tabs>
          <w:tab w:val="left" w:pos="3690"/>
        </w:tabs>
        <w:jc w:val="both"/>
        <w:rPr>
          <w:rFonts w:ascii="Arial" w:hAnsi="Arial" w:cs="Arial"/>
          <w:sz w:val="28"/>
          <w:szCs w:val="28"/>
        </w:rPr>
      </w:pPr>
    </w:p>
    <w:p w14:paraId="21F324FE" w14:textId="77777777" w:rsidR="005D598E" w:rsidRDefault="005D598E"/>
    <w:sectPr w:rsidR="005D598E" w:rsidSect="00A05B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C63D2" w14:textId="77777777" w:rsidR="00611B8B" w:rsidRDefault="00611B8B" w:rsidP="00A05B02">
      <w:pPr>
        <w:spacing w:after="0" w:line="240" w:lineRule="auto"/>
      </w:pPr>
      <w:r>
        <w:separator/>
      </w:r>
    </w:p>
  </w:endnote>
  <w:endnote w:type="continuationSeparator" w:id="0">
    <w:p w14:paraId="1BFA5709" w14:textId="77777777" w:rsidR="00611B8B" w:rsidRDefault="00611B8B" w:rsidP="00A0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735701"/>
      <w:docPartObj>
        <w:docPartGallery w:val="Page Numbers (Bottom of Page)"/>
        <w:docPartUnique/>
      </w:docPartObj>
    </w:sdtPr>
    <w:sdtEndPr>
      <w:rPr>
        <w:noProof/>
      </w:rPr>
    </w:sdtEndPr>
    <w:sdtContent>
      <w:p w14:paraId="103F77FE" w14:textId="77777777" w:rsidR="00C46CC1" w:rsidRDefault="00C46CC1">
        <w:pPr>
          <w:pStyle w:val="Footer"/>
          <w:jc w:val="center"/>
        </w:pPr>
        <w:r>
          <w:rPr>
            <w:noProof/>
          </w:rPr>
          <w:fldChar w:fldCharType="begin"/>
        </w:r>
        <w:r>
          <w:rPr>
            <w:noProof/>
          </w:rPr>
          <w:instrText xml:space="preserve"> PAGE   \* MERGEFORMAT </w:instrText>
        </w:r>
        <w:r>
          <w:rPr>
            <w:noProof/>
          </w:rPr>
          <w:fldChar w:fldCharType="separate"/>
        </w:r>
        <w:r w:rsidR="001E0B20">
          <w:rPr>
            <w:noProof/>
          </w:rPr>
          <w:t>1</w:t>
        </w:r>
        <w:r>
          <w:rPr>
            <w:noProof/>
          </w:rPr>
          <w:fldChar w:fldCharType="end"/>
        </w:r>
      </w:p>
    </w:sdtContent>
  </w:sdt>
  <w:p w14:paraId="6DEB08C9" w14:textId="77777777" w:rsidR="00C46CC1" w:rsidRDefault="00C46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29FAC" w14:textId="77777777" w:rsidR="00611B8B" w:rsidRDefault="00611B8B" w:rsidP="00A05B02">
      <w:pPr>
        <w:spacing w:after="0" w:line="240" w:lineRule="auto"/>
      </w:pPr>
      <w:r>
        <w:separator/>
      </w:r>
    </w:p>
  </w:footnote>
  <w:footnote w:type="continuationSeparator" w:id="0">
    <w:p w14:paraId="305D7916" w14:textId="77777777" w:rsidR="00611B8B" w:rsidRDefault="00611B8B" w:rsidP="00A05B02">
      <w:pPr>
        <w:spacing w:after="0" w:line="240" w:lineRule="auto"/>
      </w:pPr>
      <w:r>
        <w:continuationSeparator/>
      </w:r>
    </w:p>
  </w:footnote>
  <w:footnote w:id="1">
    <w:p w14:paraId="5AFF490E" w14:textId="77777777" w:rsidR="00C46CC1" w:rsidRPr="008304A8" w:rsidRDefault="00C46CC1" w:rsidP="00A05B02">
      <w:pPr>
        <w:pStyle w:val="FootnoteText"/>
      </w:pPr>
      <w:r w:rsidRPr="008304A8">
        <w:rPr>
          <w:rStyle w:val="FootnoteReference"/>
        </w:rPr>
        <w:footnoteRef/>
      </w:r>
      <w:r w:rsidRPr="008304A8">
        <w:t xml:space="preserve"> </w:t>
      </w:r>
      <w:r w:rsidRPr="008304A8">
        <w:rPr>
          <w:rFonts w:cstheme="minorHAnsi"/>
        </w:rPr>
        <w:t>Funding body grants for</w:t>
      </w:r>
      <w:r>
        <w:rPr>
          <w:rFonts w:cstheme="minorHAnsi"/>
        </w:rPr>
        <w:t xml:space="preserve"> universities in </w:t>
      </w:r>
      <w:r w:rsidRPr="008304A8">
        <w:rPr>
          <w:rFonts w:cstheme="minorHAnsi"/>
        </w:rPr>
        <w:t>England fell from 35% of total income in 2007/08 to 12% in 2016/17.</w:t>
      </w:r>
      <w:r>
        <w:rPr>
          <w:rFonts w:cstheme="minorHAnsi"/>
        </w:rPr>
        <w:t xml:space="preserve"> The corresponding percentages for Scotland, Wales and Northern Ireland are 41% and 27%.</w:t>
      </w:r>
    </w:p>
  </w:footnote>
  <w:footnote w:id="2">
    <w:p w14:paraId="0EA28C3C" w14:textId="77777777" w:rsidR="00C46CC1" w:rsidRPr="0088158E" w:rsidRDefault="00C46CC1" w:rsidP="00A05B02">
      <w:pPr>
        <w:jc w:val="both"/>
        <w:rPr>
          <w:rFonts w:cstheme="minorHAnsi"/>
          <w:sz w:val="20"/>
          <w:szCs w:val="20"/>
        </w:rPr>
      </w:pPr>
      <w:r>
        <w:rPr>
          <w:rStyle w:val="FootnoteReference"/>
        </w:rPr>
        <w:footnoteRef/>
      </w:r>
      <w:r>
        <w:t xml:space="preserve"> </w:t>
      </w:r>
      <w:r w:rsidRPr="0088158E">
        <w:rPr>
          <w:rFonts w:cstheme="minorHAnsi"/>
          <w:sz w:val="20"/>
          <w:szCs w:val="20"/>
        </w:rPr>
        <w:t>With virtually all universities charging £9,250 per annum for UK domicile undergraduate students, the average figure of £5,700 for the UK as a whole seems very low. However, the reasons for this are (i) undergraduate fee levels are much lower in Scotland and Northern Ireland; (ii) there are large numbers of part-time students whose fee levels are around three-four times lower than for fulltime students; and (iii) postgraduate fees are generally appreciably lower than undergraduate fees.</w:t>
      </w:r>
    </w:p>
    <w:p w14:paraId="0CEA8DBA" w14:textId="77777777" w:rsidR="00C46CC1" w:rsidRDefault="00C46CC1" w:rsidP="00A05B02">
      <w:pPr>
        <w:pStyle w:val="FootnoteText"/>
      </w:pPr>
    </w:p>
  </w:footnote>
  <w:footnote w:id="3">
    <w:p w14:paraId="1D4BC754" w14:textId="77777777" w:rsidR="00C46CC1" w:rsidRDefault="00C46CC1" w:rsidP="00A05B02">
      <w:pPr>
        <w:pStyle w:val="FootnoteText"/>
      </w:pPr>
      <w:r>
        <w:rPr>
          <w:rStyle w:val="FootnoteReference"/>
        </w:rPr>
        <w:footnoteRef/>
      </w:r>
      <w:r>
        <w:t xml:space="preserve"> The Alliance Manchester Business School at Manchester University is a good example of the relative high returns from collaborative partnerships especially for MBA courses. Total expenditure was £7.6 million and total revenue £13.2 million in 2016/17 yielding profit/student of £9,226.</w:t>
      </w:r>
    </w:p>
  </w:footnote>
  <w:footnote w:id="4">
    <w:p w14:paraId="7445CD91" w14:textId="77777777" w:rsidR="00C04F93" w:rsidRPr="00C04F93" w:rsidRDefault="00C04F93" w:rsidP="00C04F93">
      <w:pPr>
        <w:widowControl w:val="0"/>
        <w:jc w:val="both"/>
        <w:rPr>
          <w:rFonts w:cstheme="minorHAnsi"/>
          <w:sz w:val="20"/>
          <w:szCs w:val="20"/>
        </w:rPr>
      </w:pPr>
      <w:r>
        <w:rPr>
          <w:rStyle w:val="FootnoteReference"/>
        </w:rPr>
        <w:footnoteRef/>
      </w:r>
      <w:r>
        <w:t xml:space="preserve"> </w:t>
      </w:r>
      <w:r w:rsidRPr="00C04F93">
        <w:rPr>
          <w:rFonts w:cstheme="minorHAnsi"/>
          <w:sz w:val="20"/>
          <w:szCs w:val="20"/>
        </w:rPr>
        <w:t>Information on revenue and expenditure was provided by three universities which between them had 19 partnerships in 16 countries. Revenue/student ranged from less than £200 in six of these partnerships to over £500 in five partnerships. The university with the largest number of partnerships, Cardiff Metropolitan, partnership revenue/student ranged from £57 to £605. The corresponding range at London Metropolitan University is £36 to £988.</w:t>
      </w:r>
    </w:p>
    <w:p w14:paraId="372247BB" w14:textId="193BF915" w:rsidR="00C04F93" w:rsidRDefault="00C04F93">
      <w:pPr>
        <w:pStyle w:val="FootnoteText"/>
      </w:pPr>
    </w:p>
  </w:footnote>
  <w:footnote w:id="5">
    <w:p w14:paraId="73F1778E" w14:textId="77777777" w:rsidR="0053570D" w:rsidRDefault="0053570D" w:rsidP="0053570D">
      <w:pPr>
        <w:pStyle w:val="FootnoteText"/>
      </w:pPr>
      <w:r>
        <w:rPr>
          <w:rStyle w:val="FootnoteReference"/>
        </w:rPr>
        <w:footnoteRef/>
      </w:r>
      <w:r>
        <w:t xml:space="preserve"> London University first offered distance learning course for overseas students in the early 1860s </w:t>
      </w:r>
    </w:p>
  </w:footnote>
  <w:footnote w:id="6">
    <w:p w14:paraId="11847A2D" w14:textId="77777777" w:rsidR="0053570D" w:rsidRPr="000E793D" w:rsidRDefault="0053570D" w:rsidP="0053570D">
      <w:pPr>
        <w:pStyle w:val="FootnoteText"/>
      </w:pPr>
      <w:r>
        <w:rPr>
          <w:rStyle w:val="FootnoteReference"/>
        </w:rPr>
        <w:footnoteRef/>
      </w:r>
      <w:r>
        <w:t xml:space="preserve"> </w:t>
      </w:r>
      <w:r>
        <w:rPr>
          <w:rFonts w:cstheme="minorHAnsi"/>
        </w:rPr>
        <w:t xml:space="preserve">An </w:t>
      </w:r>
      <w:r w:rsidRPr="000E793D">
        <w:rPr>
          <w:rFonts w:cstheme="minorHAnsi"/>
        </w:rPr>
        <w:t xml:space="preserve">attempt (as part of a small pilot survey) to collect similar time-series information from other universities was abandoned because response rates were so low.  </w:t>
      </w:r>
    </w:p>
  </w:footnote>
  <w:footnote w:id="7">
    <w:p w14:paraId="224FBFEE" w14:textId="77777777" w:rsidR="0053570D" w:rsidRDefault="0053570D" w:rsidP="0053570D">
      <w:pPr>
        <w:pStyle w:val="FootnoteText"/>
      </w:pPr>
      <w:r>
        <w:rPr>
          <w:rStyle w:val="FootnoteReference"/>
        </w:rPr>
        <w:footnoteRef/>
      </w:r>
      <w:r>
        <w:t xml:space="preserve"> This information is collected annually by the UK Higher Education Statistics Agency.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423C"/>
    <w:multiLevelType w:val="multilevel"/>
    <w:tmpl w:val="0DEC5A60"/>
    <w:lvl w:ilvl="0">
      <w:start w:val="4"/>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482E76"/>
    <w:multiLevelType w:val="hybridMultilevel"/>
    <w:tmpl w:val="3884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F1770"/>
    <w:multiLevelType w:val="multilevel"/>
    <w:tmpl w:val="C974E1E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7E26601"/>
    <w:multiLevelType w:val="multilevel"/>
    <w:tmpl w:val="807C8C0E"/>
    <w:lvl w:ilvl="0">
      <w:start w:val="1"/>
      <w:numFmt w:val="decimal"/>
      <w:lvlText w:val="%1."/>
      <w:lvlJc w:val="left"/>
      <w:pPr>
        <w:ind w:left="720" w:hanging="360"/>
      </w:pPr>
      <w:rPr>
        <w:rFonts w:hint="default"/>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685D65"/>
    <w:multiLevelType w:val="multilevel"/>
    <w:tmpl w:val="807C8C0E"/>
    <w:lvl w:ilvl="0">
      <w:start w:val="1"/>
      <w:numFmt w:val="decimal"/>
      <w:lvlText w:val="%1."/>
      <w:lvlJc w:val="left"/>
      <w:pPr>
        <w:ind w:left="720" w:hanging="360"/>
      </w:pPr>
      <w:rPr>
        <w:rFonts w:hint="default"/>
      </w:rPr>
    </w:lvl>
    <w:lvl w:ilvl="1">
      <w:start w:val="3"/>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816064"/>
    <w:multiLevelType w:val="hybridMultilevel"/>
    <w:tmpl w:val="2794C648"/>
    <w:lvl w:ilvl="0" w:tplc="120482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D03A0"/>
    <w:multiLevelType w:val="hybridMultilevel"/>
    <w:tmpl w:val="BEA8B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B72D7"/>
    <w:multiLevelType w:val="hybridMultilevel"/>
    <w:tmpl w:val="E65E2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424438"/>
    <w:multiLevelType w:val="hybridMultilevel"/>
    <w:tmpl w:val="F5381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FB60CA"/>
    <w:multiLevelType w:val="hybridMultilevel"/>
    <w:tmpl w:val="0302A2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C05E1"/>
    <w:multiLevelType w:val="hybridMultilevel"/>
    <w:tmpl w:val="8DCC464A"/>
    <w:lvl w:ilvl="0" w:tplc="1482111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42360F0"/>
    <w:multiLevelType w:val="hybridMultilevel"/>
    <w:tmpl w:val="DC4A8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FF4C55"/>
    <w:multiLevelType w:val="multilevel"/>
    <w:tmpl w:val="36D845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7125DD"/>
    <w:multiLevelType w:val="hybridMultilevel"/>
    <w:tmpl w:val="7D72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13B7F"/>
    <w:multiLevelType w:val="hybridMultilevel"/>
    <w:tmpl w:val="3F26EDC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F77BA0"/>
    <w:multiLevelType w:val="hybridMultilevel"/>
    <w:tmpl w:val="BEA8B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DD74C4"/>
    <w:multiLevelType w:val="hybridMultilevel"/>
    <w:tmpl w:val="ACEA10A4"/>
    <w:lvl w:ilvl="0" w:tplc="4230865A">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93E59C8"/>
    <w:multiLevelType w:val="hybridMultilevel"/>
    <w:tmpl w:val="5190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795E11"/>
    <w:multiLevelType w:val="hybridMultilevel"/>
    <w:tmpl w:val="07047E4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CD02B4"/>
    <w:multiLevelType w:val="hybridMultilevel"/>
    <w:tmpl w:val="21FAD6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F2592"/>
    <w:multiLevelType w:val="hybridMultilevel"/>
    <w:tmpl w:val="8BA01A7C"/>
    <w:lvl w:ilvl="0" w:tplc="0F6AC0F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D3418D"/>
    <w:multiLevelType w:val="hybridMultilevel"/>
    <w:tmpl w:val="A170D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1"/>
  </w:num>
  <w:num w:numId="3">
    <w:abstractNumId w:val="5"/>
  </w:num>
  <w:num w:numId="4">
    <w:abstractNumId w:val="15"/>
  </w:num>
  <w:num w:numId="5">
    <w:abstractNumId w:val="20"/>
  </w:num>
  <w:num w:numId="6">
    <w:abstractNumId w:val="6"/>
  </w:num>
  <w:num w:numId="7">
    <w:abstractNumId w:val="16"/>
  </w:num>
  <w:num w:numId="8">
    <w:abstractNumId w:val="18"/>
  </w:num>
  <w:num w:numId="9">
    <w:abstractNumId w:val="4"/>
  </w:num>
  <w:num w:numId="10">
    <w:abstractNumId w:val="0"/>
  </w:num>
  <w:num w:numId="11">
    <w:abstractNumId w:val="10"/>
  </w:num>
  <w:num w:numId="12">
    <w:abstractNumId w:val="9"/>
  </w:num>
  <w:num w:numId="13">
    <w:abstractNumId w:val="17"/>
  </w:num>
  <w:num w:numId="14">
    <w:abstractNumId w:val="13"/>
  </w:num>
  <w:num w:numId="15">
    <w:abstractNumId w:val="2"/>
  </w:num>
  <w:num w:numId="16">
    <w:abstractNumId w:val="12"/>
  </w:num>
  <w:num w:numId="17">
    <w:abstractNumId w:val="19"/>
  </w:num>
  <w:num w:numId="18">
    <w:abstractNumId w:val="1"/>
  </w:num>
  <w:num w:numId="19">
    <w:abstractNumId w:val="8"/>
  </w:num>
  <w:num w:numId="20">
    <w:abstractNumId w:val="11"/>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02"/>
    <w:rsid w:val="00024F69"/>
    <w:rsid w:val="000F1E77"/>
    <w:rsid w:val="001E0B20"/>
    <w:rsid w:val="001F1FE7"/>
    <w:rsid w:val="002D33CA"/>
    <w:rsid w:val="00340E33"/>
    <w:rsid w:val="003A099A"/>
    <w:rsid w:val="003C4B90"/>
    <w:rsid w:val="00425BFC"/>
    <w:rsid w:val="00442391"/>
    <w:rsid w:val="004876C0"/>
    <w:rsid w:val="004D2412"/>
    <w:rsid w:val="004E5B04"/>
    <w:rsid w:val="00534AC6"/>
    <w:rsid w:val="0053570D"/>
    <w:rsid w:val="00540CEE"/>
    <w:rsid w:val="00545BA0"/>
    <w:rsid w:val="00551B05"/>
    <w:rsid w:val="005D598E"/>
    <w:rsid w:val="005F291F"/>
    <w:rsid w:val="00611B8B"/>
    <w:rsid w:val="00734FD5"/>
    <w:rsid w:val="0074489B"/>
    <w:rsid w:val="007E5111"/>
    <w:rsid w:val="007F34A8"/>
    <w:rsid w:val="009134D4"/>
    <w:rsid w:val="00931AD0"/>
    <w:rsid w:val="00A05B02"/>
    <w:rsid w:val="00A177A4"/>
    <w:rsid w:val="00AB2B0F"/>
    <w:rsid w:val="00AC20A6"/>
    <w:rsid w:val="00B75C91"/>
    <w:rsid w:val="00BD20B3"/>
    <w:rsid w:val="00C04F93"/>
    <w:rsid w:val="00C060E9"/>
    <w:rsid w:val="00C46CC1"/>
    <w:rsid w:val="00D73ED3"/>
    <w:rsid w:val="00DC1667"/>
    <w:rsid w:val="00DE6F4B"/>
    <w:rsid w:val="00E000BB"/>
    <w:rsid w:val="00EF2D92"/>
    <w:rsid w:val="00EF631B"/>
    <w:rsid w:val="00F52368"/>
    <w:rsid w:val="00FE43BC"/>
    <w:rsid w:val="00FF5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7342"/>
  <w15:chartTrackingRefBased/>
  <w15:docId w15:val="{286D9C74-A498-4E7C-BF02-EE4B7AE9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B0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5B02"/>
    <w:pPr>
      <w:ind w:left="720"/>
      <w:contextualSpacing/>
    </w:pPr>
  </w:style>
  <w:style w:type="paragraph" w:styleId="EndnoteText">
    <w:name w:val="endnote text"/>
    <w:basedOn w:val="Normal"/>
    <w:link w:val="EndnoteTextChar"/>
    <w:uiPriority w:val="99"/>
    <w:semiHidden/>
    <w:unhideWhenUsed/>
    <w:rsid w:val="00A05B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5B02"/>
    <w:rPr>
      <w:sz w:val="20"/>
      <w:szCs w:val="20"/>
    </w:rPr>
  </w:style>
  <w:style w:type="character" w:styleId="EndnoteReference">
    <w:name w:val="endnote reference"/>
    <w:basedOn w:val="DefaultParagraphFont"/>
    <w:uiPriority w:val="99"/>
    <w:semiHidden/>
    <w:unhideWhenUsed/>
    <w:rsid w:val="00A05B02"/>
    <w:rPr>
      <w:vertAlign w:val="superscript"/>
    </w:rPr>
  </w:style>
  <w:style w:type="paragraph" w:styleId="FootnoteText">
    <w:name w:val="footnote text"/>
    <w:basedOn w:val="Normal"/>
    <w:link w:val="FootnoteTextChar"/>
    <w:uiPriority w:val="99"/>
    <w:semiHidden/>
    <w:unhideWhenUsed/>
    <w:rsid w:val="00A05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5B02"/>
    <w:rPr>
      <w:sz w:val="20"/>
      <w:szCs w:val="20"/>
    </w:rPr>
  </w:style>
  <w:style w:type="character" w:styleId="FootnoteReference">
    <w:name w:val="footnote reference"/>
    <w:basedOn w:val="DefaultParagraphFont"/>
    <w:uiPriority w:val="99"/>
    <w:semiHidden/>
    <w:unhideWhenUsed/>
    <w:rsid w:val="00A05B02"/>
    <w:rPr>
      <w:vertAlign w:val="superscript"/>
    </w:rPr>
  </w:style>
  <w:style w:type="paragraph" w:styleId="Header">
    <w:name w:val="header"/>
    <w:basedOn w:val="Normal"/>
    <w:link w:val="HeaderChar"/>
    <w:uiPriority w:val="99"/>
    <w:unhideWhenUsed/>
    <w:rsid w:val="00A05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02"/>
  </w:style>
  <w:style w:type="paragraph" w:styleId="Footer">
    <w:name w:val="footer"/>
    <w:basedOn w:val="Normal"/>
    <w:link w:val="FooterChar"/>
    <w:uiPriority w:val="99"/>
    <w:unhideWhenUsed/>
    <w:rsid w:val="00A05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02"/>
  </w:style>
  <w:style w:type="paragraph" w:styleId="BalloonText">
    <w:name w:val="Balloon Text"/>
    <w:basedOn w:val="Normal"/>
    <w:link w:val="BalloonTextChar"/>
    <w:uiPriority w:val="99"/>
    <w:semiHidden/>
    <w:unhideWhenUsed/>
    <w:rsid w:val="00A05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B02"/>
    <w:rPr>
      <w:rFonts w:ascii="Tahoma" w:hAnsi="Tahoma" w:cs="Tahoma"/>
      <w:sz w:val="16"/>
      <w:szCs w:val="16"/>
    </w:rPr>
  </w:style>
  <w:style w:type="character" w:styleId="Hyperlink">
    <w:name w:val="Hyperlink"/>
    <w:basedOn w:val="DefaultParagraphFont"/>
    <w:uiPriority w:val="99"/>
    <w:unhideWhenUsed/>
    <w:rsid w:val="00A05B02"/>
    <w:rPr>
      <w:color w:val="0563C1" w:themeColor="hyperlink"/>
      <w:u w:val="single"/>
    </w:rPr>
  </w:style>
  <w:style w:type="character" w:styleId="CommentReference">
    <w:name w:val="annotation reference"/>
    <w:basedOn w:val="DefaultParagraphFont"/>
    <w:uiPriority w:val="99"/>
    <w:semiHidden/>
    <w:unhideWhenUsed/>
    <w:rsid w:val="00A05B02"/>
    <w:rPr>
      <w:sz w:val="16"/>
      <w:szCs w:val="16"/>
    </w:rPr>
  </w:style>
  <w:style w:type="paragraph" w:styleId="CommentText">
    <w:name w:val="annotation text"/>
    <w:basedOn w:val="Normal"/>
    <w:link w:val="CommentTextChar"/>
    <w:uiPriority w:val="99"/>
    <w:semiHidden/>
    <w:unhideWhenUsed/>
    <w:rsid w:val="00A05B02"/>
    <w:pPr>
      <w:spacing w:line="240" w:lineRule="auto"/>
    </w:pPr>
    <w:rPr>
      <w:sz w:val="20"/>
      <w:szCs w:val="20"/>
    </w:rPr>
  </w:style>
  <w:style w:type="character" w:customStyle="1" w:styleId="CommentTextChar">
    <w:name w:val="Comment Text Char"/>
    <w:basedOn w:val="DefaultParagraphFont"/>
    <w:link w:val="CommentText"/>
    <w:uiPriority w:val="99"/>
    <w:semiHidden/>
    <w:rsid w:val="00A05B02"/>
    <w:rPr>
      <w:sz w:val="20"/>
      <w:szCs w:val="20"/>
    </w:rPr>
  </w:style>
  <w:style w:type="paragraph" w:styleId="CommentSubject">
    <w:name w:val="annotation subject"/>
    <w:basedOn w:val="CommentText"/>
    <w:next w:val="CommentText"/>
    <w:link w:val="CommentSubjectChar"/>
    <w:uiPriority w:val="99"/>
    <w:semiHidden/>
    <w:unhideWhenUsed/>
    <w:rsid w:val="00A05B02"/>
    <w:rPr>
      <w:b/>
      <w:bCs/>
    </w:rPr>
  </w:style>
  <w:style w:type="character" w:customStyle="1" w:styleId="CommentSubjectChar">
    <w:name w:val="Comment Subject Char"/>
    <w:basedOn w:val="CommentTextChar"/>
    <w:link w:val="CommentSubject"/>
    <w:uiPriority w:val="99"/>
    <w:semiHidden/>
    <w:rsid w:val="00A05B02"/>
    <w:rPr>
      <w:b/>
      <w:bCs/>
      <w:sz w:val="20"/>
      <w:szCs w:val="20"/>
    </w:rPr>
  </w:style>
  <w:style w:type="paragraph" w:styleId="Revision">
    <w:name w:val="Revision"/>
    <w:hidden/>
    <w:uiPriority w:val="99"/>
    <w:semiHidden/>
    <w:rsid w:val="00A05B02"/>
    <w:pPr>
      <w:spacing w:after="0" w:line="240" w:lineRule="auto"/>
    </w:pPr>
  </w:style>
  <w:style w:type="character" w:styleId="FollowedHyperlink">
    <w:name w:val="FollowedHyperlink"/>
    <w:basedOn w:val="DefaultParagraphFont"/>
    <w:uiPriority w:val="99"/>
    <w:semiHidden/>
    <w:unhideWhenUsed/>
    <w:rsid w:val="00A05B02"/>
    <w:rPr>
      <w:color w:val="954F72"/>
      <w:u w:val="single"/>
    </w:rPr>
  </w:style>
  <w:style w:type="paragraph" w:customStyle="1" w:styleId="xl63">
    <w:name w:val="xl63"/>
    <w:basedOn w:val="Normal"/>
    <w:rsid w:val="00A05B0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4">
    <w:name w:val="xl64"/>
    <w:basedOn w:val="Normal"/>
    <w:rsid w:val="00A05B0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A05B02"/>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A05B02"/>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A05B02"/>
    <w:pP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A05B02"/>
    <w:pPr>
      <w:pBdr>
        <w:lef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A05B02"/>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0">
    <w:name w:val="xl70"/>
    <w:basedOn w:val="Normal"/>
    <w:rsid w:val="00A05B02"/>
    <w:pP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A05B02"/>
    <w:pPr>
      <w:shd w:val="clear" w:color="000000" w:fill="00B05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A05B02"/>
    <w:pP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rsid w:val="00A05B02"/>
    <w:pPr>
      <w:pBdr>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A05B0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5">
    <w:name w:val="xl75"/>
    <w:basedOn w:val="Normal"/>
    <w:rsid w:val="00A05B02"/>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6">
    <w:name w:val="xl76"/>
    <w:basedOn w:val="Normal"/>
    <w:rsid w:val="00A05B02"/>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0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E4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ul\Documents\TNEpaperFIGURESfinalBACKUP_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tranet.barcapint.com\Dfs-emea\User\ldn\0144\ghantiwu\Misc\PIL\TNEpaperFIGURESfinalBACKUP_v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mesh%20Ghantiwala\Google%20Drive\TNENov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tranet.barcapint.com\Dfs-emea\User\ldn\0144\ghantiwu\Misc\PIL\TNEpaperFIGURESfinalBACKUP_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ntranet.barcapint.com\Dfs-emea\User\ldn\0144\ghantiwu\Misc\PIL\TNEpaperFIGURESfinalBACKUP_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Figure</a:t>
            </a:r>
            <a:r>
              <a:rPr lang="en-GB" sz="1000" baseline="0"/>
              <a:t> 1: University scatter plot of non-EU tuition fee income as % of total fee income and university rank, 2015/16</a:t>
            </a:r>
            <a:endParaRPr lang="en-GB" sz="1000"/>
          </a:p>
        </c:rich>
      </c:tx>
      <c:overlay val="0"/>
    </c:title>
    <c:autoTitleDeleted val="0"/>
    <c:plotArea>
      <c:layout/>
      <c:scatterChart>
        <c:scatterStyle val="lineMarker"/>
        <c:varyColors val="0"/>
        <c:ser>
          <c:idx val="0"/>
          <c:order val="0"/>
          <c:spPr>
            <a:ln w="28575">
              <a:noFill/>
            </a:ln>
          </c:spPr>
          <c:xVal>
            <c:numRef>
              <c:f>'[3]%nonEUfees-rank'!$C$2:$C$91</c:f>
              <c:numCache>
                <c:formatCode>General</c:formatCode>
                <c:ptCount val="90"/>
                <c:pt idx="0">
                  <c:v>128</c:v>
                </c:pt>
                <c:pt idx="1">
                  <c:v>127</c:v>
                </c:pt>
                <c:pt idx="2">
                  <c:v>125</c:v>
                </c:pt>
                <c:pt idx="3">
                  <c:v>124</c:v>
                </c:pt>
                <c:pt idx="4">
                  <c:v>123</c:v>
                </c:pt>
                <c:pt idx="5">
                  <c:v>122</c:v>
                </c:pt>
                <c:pt idx="6">
                  <c:v>121</c:v>
                </c:pt>
                <c:pt idx="7">
                  <c:v>120</c:v>
                </c:pt>
                <c:pt idx="8">
                  <c:v>119</c:v>
                </c:pt>
                <c:pt idx="9">
                  <c:v>118</c:v>
                </c:pt>
                <c:pt idx="10">
                  <c:v>117</c:v>
                </c:pt>
                <c:pt idx="11">
                  <c:v>114</c:v>
                </c:pt>
                <c:pt idx="12">
                  <c:v>110</c:v>
                </c:pt>
                <c:pt idx="13">
                  <c:v>110</c:v>
                </c:pt>
                <c:pt idx="14">
                  <c:v>109</c:v>
                </c:pt>
                <c:pt idx="15">
                  <c:v>108</c:v>
                </c:pt>
                <c:pt idx="16">
                  <c:v>106</c:v>
                </c:pt>
                <c:pt idx="17">
                  <c:v>105</c:v>
                </c:pt>
                <c:pt idx="18">
                  <c:v>104</c:v>
                </c:pt>
                <c:pt idx="19">
                  <c:v>102</c:v>
                </c:pt>
                <c:pt idx="20">
                  <c:v>102</c:v>
                </c:pt>
                <c:pt idx="21">
                  <c:v>101</c:v>
                </c:pt>
                <c:pt idx="22">
                  <c:v>99</c:v>
                </c:pt>
                <c:pt idx="23">
                  <c:v>98</c:v>
                </c:pt>
                <c:pt idx="24">
                  <c:v>97</c:v>
                </c:pt>
                <c:pt idx="25">
                  <c:v>95</c:v>
                </c:pt>
                <c:pt idx="26">
                  <c:v>95</c:v>
                </c:pt>
                <c:pt idx="27">
                  <c:v>93</c:v>
                </c:pt>
                <c:pt idx="28">
                  <c:v>91</c:v>
                </c:pt>
                <c:pt idx="29">
                  <c:v>90</c:v>
                </c:pt>
                <c:pt idx="30">
                  <c:v>89</c:v>
                </c:pt>
                <c:pt idx="31">
                  <c:v>86</c:v>
                </c:pt>
                <c:pt idx="32">
                  <c:v>86</c:v>
                </c:pt>
                <c:pt idx="33">
                  <c:v>85</c:v>
                </c:pt>
                <c:pt idx="34">
                  <c:v>82</c:v>
                </c:pt>
                <c:pt idx="35">
                  <c:v>79</c:v>
                </c:pt>
                <c:pt idx="36">
                  <c:v>79</c:v>
                </c:pt>
                <c:pt idx="37">
                  <c:v>77</c:v>
                </c:pt>
                <c:pt idx="38">
                  <c:v>75</c:v>
                </c:pt>
                <c:pt idx="39">
                  <c:v>74</c:v>
                </c:pt>
                <c:pt idx="40">
                  <c:v>73</c:v>
                </c:pt>
                <c:pt idx="41">
                  <c:v>72</c:v>
                </c:pt>
                <c:pt idx="42">
                  <c:v>69</c:v>
                </c:pt>
                <c:pt idx="43">
                  <c:v>69</c:v>
                </c:pt>
                <c:pt idx="44">
                  <c:v>68</c:v>
                </c:pt>
                <c:pt idx="45">
                  <c:v>67</c:v>
                </c:pt>
                <c:pt idx="46">
                  <c:v>66</c:v>
                </c:pt>
                <c:pt idx="47">
                  <c:v>65</c:v>
                </c:pt>
                <c:pt idx="48">
                  <c:v>64</c:v>
                </c:pt>
                <c:pt idx="49">
                  <c:v>62</c:v>
                </c:pt>
                <c:pt idx="50">
                  <c:v>60</c:v>
                </c:pt>
                <c:pt idx="51">
                  <c:v>59</c:v>
                </c:pt>
                <c:pt idx="52">
                  <c:v>58</c:v>
                </c:pt>
                <c:pt idx="53">
                  <c:v>57</c:v>
                </c:pt>
                <c:pt idx="54">
                  <c:v>56</c:v>
                </c:pt>
                <c:pt idx="55">
                  <c:v>55</c:v>
                </c:pt>
                <c:pt idx="56">
                  <c:v>52</c:v>
                </c:pt>
                <c:pt idx="57">
                  <c:v>50</c:v>
                </c:pt>
                <c:pt idx="58">
                  <c:v>49</c:v>
                </c:pt>
                <c:pt idx="59">
                  <c:v>48</c:v>
                </c:pt>
                <c:pt idx="60">
                  <c:v>47</c:v>
                </c:pt>
                <c:pt idx="61">
                  <c:v>44</c:v>
                </c:pt>
                <c:pt idx="62">
                  <c:v>43</c:v>
                </c:pt>
                <c:pt idx="63">
                  <c:v>41</c:v>
                </c:pt>
                <c:pt idx="64">
                  <c:v>37</c:v>
                </c:pt>
                <c:pt idx="65">
                  <c:v>32</c:v>
                </c:pt>
                <c:pt idx="66">
                  <c:v>32</c:v>
                </c:pt>
                <c:pt idx="67">
                  <c:v>30</c:v>
                </c:pt>
                <c:pt idx="68">
                  <c:v>27</c:v>
                </c:pt>
                <c:pt idx="69">
                  <c:v>26</c:v>
                </c:pt>
                <c:pt idx="70">
                  <c:v>25</c:v>
                </c:pt>
                <c:pt idx="71">
                  <c:v>23</c:v>
                </c:pt>
                <c:pt idx="72">
                  <c:v>22</c:v>
                </c:pt>
                <c:pt idx="73">
                  <c:v>20</c:v>
                </c:pt>
                <c:pt idx="74">
                  <c:v>19</c:v>
                </c:pt>
                <c:pt idx="75">
                  <c:v>18</c:v>
                </c:pt>
                <c:pt idx="76">
                  <c:v>17</c:v>
                </c:pt>
                <c:pt idx="77">
                  <c:v>16</c:v>
                </c:pt>
                <c:pt idx="78">
                  <c:v>14</c:v>
                </c:pt>
                <c:pt idx="79">
                  <c:v>14</c:v>
                </c:pt>
                <c:pt idx="80">
                  <c:v>13</c:v>
                </c:pt>
                <c:pt idx="81">
                  <c:v>12</c:v>
                </c:pt>
                <c:pt idx="82">
                  <c:v>11</c:v>
                </c:pt>
                <c:pt idx="83">
                  <c:v>10</c:v>
                </c:pt>
                <c:pt idx="84">
                  <c:v>9</c:v>
                </c:pt>
                <c:pt idx="85">
                  <c:v>8</c:v>
                </c:pt>
                <c:pt idx="86">
                  <c:v>6</c:v>
                </c:pt>
                <c:pt idx="87">
                  <c:v>3</c:v>
                </c:pt>
                <c:pt idx="88">
                  <c:v>2</c:v>
                </c:pt>
                <c:pt idx="89">
                  <c:v>1</c:v>
                </c:pt>
              </c:numCache>
            </c:numRef>
          </c:xVal>
          <c:yVal>
            <c:numRef>
              <c:f>'[3]%nonEUfees-rank'!$D$2:$D$91</c:f>
              <c:numCache>
                <c:formatCode>General</c:formatCode>
                <c:ptCount val="90"/>
                <c:pt idx="0">
                  <c:v>8.1756756756756754</c:v>
                </c:pt>
                <c:pt idx="1">
                  <c:v>5.4678213618610956</c:v>
                </c:pt>
                <c:pt idx="2">
                  <c:v>9.4322179707763016</c:v>
                </c:pt>
                <c:pt idx="3">
                  <c:v>1.50860294722977</c:v>
                </c:pt>
                <c:pt idx="4">
                  <c:v>3.0974403097440302</c:v>
                </c:pt>
                <c:pt idx="5">
                  <c:v>8.3779953049563716</c:v>
                </c:pt>
                <c:pt idx="6">
                  <c:v>7.6136390837063468</c:v>
                </c:pt>
                <c:pt idx="7">
                  <c:v>4.8250717554883256</c:v>
                </c:pt>
                <c:pt idx="9">
                  <c:v>11.9284523309249</c:v>
                </c:pt>
                <c:pt idx="10">
                  <c:v>6.0134425768185844</c:v>
                </c:pt>
                <c:pt idx="11">
                  <c:v>7.1884749674806976</c:v>
                </c:pt>
                <c:pt idx="12">
                  <c:v>16.904495965426889</c:v>
                </c:pt>
                <c:pt idx="13">
                  <c:v>13.131178617869621</c:v>
                </c:pt>
                <c:pt idx="14">
                  <c:v>11.401367724344169</c:v>
                </c:pt>
                <c:pt idx="15">
                  <c:v>9.5453042006342788</c:v>
                </c:pt>
                <c:pt idx="16">
                  <c:v>2.0659780073308891</c:v>
                </c:pt>
                <c:pt idx="17">
                  <c:v>5.3810656181574146</c:v>
                </c:pt>
                <c:pt idx="18">
                  <c:v>2.4642937471884849</c:v>
                </c:pt>
                <c:pt idx="19">
                  <c:v>19.836855263247049</c:v>
                </c:pt>
                <c:pt idx="20">
                  <c:v>38.03779574425873</c:v>
                </c:pt>
                <c:pt idx="21">
                  <c:v>8.7188909303490902</c:v>
                </c:pt>
                <c:pt idx="22">
                  <c:v>12.881990614583771</c:v>
                </c:pt>
                <c:pt idx="23">
                  <c:v>14.781256880550311</c:v>
                </c:pt>
                <c:pt idx="24">
                  <c:v>10.46564032304587</c:v>
                </c:pt>
                <c:pt idx="25">
                  <c:v>11.15442928308426</c:v>
                </c:pt>
                <c:pt idx="26">
                  <c:v>24.659085903430231</c:v>
                </c:pt>
                <c:pt idx="27">
                  <c:v>19.261573017934229</c:v>
                </c:pt>
                <c:pt idx="28">
                  <c:v>5.5339284515739324</c:v>
                </c:pt>
                <c:pt idx="29">
                  <c:v>9.7391662943743729</c:v>
                </c:pt>
                <c:pt idx="30">
                  <c:v>13.139693783640571</c:v>
                </c:pt>
                <c:pt idx="31">
                  <c:v>3.2372587177194552</c:v>
                </c:pt>
                <c:pt idx="32">
                  <c:v>5.7698506500483466</c:v>
                </c:pt>
                <c:pt idx="33">
                  <c:v>7.5700551497987778</c:v>
                </c:pt>
                <c:pt idx="34">
                  <c:v>13.357120592117051</c:v>
                </c:pt>
                <c:pt idx="35">
                  <c:v>16.194020515386541</c:v>
                </c:pt>
                <c:pt idx="36">
                  <c:v>7.8421777030126929</c:v>
                </c:pt>
                <c:pt idx="37">
                  <c:v>11.765519583000611</c:v>
                </c:pt>
                <c:pt idx="38">
                  <c:v>6.0336972143228502</c:v>
                </c:pt>
                <c:pt idx="39">
                  <c:v>16.11279206589343</c:v>
                </c:pt>
                <c:pt idx="40">
                  <c:v>19.866556974733619</c:v>
                </c:pt>
                <c:pt idx="41">
                  <c:v>16.406105420693098</c:v>
                </c:pt>
                <c:pt idx="42">
                  <c:v>10.21554341226472</c:v>
                </c:pt>
                <c:pt idx="43">
                  <c:v>11.31222545079668</c:v>
                </c:pt>
                <c:pt idx="44">
                  <c:v>8.7980808999917279</c:v>
                </c:pt>
                <c:pt idx="45">
                  <c:v>10.769595008634621</c:v>
                </c:pt>
                <c:pt idx="46">
                  <c:v>18.916982290920249</c:v>
                </c:pt>
                <c:pt idx="47">
                  <c:v>19.269000049576121</c:v>
                </c:pt>
                <c:pt idx="48">
                  <c:v>1.83727793530467</c:v>
                </c:pt>
                <c:pt idx="49">
                  <c:v>5.9187370156070269</c:v>
                </c:pt>
                <c:pt idx="50">
                  <c:v>12.42745914877975</c:v>
                </c:pt>
                <c:pt idx="51">
                  <c:v>1.8537615399725</c:v>
                </c:pt>
                <c:pt idx="52">
                  <c:v>19.030723139282141</c:v>
                </c:pt>
                <c:pt idx="53">
                  <c:v>10.588297422898179</c:v>
                </c:pt>
                <c:pt idx="54">
                  <c:v>19.13417437884393</c:v>
                </c:pt>
                <c:pt idx="55">
                  <c:v>12.8039877146166</c:v>
                </c:pt>
                <c:pt idx="56">
                  <c:v>13.411141308325501</c:v>
                </c:pt>
                <c:pt idx="57">
                  <c:v>12.551263427312159</c:v>
                </c:pt>
                <c:pt idx="58">
                  <c:v>22.93844685542518</c:v>
                </c:pt>
                <c:pt idx="59">
                  <c:v>19.06777879021519</c:v>
                </c:pt>
                <c:pt idx="60">
                  <c:v>31.951583485325809</c:v>
                </c:pt>
                <c:pt idx="61">
                  <c:v>24.978625780159021</c:v>
                </c:pt>
                <c:pt idx="62">
                  <c:v>36.8907239431799</c:v>
                </c:pt>
                <c:pt idx="63">
                  <c:v>39.241595093554061</c:v>
                </c:pt>
                <c:pt idx="64">
                  <c:v>26.90052329592293</c:v>
                </c:pt>
                <c:pt idx="65">
                  <c:v>31.439137978266821</c:v>
                </c:pt>
                <c:pt idx="66">
                  <c:v>41.036857441230303</c:v>
                </c:pt>
                <c:pt idx="67">
                  <c:v>39.461291025700227</c:v>
                </c:pt>
                <c:pt idx="68">
                  <c:v>33.236272060125529</c:v>
                </c:pt>
                <c:pt idx="69">
                  <c:v>33.351719742099981</c:v>
                </c:pt>
                <c:pt idx="70">
                  <c:v>23.429258754213109</c:v>
                </c:pt>
                <c:pt idx="71">
                  <c:v>37.692855232197033</c:v>
                </c:pt>
                <c:pt idx="72">
                  <c:v>46.448265289275653</c:v>
                </c:pt>
                <c:pt idx="73">
                  <c:v>25.44768540539151</c:v>
                </c:pt>
                <c:pt idx="74">
                  <c:v>40.562988392776809</c:v>
                </c:pt>
                <c:pt idx="75">
                  <c:v>31.289744062484289</c:v>
                </c:pt>
                <c:pt idx="76">
                  <c:v>28.066188382318909</c:v>
                </c:pt>
                <c:pt idx="77">
                  <c:v>32.671528054257543</c:v>
                </c:pt>
                <c:pt idx="78">
                  <c:v>28.838264987791639</c:v>
                </c:pt>
                <c:pt idx="79">
                  <c:v>29.59172072609012</c:v>
                </c:pt>
                <c:pt idx="80">
                  <c:v>36.793347154891357</c:v>
                </c:pt>
                <c:pt idx="81">
                  <c:v>28.57548728607636</c:v>
                </c:pt>
                <c:pt idx="82">
                  <c:v>32.072576018359158</c:v>
                </c:pt>
                <c:pt idx="83">
                  <c:v>30.292289082060311</c:v>
                </c:pt>
                <c:pt idx="84">
                  <c:v>42.129219175479761</c:v>
                </c:pt>
                <c:pt idx="85">
                  <c:v>46.310748750145272</c:v>
                </c:pt>
                <c:pt idx="86">
                  <c:v>31.84759507497952</c:v>
                </c:pt>
                <c:pt idx="87">
                  <c:v>43.140834543467669</c:v>
                </c:pt>
                <c:pt idx="88">
                  <c:v>35.871261422720657</c:v>
                </c:pt>
                <c:pt idx="89">
                  <c:v>34.453266779027743</c:v>
                </c:pt>
              </c:numCache>
            </c:numRef>
          </c:yVal>
          <c:smooth val="0"/>
          <c:extLst xmlns:c16r2="http://schemas.microsoft.com/office/drawing/2015/06/chart">
            <c:ext xmlns:c16="http://schemas.microsoft.com/office/drawing/2014/chart" uri="{C3380CC4-5D6E-409C-BE32-E72D297353CC}">
              <c16:uniqueId val="{00000000-790D-4A41-8C86-91EC6BDA47F6}"/>
            </c:ext>
          </c:extLst>
        </c:ser>
        <c:dLbls>
          <c:showLegendKey val="0"/>
          <c:showVal val="0"/>
          <c:showCatName val="0"/>
          <c:showSerName val="0"/>
          <c:showPercent val="0"/>
          <c:showBubbleSize val="0"/>
        </c:dLbls>
        <c:axId val="-1258260288"/>
        <c:axId val="-1258241792"/>
      </c:scatterChart>
      <c:valAx>
        <c:axId val="-1258260288"/>
        <c:scaling>
          <c:orientation val="minMax"/>
        </c:scaling>
        <c:delete val="0"/>
        <c:axPos val="b"/>
        <c:title>
          <c:tx>
            <c:rich>
              <a:bodyPr/>
              <a:lstStyle/>
              <a:p>
                <a:pPr>
                  <a:defRPr/>
                </a:pPr>
                <a:r>
                  <a:rPr lang="en-GB"/>
                  <a:t>University</a:t>
                </a:r>
                <a:r>
                  <a:rPr lang="en-GB" baseline="0"/>
                  <a:t> rank</a:t>
                </a:r>
                <a:endParaRPr lang="en-GB"/>
              </a:p>
            </c:rich>
          </c:tx>
          <c:overlay val="0"/>
        </c:title>
        <c:numFmt formatCode="General" sourceLinked="1"/>
        <c:majorTickMark val="none"/>
        <c:minorTickMark val="none"/>
        <c:tickLblPos val="nextTo"/>
        <c:crossAx val="-1258241792"/>
        <c:crosses val="autoZero"/>
        <c:crossBetween val="midCat"/>
      </c:valAx>
      <c:valAx>
        <c:axId val="-1258241792"/>
        <c:scaling>
          <c:orientation val="minMax"/>
        </c:scaling>
        <c:delete val="0"/>
        <c:axPos val="l"/>
        <c:majorGridlines/>
        <c:title>
          <c:tx>
            <c:rich>
              <a:bodyPr/>
              <a:lstStyle/>
              <a:p>
                <a:pPr>
                  <a:defRPr/>
                </a:pPr>
                <a:r>
                  <a:rPr lang="en-GB"/>
                  <a:t>% non-EU tuition fee income</a:t>
                </a:r>
              </a:p>
            </c:rich>
          </c:tx>
          <c:overlay val="0"/>
        </c:title>
        <c:numFmt formatCode="General" sourceLinked="1"/>
        <c:majorTickMark val="none"/>
        <c:minorTickMark val="none"/>
        <c:tickLblPos val="nextTo"/>
        <c:crossAx val="-125826028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solidFill>
                  <a:srgbClr val="5F705C"/>
                </a:solidFill>
              </a:defRPr>
            </a:pPr>
            <a:r>
              <a:rPr lang="en-GB" sz="900">
                <a:solidFill>
                  <a:srgbClr val="5F705C"/>
                </a:solidFill>
              </a:rPr>
              <a:t>Figure 2: Hypothetical cost and revenue curves for rent-seeking overseas partnerships</a:t>
            </a:r>
          </a:p>
        </c:rich>
      </c:tx>
      <c:overlay val="0"/>
    </c:title>
    <c:autoTitleDeleted val="0"/>
    <c:plotArea>
      <c:layout/>
      <c:lineChart>
        <c:grouping val="standard"/>
        <c:varyColors val="0"/>
        <c:ser>
          <c:idx val="0"/>
          <c:order val="0"/>
          <c:tx>
            <c:strRef>
              <c:f>[6]Sheet1!$C$10:$C$11</c:f>
              <c:strCache>
                <c:ptCount val="1"/>
                <c:pt idx="0">
                  <c:v>Marginal  cost</c:v>
                </c:pt>
              </c:strCache>
            </c:strRef>
          </c:tx>
          <c:marker>
            <c:symbol val="none"/>
          </c:marker>
          <c:val>
            <c:numRef>
              <c:f>[6]Sheet1!$C$12:$C$21</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smooth val="0"/>
          <c:extLst xmlns:c16r2="http://schemas.microsoft.com/office/drawing/2015/06/chart">
            <c:ext xmlns:c16="http://schemas.microsoft.com/office/drawing/2014/chart" uri="{C3380CC4-5D6E-409C-BE32-E72D297353CC}">
              <c16:uniqueId val="{00000000-652D-4507-88FD-3C9412424E81}"/>
            </c:ext>
          </c:extLst>
        </c:ser>
        <c:ser>
          <c:idx val="1"/>
          <c:order val="1"/>
          <c:tx>
            <c:strRef>
              <c:f>[6]Sheet1!$D$10:$D$11</c:f>
              <c:strCache>
                <c:ptCount val="1"/>
                <c:pt idx="0">
                  <c:v>Average cost</c:v>
                </c:pt>
              </c:strCache>
            </c:strRef>
          </c:tx>
          <c:marker>
            <c:symbol val="none"/>
          </c:marker>
          <c:val>
            <c:numRef>
              <c:f>[6]Sheet1!$D$12:$D$21</c:f>
              <c:numCache>
                <c:formatCode>General</c:formatCode>
                <c:ptCount val="10"/>
                <c:pt idx="0">
                  <c:v>600</c:v>
                </c:pt>
                <c:pt idx="1">
                  <c:v>350</c:v>
                </c:pt>
                <c:pt idx="2">
                  <c:v>266.6666666666668</c:v>
                </c:pt>
                <c:pt idx="3">
                  <c:v>225</c:v>
                </c:pt>
                <c:pt idx="4">
                  <c:v>200</c:v>
                </c:pt>
                <c:pt idx="5">
                  <c:v>183.33333333333329</c:v>
                </c:pt>
                <c:pt idx="6">
                  <c:v>171.42857142857139</c:v>
                </c:pt>
                <c:pt idx="7">
                  <c:v>162.5</c:v>
                </c:pt>
                <c:pt idx="8">
                  <c:v>155.55555555555549</c:v>
                </c:pt>
                <c:pt idx="9">
                  <c:v>150</c:v>
                </c:pt>
              </c:numCache>
            </c:numRef>
          </c:val>
          <c:smooth val="0"/>
          <c:extLst xmlns:c16r2="http://schemas.microsoft.com/office/drawing/2015/06/chart">
            <c:ext xmlns:c16="http://schemas.microsoft.com/office/drawing/2014/chart" uri="{C3380CC4-5D6E-409C-BE32-E72D297353CC}">
              <c16:uniqueId val="{00000001-652D-4507-88FD-3C9412424E81}"/>
            </c:ext>
          </c:extLst>
        </c:ser>
        <c:ser>
          <c:idx val="2"/>
          <c:order val="2"/>
          <c:tx>
            <c:strRef>
              <c:f>[6]Sheet1!$E$10:$E$11</c:f>
              <c:strCache>
                <c:ptCount val="1"/>
                <c:pt idx="0">
                  <c:v>Average/ marginal revenue</c:v>
                </c:pt>
              </c:strCache>
            </c:strRef>
          </c:tx>
          <c:spPr>
            <a:ln>
              <a:solidFill>
                <a:schemeClr val="accent6">
                  <a:lumMod val="75000"/>
                </a:schemeClr>
              </a:solidFill>
            </a:ln>
          </c:spPr>
          <c:marker>
            <c:symbol val="none"/>
          </c:marker>
          <c:val>
            <c:numRef>
              <c:f>[6]Sheet1!$E$12:$E$21</c:f>
              <c:numCache>
                <c:formatCode>General</c:formatCode>
                <c:ptCount val="10"/>
                <c:pt idx="0">
                  <c:v>250</c:v>
                </c:pt>
                <c:pt idx="1">
                  <c:v>250</c:v>
                </c:pt>
                <c:pt idx="2">
                  <c:v>250</c:v>
                </c:pt>
                <c:pt idx="3">
                  <c:v>250</c:v>
                </c:pt>
                <c:pt idx="4">
                  <c:v>250</c:v>
                </c:pt>
                <c:pt idx="5">
                  <c:v>250</c:v>
                </c:pt>
                <c:pt idx="6">
                  <c:v>250</c:v>
                </c:pt>
                <c:pt idx="7">
                  <c:v>250</c:v>
                </c:pt>
                <c:pt idx="8">
                  <c:v>250</c:v>
                </c:pt>
                <c:pt idx="9">
                  <c:v>250</c:v>
                </c:pt>
              </c:numCache>
            </c:numRef>
          </c:val>
          <c:smooth val="0"/>
          <c:extLst xmlns:c16r2="http://schemas.microsoft.com/office/drawing/2015/06/chart">
            <c:ext xmlns:c16="http://schemas.microsoft.com/office/drawing/2014/chart" uri="{C3380CC4-5D6E-409C-BE32-E72D297353CC}">
              <c16:uniqueId val="{00000002-652D-4507-88FD-3C9412424E81}"/>
            </c:ext>
          </c:extLst>
        </c:ser>
        <c:dLbls>
          <c:showLegendKey val="0"/>
          <c:showVal val="0"/>
          <c:showCatName val="0"/>
          <c:showSerName val="0"/>
          <c:showPercent val="0"/>
          <c:showBubbleSize val="0"/>
        </c:dLbls>
        <c:smooth val="0"/>
        <c:axId val="-1258252672"/>
        <c:axId val="-1258267904"/>
      </c:lineChart>
      <c:catAx>
        <c:axId val="-1258252672"/>
        <c:scaling>
          <c:orientation val="minMax"/>
        </c:scaling>
        <c:delete val="0"/>
        <c:axPos val="b"/>
        <c:numFmt formatCode="General" sourceLinked="1"/>
        <c:majorTickMark val="none"/>
        <c:minorTickMark val="none"/>
        <c:tickLblPos val="nextTo"/>
        <c:crossAx val="-1258267904"/>
        <c:crosses val="autoZero"/>
        <c:auto val="1"/>
        <c:lblAlgn val="ctr"/>
        <c:lblOffset val="100"/>
        <c:noMultiLvlLbl val="0"/>
      </c:catAx>
      <c:valAx>
        <c:axId val="-1258267904"/>
        <c:scaling>
          <c:orientation val="minMax"/>
        </c:scaling>
        <c:delete val="0"/>
        <c:axPos val="l"/>
        <c:majorGridlines/>
        <c:numFmt formatCode="General" sourceLinked="1"/>
        <c:majorTickMark val="none"/>
        <c:minorTickMark val="none"/>
        <c:tickLblPos val="nextTo"/>
        <c:spPr>
          <a:ln w="9525">
            <a:noFill/>
          </a:ln>
        </c:spPr>
        <c:crossAx val="-1258252672"/>
        <c:crosses val="autoZero"/>
        <c:crossBetween val="between"/>
      </c:valAx>
      <c:spPr>
        <a:solidFill>
          <a:srgbClr val="DFE0DB"/>
        </a:solidFill>
      </c:spPr>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GB" sz="900" b="1" i="0" u="none" strike="noStrike" baseline="0">
                <a:solidFill>
                  <a:srgbClr val="5F705C"/>
                </a:solidFill>
                <a:effectLst/>
              </a:rPr>
              <a:t>Figure 3: Revenue/student earned from the overseas partnerships of British unversities, 2015/16 (£)</a:t>
            </a:r>
            <a:endParaRPr lang="en-GB" sz="900">
              <a:solidFill>
                <a:srgbClr val="5F705C"/>
              </a:solidFill>
            </a:endParaRPr>
          </a:p>
        </c:rich>
      </c:tx>
      <c:overlay val="0"/>
    </c:title>
    <c:autoTitleDeleted val="0"/>
    <c:plotArea>
      <c:layout/>
      <c:barChart>
        <c:barDir val="col"/>
        <c:grouping val="clustered"/>
        <c:varyColors val="0"/>
        <c:ser>
          <c:idx val="0"/>
          <c:order val="0"/>
          <c:spPr>
            <a:solidFill>
              <a:srgbClr val="900C0B"/>
            </a:solidFill>
          </c:spPr>
          <c:invertIfNegative val="0"/>
          <c:cat>
            <c:strRef>
              <c:f>'E:\[TNEmasterSATURDAY.xlsx]fig37FVArevperstudent'!$B$2:$B$56</c:f>
              <c:strCache>
                <c:ptCount val="55"/>
                <c:pt idx="0">
                  <c:v>Open University </c:v>
                </c:pt>
                <c:pt idx="1">
                  <c:v>Abertay</c:v>
                </c:pt>
                <c:pt idx="2">
                  <c:v>Ulster</c:v>
                </c:pt>
                <c:pt idx="3">
                  <c:v>Newcastle</c:v>
                </c:pt>
                <c:pt idx="4">
                  <c:v>Cardiff Met.</c:v>
                </c:pt>
                <c:pt idx="5">
                  <c:v>Staffordshire </c:v>
                </c:pt>
                <c:pt idx="6">
                  <c:v>Wales Central Functions</c:v>
                </c:pt>
                <c:pt idx="7">
                  <c:v>York St John </c:v>
                </c:pt>
                <c:pt idx="8">
                  <c:v>Chester</c:v>
                </c:pt>
                <c:pt idx="9">
                  <c:v>Manchester</c:v>
                </c:pt>
                <c:pt idx="10">
                  <c:v>Greenwich</c:v>
                </c:pt>
                <c:pt idx="11">
                  <c:v>Liverpool JM</c:v>
                </c:pt>
                <c:pt idx="12">
                  <c:v>London South Bank </c:v>
                </c:pt>
                <c:pt idx="13">
                  <c:v>Plymouth Marjon</c:v>
                </c:pt>
                <c:pt idx="14">
                  <c:v>Imperial College</c:v>
                </c:pt>
                <c:pt idx="15">
                  <c:v>Lancaster</c:v>
                </c:pt>
                <c:pt idx="16">
                  <c:v>Stirling</c:v>
                </c:pt>
                <c:pt idx="17">
                  <c:v>Roehampton </c:v>
                </c:pt>
                <c:pt idx="18">
                  <c:v>Buckinghamshire </c:v>
                </c:pt>
                <c:pt idx="19">
                  <c:v>Lincoln</c:v>
                </c:pt>
                <c:pt idx="20">
                  <c:v>East London</c:v>
                </c:pt>
                <c:pt idx="21">
                  <c:v>West of England*</c:v>
                </c:pt>
                <c:pt idx="22">
                  <c:v>Heriot-Watt </c:v>
                </c:pt>
                <c:pt idx="23">
                  <c:v>Leeds Beckett </c:v>
                </c:pt>
                <c:pt idx="24">
                  <c:v>Middlesex </c:v>
                </c:pt>
                <c:pt idx="25">
                  <c:v>Anglia Ruskin </c:v>
                </c:pt>
                <c:pt idx="26">
                  <c:v>Chichester</c:v>
                </c:pt>
                <c:pt idx="27">
                  <c:v>Teeside</c:v>
                </c:pt>
                <c:pt idx="28">
                  <c:v>Huddersfield</c:v>
                </c:pt>
                <c:pt idx="29">
                  <c:v>Queen Margaret </c:v>
                </c:pt>
                <c:pt idx="30">
                  <c:v>Bedfordshire</c:v>
                </c:pt>
                <c:pt idx="31">
                  <c:v>Cumbria</c:v>
                </c:pt>
                <c:pt idx="32">
                  <c:v>Plymouth</c:v>
                </c:pt>
                <c:pt idx="33">
                  <c:v>Keele </c:v>
                </c:pt>
                <c:pt idx="34">
                  <c:v>Wolverhampton</c:v>
                </c:pt>
                <c:pt idx="35">
                  <c:v>Canterbury </c:v>
                </c:pt>
                <c:pt idx="36">
                  <c:v>Salford</c:v>
                </c:pt>
                <c:pt idx="37">
                  <c:v>Derby</c:v>
                </c:pt>
                <c:pt idx="38">
                  <c:v>Aston </c:v>
                </c:pt>
                <c:pt idx="39">
                  <c:v>Central Lancashire</c:v>
                </c:pt>
                <c:pt idx="40">
                  <c:v>Glyndŵr </c:v>
                </c:pt>
                <c:pt idx="41">
                  <c:v>Robert Gordon </c:v>
                </c:pt>
                <c:pt idx="42">
                  <c:v>Northumbria </c:v>
                </c:pt>
                <c:pt idx="43">
                  <c:v>Gloucestershire</c:v>
                </c:pt>
                <c:pt idx="44">
                  <c:v>Edinburgh Napier </c:v>
                </c:pt>
                <c:pt idx="45">
                  <c:v>Essex</c:v>
                </c:pt>
                <c:pt idx="46">
                  <c:v>Worcester</c:v>
                </c:pt>
                <c:pt idx="47">
                  <c:v>London Met</c:v>
                </c:pt>
                <c:pt idx="48">
                  <c:v>Northampton</c:v>
                </c:pt>
                <c:pt idx="49">
                  <c:v>Brighton</c:v>
                </c:pt>
                <c:pt idx="50">
                  <c:v>Royal Holloway</c:v>
                </c:pt>
                <c:pt idx="51">
                  <c:v>Sheffield Hallam</c:v>
                </c:pt>
                <c:pt idx="52">
                  <c:v>Kingston </c:v>
                </c:pt>
                <c:pt idx="53">
                  <c:v>Sunderland</c:v>
                </c:pt>
                <c:pt idx="54">
                  <c:v>Surrey</c:v>
                </c:pt>
              </c:strCache>
            </c:strRef>
          </c:cat>
          <c:val>
            <c:numRef>
              <c:f>'E:\[TNEmasterSATURDAY.xlsx]fig37FVArevperstudent'!$C$2:$C$56</c:f>
              <c:numCache>
                <c:formatCode>General</c:formatCode>
                <c:ptCount val="55"/>
                <c:pt idx="0">
                  <c:v>115</c:v>
                </c:pt>
                <c:pt idx="1">
                  <c:v>132</c:v>
                </c:pt>
                <c:pt idx="2">
                  <c:v>144</c:v>
                </c:pt>
                <c:pt idx="3">
                  <c:v>230</c:v>
                </c:pt>
                <c:pt idx="4">
                  <c:v>245</c:v>
                </c:pt>
                <c:pt idx="5">
                  <c:v>250</c:v>
                </c:pt>
                <c:pt idx="6">
                  <c:v>302</c:v>
                </c:pt>
                <c:pt idx="7">
                  <c:v>319</c:v>
                </c:pt>
                <c:pt idx="8">
                  <c:v>370</c:v>
                </c:pt>
                <c:pt idx="9">
                  <c:v>375</c:v>
                </c:pt>
                <c:pt idx="10">
                  <c:v>401</c:v>
                </c:pt>
                <c:pt idx="11">
                  <c:v>405</c:v>
                </c:pt>
                <c:pt idx="12">
                  <c:v>412</c:v>
                </c:pt>
                <c:pt idx="13">
                  <c:v>447</c:v>
                </c:pt>
                <c:pt idx="14">
                  <c:v>465</c:v>
                </c:pt>
                <c:pt idx="15">
                  <c:v>485</c:v>
                </c:pt>
                <c:pt idx="16">
                  <c:v>488</c:v>
                </c:pt>
                <c:pt idx="17">
                  <c:v>491</c:v>
                </c:pt>
                <c:pt idx="18">
                  <c:v>495</c:v>
                </c:pt>
                <c:pt idx="19">
                  <c:v>502</c:v>
                </c:pt>
                <c:pt idx="20">
                  <c:v>531</c:v>
                </c:pt>
                <c:pt idx="21">
                  <c:v>532</c:v>
                </c:pt>
                <c:pt idx="22">
                  <c:v>543</c:v>
                </c:pt>
                <c:pt idx="23">
                  <c:v>601</c:v>
                </c:pt>
                <c:pt idx="24">
                  <c:v>613</c:v>
                </c:pt>
                <c:pt idx="25">
                  <c:v>621</c:v>
                </c:pt>
                <c:pt idx="26">
                  <c:v>636</c:v>
                </c:pt>
                <c:pt idx="27">
                  <c:v>677</c:v>
                </c:pt>
                <c:pt idx="28">
                  <c:v>703</c:v>
                </c:pt>
                <c:pt idx="29">
                  <c:v>714</c:v>
                </c:pt>
                <c:pt idx="30">
                  <c:v>727</c:v>
                </c:pt>
                <c:pt idx="31">
                  <c:v>741</c:v>
                </c:pt>
                <c:pt idx="32">
                  <c:v>764</c:v>
                </c:pt>
                <c:pt idx="33">
                  <c:v>808</c:v>
                </c:pt>
                <c:pt idx="34">
                  <c:v>817</c:v>
                </c:pt>
                <c:pt idx="35">
                  <c:v>818</c:v>
                </c:pt>
                <c:pt idx="36">
                  <c:v>832</c:v>
                </c:pt>
                <c:pt idx="37">
                  <c:v>936</c:v>
                </c:pt>
                <c:pt idx="38">
                  <c:v>1013</c:v>
                </c:pt>
                <c:pt idx="39">
                  <c:v>1015</c:v>
                </c:pt>
                <c:pt idx="40">
                  <c:v>1054</c:v>
                </c:pt>
                <c:pt idx="41">
                  <c:v>1061</c:v>
                </c:pt>
                <c:pt idx="42">
                  <c:v>1082</c:v>
                </c:pt>
                <c:pt idx="43">
                  <c:v>1166</c:v>
                </c:pt>
                <c:pt idx="44">
                  <c:v>1174</c:v>
                </c:pt>
                <c:pt idx="45">
                  <c:v>1271</c:v>
                </c:pt>
                <c:pt idx="46">
                  <c:v>1405</c:v>
                </c:pt>
                <c:pt idx="47">
                  <c:v>1450</c:v>
                </c:pt>
                <c:pt idx="48">
                  <c:v>1590</c:v>
                </c:pt>
                <c:pt idx="49">
                  <c:v>1620</c:v>
                </c:pt>
                <c:pt idx="50">
                  <c:v>1783</c:v>
                </c:pt>
                <c:pt idx="51">
                  <c:v>1920</c:v>
                </c:pt>
                <c:pt idx="52">
                  <c:v>1948</c:v>
                </c:pt>
                <c:pt idx="53">
                  <c:v>2627</c:v>
                </c:pt>
                <c:pt idx="54">
                  <c:v>2778</c:v>
                </c:pt>
              </c:numCache>
            </c:numRef>
          </c:val>
          <c:extLst xmlns:c16r2="http://schemas.microsoft.com/office/drawing/2015/06/chart">
            <c:ext xmlns:c16="http://schemas.microsoft.com/office/drawing/2014/chart" uri="{C3380CC4-5D6E-409C-BE32-E72D297353CC}">
              <c16:uniqueId val="{00000000-0542-4A43-9701-9097A2D959CE}"/>
            </c:ext>
          </c:extLst>
        </c:ser>
        <c:dLbls>
          <c:showLegendKey val="0"/>
          <c:showVal val="0"/>
          <c:showCatName val="0"/>
          <c:showSerName val="0"/>
          <c:showPercent val="0"/>
          <c:showBubbleSize val="0"/>
        </c:dLbls>
        <c:gapWidth val="150"/>
        <c:axId val="-1258269536"/>
        <c:axId val="-1258268992"/>
      </c:barChart>
      <c:catAx>
        <c:axId val="-1258269536"/>
        <c:scaling>
          <c:orientation val="minMax"/>
        </c:scaling>
        <c:delete val="0"/>
        <c:axPos val="b"/>
        <c:numFmt formatCode="General" sourceLinked="0"/>
        <c:majorTickMark val="none"/>
        <c:minorTickMark val="none"/>
        <c:tickLblPos val="nextTo"/>
        <c:crossAx val="-1258268992"/>
        <c:crosses val="autoZero"/>
        <c:auto val="1"/>
        <c:lblAlgn val="ctr"/>
        <c:lblOffset val="100"/>
        <c:noMultiLvlLbl val="0"/>
      </c:catAx>
      <c:valAx>
        <c:axId val="-1258268992"/>
        <c:scaling>
          <c:orientation val="minMax"/>
        </c:scaling>
        <c:delete val="0"/>
        <c:axPos val="l"/>
        <c:majorGridlines/>
        <c:numFmt formatCode="General" sourceLinked="1"/>
        <c:majorTickMark val="none"/>
        <c:minorTickMark val="none"/>
        <c:tickLblPos val="nextTo"/>
        <c:crossAx val="-1258269536"/>
        <c:crosses val="autoZero"/>
        <c:crossBetween val="between"/>
      </c:valAx>
      <c:spPr>
        <a:solidFill>
          <a:srgbClr val="DFE0DB"/>
        </a:solidFill>
      </c:spPr>
    </c:plotArea>
    <c:plotVisOnly val="1"/>
    <c:dispBlanksAs val="gap"/>
    <c:showDLblsOverMax val="0"/>
  </c:chart>
  <c:spPr>
    <a:ln>
      <a:solidFill>
        <a:sysClr val="windowText" lastClr="000000"/>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just">
              <a:defRPr sz="900"/>
            </a:pPr>
            <a:r>
              <a:rPr lang="en-GB" sz="900" b="1" i="0" u="none" strike="noStrike" baseline="0">
                <a:solidFill>
                  <a:srgbClr val="5F705C"/>
                </a:solidFill>
                <a:effectLst/>
              </a:rPr>
              <a:t>Figure 4: Profit/student earned by UK universities from their overseas partnerships, 2015/16 (£)</a:t>
            </a:r>
            <a:endParaRPr lang="en-GB" sz="900">
              <a:solidFill>
                <a:srgbClr val="5F705C"/>
              </a:solidFill>
            </a:endParaRPr>
          </a:p>
        </c:rich>
      </c:tx>
      <c:overlay val="0"/>
    </c:title>
    <c:autoTitleDeleted val="0"/>
    <c:plotArea>
      <c:layout/>
      <c:barChart>
        <c:barDir val="col"/>
        <c:grouping val="clustered"/>
        <c:varyColors val="0"/>
        <c:ser>
          <c:idx val="0"/>
          <c:order val="0"/>
          <c:spPr>
            <a:solidFill>
              <a:srgbClr val="900C0B"/>
            </a:solidFill>
          </c:spPr>
          <c:invertIfNegative val="0"/>
          <c:cat>
            <c:strRef>
              <c:f>[3]fig32OVCsurplusperstudent2016!$A$3:$A$29</c:f>
              <c:strCache>
                <c:ptCount val="27"/>
                <c:pt idx="0">
                  <c:v>Liverpool John Moores </c:v>
                </c:pt>
                <c:pt idx="1">
                  <c:v>Imperial College</c:v>
                </c:pt>
                <c:pt idx="2">
                  <c:v>Brighton</c:v>
                </c:pt>
                <c:pt idx="3">
                  <c:v>Abertay</c:v>
                </c:pt>
                <c:pt idx="4">
                  <c:v>Lancaster</c:v>
                </c:pt>
                <c:pt idx="5">
                  <c:v>Queen Margaret </c:v>
                </c:pt>
                <c:pt idx="6">
                  <c:v>Wales Central Functions</c:v>
                </c:pt>
                <c:pt idx="7">
                  <c:v>Cardiff Metropolitan</c:v>
                </c:pt>
                <c:pt idx="8">
                  <c:v>Lincoln</c:v>
                </c:pt>
                <c:pt idx="9">
                  <c:v>Heriot-Watt </c:v>
                </c:pt>
                <c:pt idx="10">
                  <c:v>Canterbury </c:v>
                </c:pt>
                <c:pt idx="11">
                  <c:v>Stirling</c:v>
                </c:pt>
                <c:pt idx="12">
                  <c:v>Chester</c:v>
                </c:pt>
                <c:pt idx="13">
                  <c:v>London South Bank </c:v>
                </c:pt>
                <c:pt idx="14">
                  <c:v>Leeds Beckett </c:v>
                </c:pt>
                <c:pt idx="15">
                  <c:v>Keele </c:v>
                </c:pt>
                <c:pt idx="16">
                  <c:v>Plymouth Marjon</c:v>
                </c:pt>
                <c:pt idx="17">
                  <c:v>Central Lancashire</c:v>
                </c:pt>
                <c:pt idx="18">
                  <c:v>Surrey</c:v>
                </c:pt>
                <c:pt idx="19">
                  <c:v>Wolverhampton</c:v>
                </c:pt>
                <c:pt idx="20">
                  <c:v>Chichester</c:v>
                </c:pt>
                <c:pt idx="21">
                  <c:v>Buckinghamshire New</c:v>
                </c:pt>
                <c:pt idx="22">
                  <c:v>Plymouth</c:v>
                </c:pt>
                <c:pt idx="23">
                  <c:v>Robert Gordon </c:v>
                </c:pt>
                <c:pt idx="24">
                  <c:v>Northampton</c:v>
                </c:pt>
                <c:pt idx="25">
                  <c:v>Royal Holloway</c:v>
                </c:pt>
                <c:pt idx="26">
                  <c:v>Essex</c:v>
                </c:pt>
              </c:strCache>
            </c:strRef>
          </c:cat>
          <c:val>
            <c:numRef>
              <c:f>[3]fig32OVCsurplusperstudent2016!$B$3:$B$29</c:f>
              <c:numCache>
                <c:formatCode>General</c:formatCode>
                <c:ptCount val="27"/>
                <c:pt idx="0">
                  <c:v>-417</c:v>
                </c:pt>
                <c:pt idx="1">
                  <c:v>-77</c:v>
                </c:pt>
                <c:pt idx="2">
                  <c:v>0</c:v>
                </c:pt>
                <c:pt idx="3">
                  <c:v>0</c:v>
                </c:pt>
                <c:pt idx="4">
                  <c:v>61</c:v>
                </c:pt>
                <c:pt idx="5">
                  <c:v>65</c:v>
                </c:pt>
                <c:pt idx="6">
                  <c:v>79</c:v>
                </c:pt>
                <c:pt idx="7">
                  <c:v>104</c:v>
                </c:pt>
                <c:pt idx="8">
                  <c:v>152</c:v>
                </c:pt>
                <c:pt idx="9">
                  <c:v>152</c:v>
                </c:pt>
                <c:pt idx="10">
                  <c:v>197</c:v>
                </c:pt>
                <c:pt idx="11">
                  <c:v>200</c:v>
                </c:pt>
                <c:pt idx="12">
                  <c:v>271</c:v>
                </c:pt>
                <c:pt idx="13">
                  <c:v>287</c:v>
                </c:pt>
                <c:pt idx="14">
                  <c:v>289</c:v>
                </c:pt>
                <c:pt idx="15">
                  <c:v>316</c:v>
                </c:pt>
                <c:pt idx="16">
                  <c:v>332</c:v>
                </c:pt>
                <c:pt idx="17">
                  <c:v>372</c:v>
                </c:pt>
                <c:pt idx="18">
                  <c:v>400</c:v>
                </c:pt>
                <c:pt idx="19">
                  <c:v>417</c:v>
                </c:pt>
                <c:pt idx="20">
                  <c:v>440</c:v>
                </c:pt>
                <c:pt idx="21">
                  <c:v>461</c:v>
                </c:pt>
                <c:pt idx="22">
                  <c:v>498</c:v>
                </c:pt>
                <c:pt idx="23">
                  <c:v>575</c:v>
                </c:pt>
                <c:pt idx="24">
                  <c:v>701</c:v>
                </c:pt>
                <c:pt idx="25">
                  <c:v>1101</c:v>
                </c:pt>
                <c:pt idx="26">
                  <c:v>1205</c:v>
                </c:pt>
              </c:numCache>
            </c:numRef>
          </c:val>
          <c:extLst xmlns:c16r2="http://schemas.microsoft.com/office/drawing/2015/06/chart">
            <c:ext xmlns:c16="http://schemas.microsoft.com/office/drawing/2014/chart" uri="{C3380CC4-5D6E-409C-BE32-E72D297353CC}">
              <c16:uniqueId val="{00000000-2DA4-483E-AAA3-7E17810C1FA3}"/>
            </c:ext>
          </c:extLst>
        </c:ser>
        <c:dLbls>
          <c:showLegendKey val="0"/>
          <c:showVal val="0"/>
          <c:showCatName val="0"/>
          <c:showSerName val="0"/>
          <c:showPercent val="0"/>
          <c:showBubbleSize val="0"/>
        </c:dLbls>
        <c:gapWidth val="150"/>
        <c:axId val="-1258254848"/>
        <c:axId val="-1258263552"/>
      </c:barChart>
      <c:catAx>
        <c:axId val="-1258254848"/>
        <c:scaling>
          <c:orientation val="minMax"/>
        </c:scaling>
        <c:delete val="0"/>
        <c:axPos val="b"/>
        <c:numFmt formatCode="General" sourceLinked="0"/>
        <c:majorTickMark val="none"/>
        <c:minorTickMark val="none"/>
        <c:tickLblPos val="nextTo"/>
        <c:crossAx val="-1258263552"/>
        <c:crosses val="autoZero"/>
        <c:auto val="1"/>
        <c:lblAlgn val="ctr"/>
        <c:lblOffset val="100"/>
        <c:noMultiLvlLbl val="0"/>
      </c:catAx>
      <c:valAx>
        <c:axId val="-1258263552"/>
        <c:scaling>
          <c:orientation val="minMax"/>
        </c:scaling>
        <c:delete val="0"/>
        <c:axPos val="l"/>
        <c:majorGridlines/>
        <c:numFmt formatCode="General" sourceLinked="1"/>
        <c:majorTickMark val="none"/>
        <c:minorTickMark val="none"/>
        <c:tickLblPos val="nextTo"/>
        <c:crossAx val="-1258254848"/>
        <c:crosses val="autoZero"/>
        <c:crossBetween val="between"/>
      </c:valAx>
      <c:spPr>
        <a:solidFill>
          <a:srgbClr val="DFE0DB"/>
        </a:solidFill>
      </c:spPr>
    </c:plotArea>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solidFill>
                  <a:srgbClr val="5F705C"/>
                </a:solidFill>
              </a:defRPr>
            </a:pPr>
            <a:r>
              <a:rPr lang="en-GB" sz="900">
                <a:solidFill>
                  <a:srgbClr val="5F705C"/>
                </a:solidFill>
              </a:rPr>
              <a:t>Figure 5: Hypothetical cost and revenue curves for overseas</a:t>
            </a:r>
            <a:r>
              <a:rPr lang="en-GB" sz="900" baseline="0">
                <a:solidFill>
                  <a:srgbClr val="5F705C"/>
                </a:solidFill>
              </a:rPr>
              <a:t> distance learning </a:t>
            </a:r>
            <a:r>
              <a:rPr lang="en-GB" sz="900">
                <a:solidFill>
                  <a:srgbClr val="5F705C"/>
                </a:solidFill>
              </a:rPr>
              <a:t>provision.</a:t>
            </a:r>
          </a:p>
        </c:rich>
      </c:tx>
      <c:overlay val="0"/>
    </c:title>
    <c:autoTitleDeleted val="0"/>
    <c:plotArea>
      <c:layout/>
      <c:lineChart>
        <c:grouping val="standard"/>
        <c:varyColors val="0"/>
        <c:ser>
          <c:idx val="0"/>
          <c:order val="0"/>
          <c:tx>
            <c:strRef>
              <c:f>[6]Sheet2!$E$3</c:f>
              <c:strCache>
                <c:ptCount val="1"/>
                <c:pt idx="0">
                  <c:v>Average revenue</c:v>
                </c:pt>
              </c:strCache>
            </c:strRef>
          </c:tx>
          <c:marker>
            <c:symbol val="none"/>
          </c:marker>
          <c:val>
            <c:numRef>
              <c:f>[6]Sheet2!$E$4:$E$38</c:f>
              <c:numCache>
                <c:formatCode>General</c:formatCode>
                <c:ptCount val="35"/>
                <c:pt idx="0">
                  <c:v>800</c:v>
                </c:pt>
                <c:pt idx="1">
                  <c:v>775</c:v>
                </c:pt>
                <c:pt idx="2">
                  <c:v>750</c:v>
                </c:pt>
                <c:pt idx="3">
                  <c:v>725</c:v>
                </c:pt>
                <c:pt idx="4">
                  <c:v>700</c:v>
                </c:pt>
                <c:pt idx="5">
                  <c:v>675</c:v>
                </c:pt>
                <c:pt idx="6">
                  <c:v>650</c:v>
                </c:pt>
                <c:pt idx="7">
                  <c:v>625</c:v>
                </c:pt>
                <c:pt idx="8">
                  <c:v>600</c:v>
                </c:pt>
                <c:pt idx="9">
                  <c:v>575</c:v>
                </c:pt>
                <c:pt idx="10">
                  <c:v>550</c:v>
                </c:pt>
                <c:pt idx="11">
                  <c:v>525</c:v>
                </c:pt>
                <c:pt idx="12">
                  <c:v>500</c:v>
                </c:pt>
                <c:pt idx="13">
                  <c:v>475</c:v>
                </c:pt>
                <c:pt idx="14">
                  <c:v>450</c:v>
                </c:pt>
                <c:pt idx="15">
                  <c:v>425</c:v>
                </c:pt>
                <c:pt idx="16">
                  <c:v>400</c:v>
                </c:pt>
                <c:pt idx="17">
                  <c:v>375</c:v>
                </c:pt>
                <c:pt idx="18">
                  <c:v>350</c:v>
                </c:pt>
                <c:pt idx="19">
                  <c:v>325</c:v>
                </c:pt>
                <c:pt idx="20">
                  <c:v>300</c:v>
                </c:pt>
                <c:pt idx="21">
                  <c:v>275</c:v>
                </c:pt>
                <c:pt idx="22">
                  <c:v>250</c:v>
                </c:pt>
                <c:pt idx="23">
                  <c:v>225</c:v>
                </c:pt>
                <c:pt idx="24">
                  <c:v>200</c:v>
                </c:pt>
                <c:pt idx="25">
                  <c:v>175</c:v>
                </c:pt>
                <c:pt idx="26">
                  <c:v>150</c:v>
                </c:pt>
                <c:pt idx="27">
                  <c:v>125</c:v>
                </c:pt>
                <c:pt idx="28">
                  <c:v>100</c:v>
                </c:pt>
                <c:pt idx="29">
                  <c:v>75</c:v>
                </c:pt>
                <c:pt idx="30">
                  <c:v>50</c:v>
                </c:pt>
                <c:pt idx="31">
                  <c:v>25</c:v>
                </c:pt>
              </c:numCache>
            </c:numRef>
          </c:val>
          <c:smooth val="0"/>
          <c:extLst xmlns:c16r2="http://schemas.microsoft.com/office/drawing/2015/06/chart">
            <c:ext xmlns:c16="http://schemas.microsoft.com/office/drawing/2014/chart" uri="{C3380CC4-5D6E-409C-BE32-E72D297353CC}">
              <c16:uniqueId val="{00000000-5708-4925-9AF8-88D1CD8056F4}"/>
            </c:ext>
          </c:extLst>
        </c:ser>
        <c:ser>
          <c:idx val="1"/>
          <c:order val="1"/>
          <c:tx>
            <c:strRef>
              <c:f>[6]Sheet2!$F$3</c:f>
              <c:strCache>
                <c:ptCount val="1"/>
                <c:pt idx="0">
                  <c:v>Marginal revenue</c:v>
                </c:pt>
              </c:strCache>
            </c:strRef>
          </c:tx>
          <c:marker>
            <c:symbol val="none"/>
          </c:marker>
          <c:val>
            <c:numRef>
              <c:f>[6]Sheet2!$F$4:$F$38</c:f>
              <c:numCache>
                <c:formatCode>General</c:formatCode>
                <c:ptCount val="35"/>
                <c:pt idx="1">
                  <c:v>375</c:v>
                </c:pt>
                <c:pt idx="2">
                  <c:v>233.3333333333334</c:v>
                </c:pt>
                <c:pt idx="3">
                  <c:v>162.5</c:v>
                </c:pt>
                <c:pt idx="4">
                  <c:v>120</c:v>
                </c:pt>
                <c:pt idx="5">
                  <c:v>91.666666666666671</c:v>
                </c:pt>
                <c:pt idx="6">
                  <c:v>71.42857142857136</c:v>
                </c:pt>
                <c:pt idx="7">
                  <c:v>56.25</c:v>
                </c:pt>
                <c:pt idx="8">
                  <c:v>44.444444444444343</c:v>
                </c:pt>
                <c:pt idx="9">
                  <c:v>35</c:v>
                </c:pt>
                <c:pt idx="10">
                  <c:v>27.272727272727209</c:v>
                </c:pt>
                <c:pt idx="11">
                  <c:v>20.833333333333279</c:v>
                </c:pt>
                <c:pt idx="12">
                  <c:v>15.38461538461538</c:v>
                </c:pt>
                <c:pt idx="13">
                  <c:v>10.71428571428571</c:v>
                </c:pt>
                <c:pt idx="14">
                  <c:v>6.666666666666667</c:v>
                </c:pt>
                <c:pt idx="15">
                  <c:v>3.125</c:v>
                </c:pt>
                <c:pt idx="16">
                  <c:v>0</c:v>
                </c:pt>
                <c:pt idx="17">
                  <c:v>-2.7777777777777781</c:v>
                </c:pt>
                <c:pt idx="18">
                  <c:v>-5.2631578947368416</c:v>
                </c:pt>
                <c:pt idx="19">
                  <c:v>-7.5</c:v>
                </c:pt>
                <c:pt idx="20">
                  <c:v>-9.5238095238095237</c:v>
                </c:pt>
                <c:pt idx="21">
                  <c:v>-11.36363636363637</c:v>
                </c:pt>
                <c:pt idx="22">
                  <c:v>-13.043478260869559</c:v>
                </c:pt>
                <c:pt idx="23">
                  <c:v>-14.58333333333333</c:v>
                </c:pt>
                <c:pt idx="24">
                  <c:v>-16</c:v>
                </c:pt>
                <c:pt idx="25">
                  <c:v>-17.30769230769231</c:v>
                </c:pt>
                <c:pt idx="26">
                  <c:v>-18.518518518518519</c:v>
                </c:pt>
                <c:pt idx="27">
                  <c:v>-19.642857142857149</c:v>
                </c:pt>
                <c:pt idx="28">
                  <c:v>-20.68965517241379</c:v>
                </c:pt>
                <c:pt idx="29">
                  <c:v>-21.666666666666671</c:v>
                </c:pt>
                <c:pt idx="30">
                  <c:v>-22.58064516129032</c:v>
                </c:pt>
                <c:pt idx="31">
                  <c:v>-23.4375</c:v>
                </c:pt>
              </c:numCache>
            </c:numRef>
          </c:val>
          <c:smooth val="0"/>
          <c:extLst xmlns:c16r2="http://schemas.microsoft.com/office/drawing/2015/06/chart">
            <c:ext xmlns:c16="http://schemas.microsoft.com/office/drawing/2014/chart" uri="{C3380CC4-5D6E-409C-BE32-E72D297353CC}">
              <c16:uniqueId val="{00000001-5708-4925-9AF8-88D1CD8056F4}"/>
            </c:ext>
          </c:extLst>
        </c:ser>
        <c:ser>
          <c:idx val="2"/>
          <c:order val="2"/>
          <c:tx>
            <c:strRef>
              <c:f>[6]Sheet2!$G$3</c:f>
              <c:strCache>
                <c:ptCount val="1"/>
                <c:pt idx="0">
                  <c:v>Marginal costs</c:v>
                </c:pt>
              </c:strCache>
            </c:strRef>
          </c:tx>
          <c:spPr>
            <a:ln>
              <a:solidFill>
                <a:schemeClr val="accent6">
                  <a:lumMod val="75000"/>
                </a:schemeClr>
              </a:solidFill>
            </a:ln>
          </c:spPr>
          <c:marker>
            <c:symbol val="none"/>
          </c:marker>
          <c:val>
            <c:numRef>
              <c:f>[6]Sheet2!$G$4:$G$38</c:f>
              <c:numCache>
                <c:formatCode>General</c:formatCode>
                <c:ptCount val="35"/>
                <c:pt idx="0">
                  <c:v>170</c:v>
                </c:pt>
                <c:pt idx="1">
                  <c:v>170</c:v>
                </c:pt>
                <c:pt idx="2">
                  <c:v>170</c:v>
                </c:pt>
                <c:pt idx="3">
                  <c:v>170</c:v>
                </c:pt>
                <c:pt idx="4">
                  <c:v>170</c:v>
                </c:pt>
                <c:pt idx="5">
                  <c:v>170</c:v>
                </c:pt>
                <c:pt idx="6">
                  <c:v>170</c:v>
                </c:pt>
                <c:pt idx="7">
                  <c:v>170</c:v>
                </c:pt>
                <c:pt idx="8">
                  <c:v>170</c:v>
                </c:pt>
                <c:pt idx="9">
                  <c:v>170</c:v>
                </c:pt>
                <c:pt idx="10">
                  <c:v>170</c:v>
                </c:pt>
                <c:pt idx="11">
                  <c:v>170</c:v>
                </c:pt>
                <c:pt idx="12">
                  <c:v>170</c:v>
                </c:pt>
                <c:pt idx="13">
                  <c:v>170</c:v>
                </c:pt>
                <c:pt idx="14">
                  <c:v>170</c:v>
                </c:pt>
                <c:pt idx="15">
                  <c:v>170</c:v>
                </c:pt>
                <c:pt idx="16">
                  <c:v>170</c:v>
                </c:pt>
                <c:pt idx="17">
                  <c:v>170</c:v>
                </c:pt>
                <c:pt idx="18">
                  <c:v>170</c:v>
                </c:pt>
                <c:pt idx="19">
                  <c:v>170</c:v>
                </c:pt>
                <c:pt idx="20">
                  <c:v>170</c:v>
                </c:pt>
                <c:pt idx="21">
                  <c:v>170</c:v>
                </c:pt>
                <c:pt idx="22">
                  <c:v>170</c:v>
                </c:pt>
                <c:pt idx="23">
                  <c:v>170</c:v>
                </c:pt>
                <c:pt idx="24">
                  <c:v>170</c:v>
                </c:pt>
                <c:pt idx="25">
                  <c:v>170</c:v>
                </c:pt>
                <c:pt idx="26">
                  <c:v>170</c:v>
                </c:pt>
                <c:pt idx="27">
                  <c:v>170</c:v>
                </c:pt>
                <c:pt idx="28">
                  <c:v>170</c:v>
                </c:pt>
                <c:pt idx="29">
                  <c:v>170</c:v>
                </c:pt>
                <c:pt idx="30">
                  <c:v>170</c:v>
                </c:pt>
                <c:pt idx="31">
                  <c:v>170</c:v>
                </c:pt>
                <c:pt idx="32">
                  <c:v>170</c:v>
                </c:pt>
                <c:pt idx="33">
                  <c:v>170</c:v>
                </c:pt>
                <c:pt idx="34">
                  <c:v>170</c:v>
                </c:pt>
              </c:numCache>
            </c:numRef>
          </c:val>
          <c:smooth val="0"/>
          <c:extLst xmlns:c16r2="http://schemas.microsoft.com/office/drawing/2015/06/chart">
            <c:ext xmlns:c16="http://schemas.microsoft.com/office/drawing/2014/chart" uri="{C3380CC4-5D6E-409C-BE32-E72D297353CC}">
              <c16:uniqueId val="{00000002-5708-4925-9AF8-88D1CD8056F4}"/>
            </c:ext>
          </c:extLst>
        </c:ser>
        <c:ser>
          <c:idx val="3"/>
          <c:order val="3"/>
          <c:tx>
            <c:strRef>
              <c:f>[6]Sheet2!$H$3</c:f>
              <c:strCache>
                <c:ptCount val="1"/>
                <c:pt idx="0">
                  <c:v>Average costs</c:v>
                </c:pt>
              </c:strCache>
            </c:strRef>
          </c:tx>
          <c:marker>
            <c:symbol val="none"/>
          </c:marker>
          <c:val>
            <c:numRef>
              <c:f>[6]Sheet2!$H$4:$H$38</c:f>
              <c:numCache>
                <c:formatCode>General</c:formatCode>
                <c:ptCount val="35"/>
                <c:pt idx="0">
                  <c:v>1501.7</c:v>
                </c:pt>
                <c:pt idx="1">
                  <c:v>750.84999999999934</c:v>
                </c:pt>
                <c:pt idx="2">
                  <c:v>500.56666666666672</c:v>
                </c:pt>
                <c:pt idx="3">
                  <c:v>375.42500000000001</c:v>
                </c:pt>
                <c:pt idx="4">
                  <c:v>300.33999999999992</c:v>
                </c:pt>
                <c:pt idx="5">
                  <c:v>250.28333333333339</c:v>
                </c:pt>
                <c:pt idx="6">
                  <c:v>214.52857142857141</c:v>
                </c:pt>
                <c:pt idx="7">
                  <c:v>187.71250000000001</c:v>
                </c:pt>
                <c:pt idx="8">
                  <c:v>166.85555555555561</c:v>
                </c:pt>
                <c:pt idx="9">
                  <c:v>150.16999999999999</c:v>
                </c:pt>
                <c:pt idx="10">
                  <c:v>136.5181818181818</c:v>
                </c:pt>
                <c:pt idx="11">
                  <c:v>125.14166666666669</c:v>
                </c:pt>
                <c:pt idx="12">
                  <c:v>115.5153846153846</c:v>
                </c:pt>
                <c:pt idx="13">
                  <c:v>107.26428571428571</c:v>
                </c:pt>
                <c:pt idx="14">
                  <c:v>100.1133333333333</c:v>
                </c:pt>
                <c:pt idx="15">
                  <c:v>93.856250000000003</c:v>
                </c:pt>
                <c:pt idx="16">
                  <c:v>88.335294117647052</c:v>
                </c:pt>
                <c:pt idx="17">
                  <c:v>83.427777777777749</c:v>
                </c:pt>
                <c:pt idx="18">
                  <c:v>79.036842105263148</c:v>
                </c:pt>
                <c:pt idx="19">
                  <c:v>75.084999999999994</c:v>
                </c:pt>
                <c:pt idx="20">
                  <c:v>71.509523809523813</c:v>
                </c:pt>
                <c:pt idx="21">
                  <c:v>68.259090909090915</c:v>
                </c:pt>
                <c:pt idx="22">
                  <c:v>65.291304347826085</c:v>
                </c:pt>
                <c:pt idx="23">
                  <c:v>62.570833333333333</c:v>
                </c:pt>
                <c:pt idx="24">
                  <c:v>60.067999999999998</c:v>
                </c:pt>
                <c:pt idx="25">
                  <c:v>57.757692307692253</c:v>
                </c:pt>
                <c:pt idx="26">
                  <c:v>55.61851851851852</c:v>
                </c:pt>
                <c:pt idx="27">
                  <c:v>53.63214285714286</c:v>
                </c:pt>
                <c:pt idx="28">
                  <c:v>51.782758620689663</c:v>
                </c:pt>
                <c:pt idx="29">
                  <c:v>50.056666666666537</c:v>
                </c:pt>
                <c:pt idx="30">
                  <c:v>48.441935483870971</c:v>
                </c:pt>
                <c:pt idx="31">
                  <c:v>46.928125000000001</c:v>
                </c:pt>
                <c:pt idx="32">
                  <c:v>45.506060606060593</c:v>
                </c:pt>
                <c:pt idx="33">
                  <c:v>44.167647058823469</c:v>
                </c:pt>
                <c:pt idx="34">
                  <c:v>42.905714285714282</c:v>
                </c:pt>
              </c:numCache>
            </c:numRef>
          </c:val>
          <c:smooth val="0"/>
          <c:extLst xmlns:c16r2="http://schemas.microsoft.com/office/drawing/2015/06/chart">
            <c:ext xmlns:c16="http://schemas.microsoft.com/office/drawing/2014/chart" uri="{C3380CC4-5D6E-409C-BE32-E72D297353CC}">
              <c16:uniqueId val="{00000003-5708-4925-9AF8-88D1CD8056F4}"/>
            </c:ext>
          </c:extLst>
        </c:ser>
        <c:dLbls>
          <c:showLegendKey val="0"/>
          <c:showVal val="0"/>
          <c:showCatName val="0"/>
          <c:showSerName val="0"/>
          <c:showPercent val="0"/>
          <c:showBubbleSize val="0"/>
        </c:dLbls>
        <c:smooth val="0"/>
        <c:axId val="-1258255936"/>
        <c:axId val="-1258255392"/>
      </c:lineChart>
      <c:catAx>
        <c:axId val="-1258255936"/>
        <c:scaling>
          <c:orientation val="minMax"/>
        </c:scaling>
        <c:delete val="0"/>
        <c:axPos val="b"/>
        <c:numFmt formatCode="General" sourceLinked="1"/>
        <c:majorTickMark val="none"/>
        <c:minorTickMark val="none"/>
        <c:tickLblPos val="nextTo"/>
        <c:crossAx val="-1258255392"/>
        <c:crosses val="autoZero"/>
        <c:auto val="1"/>
        <c:lblAlgn val="ctr"/>
        <c:lblOffset val="100"/>
        <c:noMultiLvlLbl val="0"/>
      </c:catAx>
      <c:valAx>
        <c:axId val="-1258255392"/>
        <c:scaling>
          <c:orientation val="minMax"/>
        </c:scaling>
        <c:delete val="0"/>
        <c:axPos val="l"/>
        <c:majorGridlines/>
        <c:numFmt formatCode="General" sourceLinked="1"/>
        <c:majorTickMark val="none"/>
        <c:minorTickMark val="none"/>
        <c:tickLblPos val="nextTo"/>
        <c:spPr>
          <a:ln w="9525">
            <a:noFill/>
          </a:ln>
        </c:spPr>
        <c:crossAx val="-1258255936"/>
        <c:crosses val="autoZero"/>
        <c:crossBetween val="between"/>
      </c:valAx>
      <c:spPr>
        <a:solidFill>
          <a:srgbClr val="DFE0DB"/>
        </a:solidFill>
      </c:spPr>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0DAE0-1F4A-4FCC-B488-4B0CE94C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6518</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 Ghantiwala</dc:creator>
  <cp:keywords/>
  <dc:description/>
  <cp:lastModifiedBy>Paul</cp:lastModifiedBy>
  <cp:revision>3</cp:revision>
  <cp:lastPrinted>2019-03-04T15:18:00Z</cp:lastPrinted>
  <dcterms:created xsi:type="dcterms:W3CDTF">2021-04-09T14:02:00Z</dcterms:created>
  <dcterms:modified xsi:type="dcterms:W3CDTF">2021-04-09T14:06:00Z</dcterms:modified>
</cp:coreProperties>
</file>