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65D0A" w14:textId="77777777" w:rsidR="00A52123" w:rsidRDefault="00A52123" w:rsidP="00A52123">
      <w:pPr>
        <w:tabs>
          <w:tab w:val="left" w:pos="2460"/>
        </w:tabs>
        <w:ind w:firstLine="720"/>
        <w:jc w:val="center"/>
        <w:rPr>
          <w:rFonts w:ascii="Times New Roman" w:hAnsi="Times New Roman" w:cs="Times New Roman"/>
          <w:sz w:val="36"/>
          <w:szCs w:val="36"/>
        </w:rPr>
      </w:pPr>
      <w:bookmarkStart w:id="0" w:name="_GoBack"/>
      <w:bookmarkEnd w:id="0"/>
    </w:p>
    <w:p w14:paraId="193FDF83" w14:textId="0ACD294E" w:rsidR="00A52123" w:rsidRPr="002E03C0" w:rsidRDefault="00A52123" w:rsidP="00A52123">
      <w:pPr>
        <w:tabs>
          <w:tab w:val="left" w:pos="2460"/>
        </w:tabs>
        <w:ind w:firstLine="720"/>
        <w:jc w:val="center"/>
        <w:rPr>
          <w:rFonts w:ascii="Times New Roman" w:hAnsi="Times New Roman" w:cs="Times New Roman"/>
          <w:sz w:val="36"/>
          <w:szCs w:val="36"/>
        </w:rPr>
      </w:pPr>
      <w:r w:rsidRPr="002E03C0">
        <w:rPr>
          <w:rFonts w:ascii="Times New Roman" w:hAnsi="Times New Roman" w:cs="Times New Roman"/>
          <w:sz w:val="36"/>
          <w:szCs w:val="36"/>
        </w:rPr>
        <w:t xml:space="preserve">KSD WORKING PAPER </w:t>
      </w:r>
      <w:r>
        <w:rPr>
          <w:rFonts w:ascii="Times New Roman" w:hAnsi="Times New Roman" w:cs="Times New Roman"/>
          <w:sz w:val="36"/>
          <w:szCs w:val="36"/>
        </w:rPr>
        <w:t>3</w:t>
      </w:r>
    </w:p>
    <w:p w14:paraId="426E6B3F" w14:textId="77777777" w:rsidR="00A52123" w:rsidRDefault="00A52123" w:rsidP="00A52123">
      <w:pPr>
        <w:ind w:firstLine="720"/>
        <w:jc w:val="center"/>
        <w:rPr>
          <w:rFonts w:ascii="Times New Roman" w:hAnsi="Times New Roman" w:cs="Times New Roman"/>
          <w:sz w:val="40"/>
          <w:szCs w:val="40"/>
        </w:rPr>
      </w:pPr>
    </w:p>
    <w:p w14:paraId="5298CE98" w14:textId="77777777" w:rsidR="00A52123" w:rsidRDefault="00A52123" w:rsidP="00A52123">
      <w:pPr>
        <w:ind w:firstLine="720"/>
        <w:jc w:val="center"/>
        <w:rPr>
          <w:rFonts w:ascii="Times New Roman" w:hAnsi="Times New Roman" w:cs="Times New Roman"/>
          <w:sz w:val="40"/>
          <w:szCs w:val="40"/>
        </w:rPr>
      </w:pPr>
    </w:p>
    <w:p w14:paraId="4595233B" w14:textId="77777777" w:rsidR="00A52123" w:rsidRDefault="00A52123" w:rsidP="00A52123">
      <w:pPr>
        <w:ind w:firstLine="720"/>
        <w:jc w:val="center"/>
        <w:rPr>
          <w:rFonts w:ascii="Times New Roman" w:hAnsi="Times New Roman" w:cs="Times New Roman"/>
          <w:sz w:val="40"/>
          <w:szCs w:val="40"/>
        </w:rPr>
      </w:pPr>
    </w:p>
    <w:p w14:paraId="05756FD8" w14:textId="77777777" w:rsidR="00A52123" w:rsidRDefault="00A52123" w:rsidP="00A52123">
      <w:pPr>
        <w:tabs>
          <w:tab w:val="left" w:pos="2460"/>
        </w:tabs>
        <w:ind w:firstLine="720"/>
        <w:rPr>
          <w:rFonts w:ascii="Times New Roman" w:hAnsi="Times New Roman" w:cs="Times New Roman"/>
          <w:b/>
          <w:sz w:val="40"/>
          <w:szCs w:val="40"/>
        </w:rPr>
      </w:pPr>
    </w:p>
    <w:p w14:paraId="3FD94540" w14:textId="77777777" w:rsidR="00A52123" w:rsidRDefault="00A52123" w:rsidP="00A52123">
      <w:pPr>
        <w:ind w:left="360"/>
        <w:jc w:val="center"/>
        <w:rPr>
          <w:rFonts w:ascii="Times New Roman" w:hAnsi="Times New Roman" w:cs="Times New Roman"/>
          <w:sz w:val="32"/>
          <w:szCs w:val="32"/>
        </w:rPr>
      </w:pPr>
      <w:r w:rsidRPr="00A52123">
        <w:rPr>
          <w:rFonts w:ascii="Times New Roman" w:hAnsi="Times New Roman" w:cs="Times New Roman"/>
          <w:sz w:val="32"/>
          <w:szCs w:val="32"/>
        </w:rPr>
        <w:t xml:space="preserve">THE INTERNATIONALISATION OF HIGHER EDUCATION PROVISION IN THE UNITED KINGDOM: PATTERNS AND RELATIONSHIPS BETWEEN ONSHORE AND OFFSHORE </w:t>
      </w:r>
      <w:r>
        <w:rPr>
          <w:rFonts w:ascii="Times New Roman" w:hAnsi="Times New Roman" w:cs="Times New Roman"/>
          <w:sz w:val="32"/>
          <w:szCs w:val="32"/>
        </w:rPr>
        <w:t>O</w:t>
      </w:r>
      <w:r w:rsidRPr="00A52123">
        <w:rPr>
          <w:rFonts w:ascii="Times New Roman" w:hAnsi="Times New Roman" w:cs="Times New Roman"/>
          <w:sz w:val="32"/>
          <w:szCs w:val="32"/>
        </w:rPr>
        <w:t xml:space="preserve">VERSEAS STUDENT ENROLMENT </w:t>
      </w:r>
    </w:p>
    <w:p w14:paraId="2563E984" w14:textId="77777777" w:rsidR="00A52123" w:rsidRDefault="00A52123" w:rsidP="00A52123">
      <w:pPr>
        <w:ind w:left="360"/>
        <w:jc w:val="center"/>
        <w:rPr>
          <w:rFonts w:ascii="Times New Roman" w:hAnsi="Times New Roman" w:cs="Times New Roman"/>
          <w:sz w:val="32"/>
          <w:szCs w:val="32"/>
        </w:rPr>
      </w:pPr>
    </w:p>
    <w:p w14:paraId="59902B3B" w14:textId="0D427654" w:rsidR="00A52123" w:rsidRPr="003C3AC2" w:rsidRDefault="00A52123" w:rsidP="00A52123">
      <w:pPr>
        <w:ind w:left="360"/>
        <w:jc w:val="center"/>
        <w:rPr>
          <w:rFonts w:ascii="Times New Roman" w:hAnsi="Times New Roman" w:cs="Times New Roman"/>
          <w:sz w:val="32"/>
          <w:szCs w:val="32"/>
        </w:rPr>
      </w:pPr>
      <w:r w:rsidRPr="003C3AC2">
        <w:rPr>
          <w:rFonts w:ascii="Times New Roman" w:hAnsi="Times New Roman" w:cs="Times New Roman"/>
          <w:sz w:val="32"/>
          <w:szCs w:val="32"/>
        </w:rPr>
        <w:t>PAUL BENNELL</w:t>
      </w:r>
    </w:p>
    <w:p w14:paraId="0AD75093" w14:textId="77777777" w:rsidR="00A52123" w:rsidRPr="003C3AC2" w:rsidRDefault="00A52123" w:rsidP="00A52123">
      <w:pPr>
        <w:tabs>
          <w:tab w:val="left" w:pos="2460"/>
        </w:tabs>
        <w:ind w:firstLine="720"/>
        <w:jc w:val="center"/>
        <w:rPr>
          <w:rFonts w:ascii="Times New Roman" w:hAnsi="Times New Roman" w:cs="Times New Roman"/>
          <w:sz w:val="32"/>
          <w:szCs w:val="32"/>
        </w:rPr>
      </w:pPr>
      <w:r w:rsidRPr="003C3AC2">
        <w:rPr>
          <w:rFonts w:ascii="Times New Roman" w:hAnsi="Times New Roman" w:cs="Times New Roman"/>
          <w:sz w:val="32"/>
          <w:szCs w:val="32"/>
        </w:rPr>
        <w:t xml:space="preserve">KNOWLEDGE AND SKILLS FOR DEVELOPMENT </w:t>
      </w:r>
    </w:p>
    <w:p w14:paraId="013ADE97" w14:textId="77777777" w:rsidR="00A52123" w:rsidRPr="003C3AC2" w:rsidRDefault="00A52123" w:rsidP="00A52123">
      <w:pPr>
        <w:tabs>
          <w:tab w:val="left" w:pos="2460"/>
        </w:tabs>
        <w:ind w:firstLine="720"/>
        <w:jc w:val="center"/>
        <w:rPr>
          <w:rFonts w:ascii="Times New Roman" w:hAnsi="Times New Roman" w:cs="Times New Roman"/>
          <w:sz w:val="32"/>
          <w:szCs w:val="32"/>
        </w:rPr>
      </w:pPr>
      <w:r w:rsidRPr="003C3AC2">
        <w:rPr>
          <w:rFonts w:ascii="Times New Roman" w:hAnsi="Times New Roman" w:cs="Times New Roman"/>
          <w:sz w:val="32"/>
          <w:szCs w:val="32"/>
        </w:rPr>
        <w:t>BRIGHTON, UK</w:t>
      </w:r>
    </w:p>
    <w:p w14:paraId="4A79E966" w14:textId="77777777" w:rsidR="00A52123" w:rsidRPr="002E03C0" w:rsidRDefault="00A52123" w:rsidP="00A52123">
      <w:pPr>
        <w:tabs>
          <w:tab w:val="left" w:pos="2460"/>
        </w:tabs>
        <w:ind w:firstLine="720"/>
        <w:jc w:val="center"/>
        <w:rPr>
          <w:rFonts w:ascii="Times New Roman" w:hAnsi="Times New Roman" w:cs="Times New Roman"/>
          <w:sz w:val="32"/>
          <w:szCs w:val="32"/>
        </w:rPr>
      </w:pPr>
    </w:p>
    <w:p w14:paraId="41FBBDC8" w14:textId="77777777" w:rsidR="00A52123" w:rsidRDefault="00A52123" w:rsidP="00A52123">
      <w:pPr>
        <w:tabs>
          <w:tab w:val="left" w:pos="2460"/>
        </w:tabs>
        <w:ind w:firstLine="720"/>
        <w:jc w:val="center"/>
        <w:rPr>
          <w:rFonts w:ascii="Times New Roman" w:hAnsi="Times New Roman" w:cs="Times New Roman"/>
          <w:sz w:val="40"/>
          <w:szCs w:val="40"/>
        </w:rPr>
      </w:pPr>
    </w:p>
    <w:p w14:paraId="55438E37" w14:textId="77777777" w:rsidR="00A52123" w:rsidRDefault="00A52123" w:rsidP="00A52123">
      <w:pPr>
        <w:tabs>
          <w:tab w:val="left" w:pos="2460"/>
        </w:tabs>
        <w:ind w:firstLine="720"/>
        <w:jc w:val="center"/>
        <w:rPr>
          <w:rFonts w:ascii="Times New Roman" w:hAnsi="Times New Roman" w:cs="Times New Roman"/>
          <w:sz w:val="40"/>
          <w:szCs w:val="40"/>
        </w:rPr>
      </w:pPr>
    </w:p>
    <w:p w14:paraId="1BB3AF8C" w14:textId="77777777" w:rsidR="00A52123" w:rsidRDefault="00A52123" w:rsidP="00A52123">
      <w:pPr>
        <w:tabs>
          <w:tab w:val="left" w:pos="2460"/>
        </w:tabs>
        <w:ind w:firstLine="720"/>
        <w:jc w:val="center"/>
        <w:rPr>
          <w:rFonts w:ascii="Times New Roman" w:hAnsi="Times New Roman" w:cs="Times New Roman"/>
          <w:sz w:val="40"/>
          <w:szCs w:val="40"/>
        </w:rPr>
      </w:pPr>
    </w:p>
    <w:p w14:paraId="57623FFC" w14:textId="77777777" w:rsidR="00A52123" w:rsidRDefault="00A52123" w:rsidP="00A52123">
      <w:pPr>
        <w:tabs>
          <w:tab w:val="left" w:pos="2460"/>
        </w:tabs>
        <w:ind w:firstLine="720"/>
        <w:jc w:val="center"/>
        <w:rPr>
          <w:rFonts w:ascii="Times New Roman" w:hAnsi="Times New Roman" w:cs="Times New Roman"/>
          <w:sz w:val="40"/>
          <w:szCs w:val="40"/>
        </w:rPr>
      </w:pPr>
    </w:p>
    <w:p w14:paraId="7CD9090B" w14:textId="6D5E4873" w:rsidR="00A52123" w:rsidRDefault="00A52123" w:rsidP="00A52123">
      <w:pPr>
        <w:tabs>
          <w:tab w:val="left" w:pos="2460"/>
        </w:tabs>
        <w:ind w:firstLine="720"/>
        <w:jc w:val="center"/>
        <w:rPr>
          <w:rFonts w:ascii="Times New Roman" w:hAnsi="Times New Roman" w:cs="Times New Roman"/>
          <w:sz w:val="32"/>
          <w:szCs w:val="32"/>
        </w:rPr>
      </w:pPr>
      <w:r>
        <w:rPr>
          <w:rFonts w:ascii="Times New Roman" w:hAnsi="Times New Roman" w:cs="Times New Roman"/>
          <w:sz w:val="32"/>
          <w:szCs w:val="32"/>
        </w:rPr>
        <w:t>JULY</w:t>
      </w:r>
      <w:r>
        <w:rPr>
          <w:rFonts w:ascii="Times New Roman" w:hAnsi="Times New Roman" w:cs="Times New Roman"/>
          <w:sz w:val="32"/>
          <w:szCs w:val="32"/>
        </w:rPr>
        <w:t xml:space="preserve"> 2019</w:t>
      </w:r>
    </w:p>
    <w:p w14:paraId="286CE55E" w14:textId="77777777" w:rsidR="00A52123" w:rsidRDefault="00A52123" w:rsidP="00A52123">
      <w:pPr>
        <w:tabs>
          <w:tab w:val="left" w:pos="2460"/>
        </w:tabs>
        <w:ind w:firstLine="720"/>
        <w:jc w:val="center"/>
        <w:rPr>
          <w:rFonts w:ascii="Times New Roman" w:hAnsi="Times New Roman" w:cs="Times New Roman"/>
          <w:sz w:val="32"/>
          <w:szCs w:val="32"/>
        </w:rPr>
      </w:pPr>
    </w:p>
    <w:p w14:paraId="1362E8EF" w14:textId="77777777" w:rsidR="00A52123" w:rsidRDefault="00A52123" w:rsidP="00A52123">
      <w:pPr>
        <w:rPr>
          <w:rFonts w:ascii="Times New Roman" w:hAnsi="Times New Roman" w:cs="Times New Roman"/>
          <w:b/>
          <w:sz w:val="32"/>
          <w:szCs w:val="32"/>
        </w:rPr>
      </w:pPr>
      <w:r>
        <w:rPr>
          <w:rFonts w:ascii="Times New Roman" w:hAnsi="Times New Roman" w:cs="Times New Roman"/>
          <w:b/>
          <w:sz w:val="32"/>
          <w:szCs w:val="32"/>
        </w:rPr>
        <w:br w:type="page"/>
      </w:r>
    </w:p>
    <w:p w14:paraId="54E5F53E" w14:textId="482F8365" w:rsidR="00A52123" w:rsidRDefault="00A52123">
      <w:pPr>
        <w:spacing w:after="160" w:line="259" w:lineRule="auto"/>
        <w:rPr>
          <w:rFonts w:cstheme="minorHAnsi"/>
          <w:b/>
          <w:sz w:val="32"/>
          <w:szCs w:val="32"/>
        </w:rPr>
      </w:pPr>
    </w:p>
    <w:p w14:paraId="61D09062" w14:textId="77777777" w:rsidR="00375262" w:rsidRDefault="00375262" w:rsidP="009C7C8A">
      <w:pPr>
        <w:ind w:left="360"/>
        <w:jc w:val="center"/>
        <w:rPr>
          <w:rFonts w:cstheme="minorHAnsi"/>
          <w:b/>
          <w:sz w:val="32"/>
          <w:szCs w:val="32"/>
        </w:rPr>
      </w:pPr>
    </w:p>
    <w:p w14:paraId="468FF8EB" w14:textId="4F9AC6C1" w:rsidR="00AA0055" w:rsidRPr="00A52123" w:rsidRDefault="00A52123" w:rsidP="00A52123">
      <w:pPr>
        <w:jc w:val="center"/>
        <w:rPr>
          <w:rFonts w:cstheme="minorHAnsi"/>
          <w:sz w:val="28"/>
          <w:szCs w:val="28"/>
        </w:rPr>
      </w:pPr>
      <w:r w:rsidRPr="00A52123">
        <w:rPr>
          <w:rFonts w:cstheme="minorHAnsi"/>
          <w:sz w:val="28"/>
          <w:szCs w:val="28"/>
        </w:rPr>
        <w:t>ABSTRACT</w:t>
      </w:r>
    </w:p>
    <w:p w14:paraId="636F795E" w14:textId="0A1EC3C2" w:rsidR="00AA0055" w:rsidRPr="00B9135E" w:rsidRDefault="00AA0055" w:rsidP="00AA0055">
      <w:pPr>
        <w:jc w:val="both"/>
        <w:rPr>
          <w:rFonts w:cstheme="minorHAnsi"/>
          <w:sz w:val="28"/>
          <w:szCs w:val="28"/>
        </w:rPr>
      </w:pPr>
      <w:r w:rsidRPr="00B9135E">
        <w:rPr>
          <w:rFonts w:cstheme="minorHAnsi"/>
          <w:sz w:val="28"/>
          <w:szCs w:val="28"/>
        </w:rPr>
        <w:t xml:space="preserve">This </w:t>
      </w:r>
      <w:r w:rsidR="002358EA" w:rsidRPr="00B9135E">
        <w:rPr>
          <w:rFonts w:cstheme="minorHAnsi"/>
          <w:sz w:val="28"/>
          <w:szCs w:val="28"/>
        </w:rPr>
        <w:t xml:space="preserve">is the </w:t>
      </w:r>
      <w:r w:rsidR="0068077C">
        <w:rPr>
          <w:rFonts w:cstheme="minorHAnsi"/>
          <w:sz w:val="28"/>
          <w:szCs w:val="28"/>
        </w:rPr>
        <w:t>third</w:t>
      </w:r>
      <w:r w:rsidR="009A70C8">
        <w:rPr>
          <w:rFonts w:cstheme="minorHAnsi"/>
          <w:sz w:val="28"/>
          <w:szCs w:val="28"/>
        </w:rPr>
        <w:t xml:space="preserve"> of three</w:t>
      </w:r>
      <w:r w:rsidR="002358EA" w:rsidRPr="00B9135E">
        <w:rPr>
          <w:rFonts w:cstheme="minorHAnsi"/>
          <w:sz w:val="28"/>
          <w:szCs w:val="28"/>
        </w:rPr>
        <w:t xml:space="preserve"> articles which review </w:t>
      </w:r>
      <w:r w:rsidR="00B9135E">
        <w:rPr>
          <w:rFonts w:cstheme="minorHAnsi"/>
          <w:sz w:val="28"/>
          <w:szCs w:val="28"/>
        </w:rPr>
        <w:t xml:space="preserve">recent developments concerning the internationalisation of </w:t>
      </w:r>
      <w:r w:rsidR="002358EA" w:rsidRPr="00B9135E">
        <w:rPr>
          <w:rFonts w:cstheme="minorHAnsi"/>
          <w:sz w:val="28"/>
          <w:szCs w:val="28"/>
        </w:rPr>
        <w:t>higher education</w:t>
      </w:r>
      <w:r w:rsidR="004F3E98">
        <w:rPr>
          <w:rFonts w:cstheme="minorHAnsi"/>
          <w:sz w:val="28"/>
          <w:szCs w:val="28"/>
        </w:rPr>
        <w:t xml:space="preserve"> provision</w:t>
      </w:r>
      <w:r w:rsidR="002358EA" w:rsidRPr="00B9135E">
        <w:rPr>
          <w:rFonts w:cstheme="minorHAnsi"/>
          <w:sz w:val="28"/>
          <w:szCs w:val="28"/>
        </w:rPr>
        <w:t xml:space="preserve"> in the United Kingdom. </w:t>
      </w:r>
      <w:r w:rsidR="00190EBF">
        <w:rPr>
          <w:rFonts w:cstheme="minorHAnsi"/>
          <w:sz w:val="28"/>
          <w:szCs w:val="28"/>
        </w:rPr>
        <w:t xml:space="preserve">The first </w:t>
      </w:r>
      <w:r w:rsidR="0068077C">
        <w:rPr>
          <w:rFonts w:cstheme="minorHAnsi"/>
          <w:sz w:val="28"/>
          <w:szCs w:val="28"/>
        </w:rPr>
        <w:t xml:space="preserve">two </w:t>
      </w:r>
      <w:r w:rsidR="00190EBF">
        <w:rPr>
          <w:rFonts w:cstheme="minorHAnsi"/>
          <w:sz w:val="28"/>
          <w:szCs w:val="28"/>
        </w:rPr>
        <w:t>article</w:t>
      </w:r>
      <w:r w:rsidR="0068077C">
        <w:rPr>
          <w:rFonts w:cstheme="minorHAnsi"/>
          <w:sz w:val="28"/>
          <w:szCs w:val="28"/>
        </w:rPr>
        <w:t>s</w:t>
      </w:r>
      <w:r w:rsidR="00190EBF">
        <w:rPr>
          <w:rFonts w:cstheme="minorHAnsi"/>
          <w:sz w:val="28"/>
          <w:szCs w:val="28"/>
        </w:rPr>
        <w:t xml:space="preserve"> focused exclusively on </w:t>
      </w:r>
      <w:r w:rsidR="0031077B">
        <w:rPr>
          <w:rFonts w:cstheme="minorHAnsi"/>
          <w:sz w:val="28"/>
          <w:szCs w:val="28"/>
        </w:rPr>
        <w:t>offshore</w:t>
      </w:r>
      <w:r w:rsidR="00190EBF">
        <w:rPr>
          <w:rFonts w:cstheme="minorHAnsi"/>
          <w:sz w:val="28"/>
          <w:szCs w:val="28"/>
        </w:rPr>
        <w:t xml:space="preserve"> </w:t>
      </w:r>
      <w:r w:rsidR="00D23127">
        <w:rPr>
          <w:rFonts w:cstheme="minorHAnsi"/>
          <w:sz w:val="28"/>
          <w:szCs w:val="28"/>
        </w:rPr>
        <w:t xml:space="preserve">provision </w:t>
      </w:r>
      <w:r w:rsidR="00975A97">
        <w:rPr>
          <w:rFonts w:cstheme="minorHAnsi"/>
          <w:sz w:val="28"/>
          <w:szCs w:val="28"/>
        </w:rPr>
        <w:t>(</w:t>
      </w:r>
      <w:r w:rsidR="00190EBF">
        <w:rPr>
          <w:rFonts w:cstheme="minorHAnsi"/>
          <w:sz w:val="28"/>
          <w:szCs w:val="28"/>
        </w:rPr>
        <w:t>i.e. tran</w:t>
      </w:r>
      <w:r w:rsidR="006B09CE">
        <w:rPr>
          <w:rFonts w:cstheme="minorHAnsi"/>
          <w:sz w:val="28"/>
          <w:szCs w:val="28"/>
        </w:rPr>
        <w:t>snational education</w:t>
      </w:r>
      <w:r w:rsidR="00975A97">
        <w:rPr>
          <w:rFonts w:cstheme="minorHAnsi"/>
          <w:sz w:val="28"/>
          <w:szCs w:val="28"/>
        </w:rPr>
        <w:t>)</w:t>
      </w:r>
      <w:r w:rsidR="00190EBF">
        <w:rPr>
          <w:rFonts w:cstheme="minorHAnsi"/>
          <w:sz w:val="28"/>
          <w:szCs w:val="28"/>
        </w:rPr>
        <w:t xml:space="preserve">. </w:t>
      </w:r>
      <w:r w:rsidR="0068077C">
        <w:rPr>
          <w:rFonts w:cstheme="minorHAnsi"/>
          <w:sz w:val="28"/>
          <w:szCs w:val="28"/>
        </w:rPr>
        <w:t xml:space="preserve"> </w:t>
      </w:r>
      <w:r w:rsidR="002358EA" w:rsidRPr="00B9135E">
        <w:rPr>
          <w:rFonts w:cstheme="minorHAnsi"/>
          <w:sz w:val="28"/>
          <w:szCs w:val="28"/>
        </w:rPr>
        <w:t xml:space="preserve">In this article, </w:t>
      </w:r>
      <w:r w:rsidRPr="00B9135E">
        <w:rPr>
          <w:rFonts w:cstheme="minorHAnsi"/>
          <w:sz w:val="28"/>
          <w:szCs w:val="28"/>
        </w:rPr>
        <w:t xml:space="preserve">key patterns and possible inter-relationships between the numbers of onshore and </w:t>
      </w:r>
      <w:r w:rsidR="0031077B">
        <w:rPr>
          <w:rFonts w:cstheme="minorHAnsi"/>
          <w:sz w:val="28"/>
          <w:szCs w:val="28"/>
        </w:rPr>
        <w:t>offshore</w:t>
      </w:r>
      <w:r w:rsidRPr="00B9135E">
        <w:rPr>
          <w:rFonts w:cstheme="minorHAnsi"/>
          <w:sz w:val="28"/>
          <w:szCs w:val="28"/>
        </w:rPr>
        <w:t xml:space="preserve"> </w:t>
      </w:r>
      <w:r w:rsidR="002358EA" w:rsidRPr="00B9135E">
        <w:rPr>
          <w:rFonts w:cstheme="minorHAnsi"/>
          <w:sz w:val="28"/>
          <w:szCs w:val="28"/>
        </w:rPr>
        <w:t>overseas</w:t>
      </w:r>
      <w:r w:rsidRPr="00B9135E">
        <w:rPr>
          <w:rFonts w:cstheme="minorHAnsi"/>
          <w:sz w:val="28"/>
          <w:szCs w:val="28"/>
        </w:rPr>
        <w:t xml:space="preserve"> students studying at British universities </w:t>
      </w:r>
      <w:r w:rsidR="002358EA" w:rsidRPr="00B9135E">
        <w:rPr>
          <w:rFonts w:cstheme="minorHAnsi"/>
          <w:sz w:val="28"/>
          <w:szCs w:val="28"/>
        </w:rPr>
        <w:t>are examined</w:t>
      </w:r>
      <w:r w:rsidRPr="00B9135E">
        <w:rPr>
          <w:rFonts w:cstheme="minorHAnsi"/>
          <w:sz w:val="28"/>
          <w:szCs w:val="28"/>
        </w:rPr>
        <w:t>.</w:t>
      </w:r>
      <w:r w:rsidR="00B9135E" w:rsidRPr="00B9135E">
        <w:rPr>
          <w:rFonts w:cstheme="minorHAnsi"/>
          <w:sz w:val="28"/>
          <w:szCs w:val="28"/>
        </w:rPr>
        <w:t xml:space="preserve"> The three </w:t>
      </w:r>
      <w:r w:rsidR="002358EA" w:rsidRPr="00B9135E">
        <w:rPr>
          <w:rFonts w:cstheme="minorHAnsi"/>
          <w:sz w:val="28"/>
          <w:szCs w:val="28"/>
        </w:rPr>
        <w:t>main conclusions are (i)</w:t>
      </w:r>
      <w:r w:rsidRPr="00B9135E">
        <w:rPr>
          <w:rFonts w:cstheme="minorHAnsi"/>
          <w:sz w:val="28"/>
          <w:szCs w:val="28"/>
        </w:rPr>
        <w:t xml:space="preserve"> </w:t>
      </w:r>
      <w:r w:rsidR="00384ACB" w:rsidRPr="00B9135E">
        <w:rPr>
          <w:rFonts w:cstheme="minorHAnsi"/>
          <w:sz w:val="28"/>
          <w:szCs w:val="28"/>
        </w:rPr>
        <w:t xml:space="preserve">the most dominant pattern is the inverse relationship between the status and ranking of a university and the relative importance of </w:t>
      </w:r>
      <w:r w:rsidR="0031077B">
        <w:rPr>
          <w:rFonts w:cstheme="minorHAnsi"/>
          <w:sz w:val="28"/>
          <w:szCs w:val="28"/>
        </w:rPr>
        <w:t>offshore</w:t>
      </w:r>
      <w:r w:rsidR="00384ACB" w:rsidRPr="00B9135E">
        <w:rPr>
          <w:rFonts w:cstheme="minorHAnsi"/>
          <w:sz w:val="28"/>
          <w:szCs w:val="28"/>
        </w:rPr>
        <w:t xml:space="preserve"> enro</w:t>
      </w:r>
      <w:r w:rsidR="00B9135E" w:rsidRPr="00B9135E">
        <w:rPr>
          <w:rFonts w:cstheme="minorHAnsi"/>
          <w:sz w:val="28"/>
          <w:szCs w:val="28"/>
        </w:rPr>
        <w:t>lments; (ii)</w:t>
      </w:r>
      <w:r w:rsidR="00384ACB" w:rsidRPr="00B9135E">
        <w:rPr>
          <w:rFonts w:cstheme="minorHAnsi"/>
          <w:sz w:val="28"/>
          <w:szCs w:val="28"/>
        </w:rPr>
        <w:t xml:space="preserve"> direct substitution effects between the two forms of provis</w:t>
      </w:r>
      <w:r w:rsidR="00B9135E" w:rsidRPr="00B9135E">
        <w:rPr>
          <w:rFonts w:cstheme="minorHAnsi"/>
          <w:sz w:val="28"/>
          <w:szCs w:val="28"/>
        </w:rPr>
        <w:t xml:space="preserve">ion are generally quite limited; and (iii) </w:t>
      </w:r>
      <w:r w:rsidR="00384ACB" w:rsidRPr="00B9135E">
        <w:rPr>
          <w:rFonts w:cstheme="minorHAnsi"/>
          <w:sz w:val="28"/>
          <w:szCs w:val="28"/>
        </w:rPr>
        <w:t xml:space="preserve">articulation and progression </w:t>
      </w:r>
      <w:r w:rsidR="0031077B">
        <w:rPr>
          <w:rFonts w:cstheme="minorHAnsi"/>
          <w:sz w:val="28"/>
          <w:szCs w:val="28"/>
        </w:rPr>
        <w:t>offshore</w:t>
      </w:r>
      <w:r w:rsidR="00B9135E" w:rsidRPr="00B9135E">
        <w:rPr>
          <w:rFonts w:cstheme="minorHAnsi"/>
          <w:sz w:val="28"/>
          <w:szCs w:val="28"/>
        </w:rPr>
        <w:t xml:space="preserve"> </w:t>
      </w:r>
      <w:r w:rsidR="00384ACB" w:rsidRPr="00B9135E">
        <w:rPr>
          <w:rFonts w:cstheme="minorHAnsi"/>
          <w:sz w:val="28"/>
          <w:szCs w:val="28"/>
        </w:rPr>
        <w:t xml:space="preserve">enrolment is </w:t>
      </w:r>
      <w:r w:rsidR="00B9135E" w:rsidRPr="00B9135E">
        <w:rPr>
          <w:rFonts w:cstheme="minorHAnsi"/>
          <w:sz w:val="28"/>
          <w:szCs w:val="28"/>
        </w:rPr>
        <w:t xml:space="preserve">likely to be </w:t>
      </w:r>
      <w:r w:rsidR="00384ACB" w:rsidRPr="00B9135E">
        <w:rPr>
          <w:rFonts w:cstheme="minorHAnsi"/>
          <w:sz w:val="28"/>
          <w:szCs w:val="28"/>
        </w:rPr>
        <w:t xml:space="preserve">the only significant complementary </w:t>
      </w:r>
      <w:r w:rsidR="00537065">
        <w:rPr>
          <w:rFonts w:cstheme="minorHAnsi"/>
          <w:sz w:val="28"/>
          <w:szCs w:val="28"/>
        </w:rPr>
        <w:t xml:space="preserve">relationship with </w:t>
      </w:r>
      <w:r w:rsidR="0031077B">
        <w:rPr>
          <w:rFonts w:cstheme="minorHAnsi"/>
          <w:sz w:val="28"/>
          <w:szCs w:val="28"/>
        </w:rPr>
        <w:t>onshore</w:t>
      </w:r>
      <w:r w:rsidR="00537065">
        <w:rPr>
          <w:rFonts w:cstheme="minorHAnsi"/>
          <w:sz w:val="28"/>
          <w:szCs w:val="28"/>
        </w:rPr>
        <w:t xml:space="preserve"> provision</w:t>
      </w:r>
      <w:r w:rsidR="00384ACB" w:rsidRPr="00B9135E">
        <w:rPr>
          <w:rFonts w:cstheme="minorHAnsi"/>
          <w:sz w:val="28"/>
          <w:szCs w:val="28"/>
        </w:rPr>
        <w:t xml:space="preserve">.  </w:t>
      </w:r>
      <w:r w:rsidR="00384ACB" w:rsidRPr="00B9135E">
        <w:rPr>
          <w:rFonts w:cstheme="minorHAnsi"/>
          <w:sz w:val="32"/>
          <w:szCs w:val="32"/>
        </w:rPr>
        <w:br w:type="page"/>
      </w:r>
    </w:p>
    <w:p w14:paraId="14FE28AA" w14:textId="67312543" w:rsidR="00375262" w:rsidRDefault="00375262" w:rsidP="00375262">
      <w:pPr>
        <w:pStyle w:val="ListParagraph"/>
        <w:tabs>
          <w:tab w:val="left" w:pos="1872"/>
        </w:tabs>
        <w:jc w:val="center"/>
        <w:rPr>
          <w:rFonts w:cstheme="minorHAnsi"/>
          <w:b/>
          <w:sz w:val="28"/>
          <w:szCs w:val="28"/>
        </w:rPr>
      </w:pPr>
    </w:p>
    <w:p w14:paraId="756AACC4" w14:textId="77777777" w:rsidR="00375262" w:rsidRDefault="00375262" w:rsidP="00220005">
      <w:pPr>
        <w:pStyle w:val="ListParagraph"/>
        <w:tabs>
          <w:tab w:val="left" w:pos="1872"/>
        </w:tabs>
        <w:jc w:val="both"/>
        <w:rPr>
          <w:rFonts w:cstheme="minorHAnsi"/>
          <w:b/>
          <w:sz w:val="28"/>
          <w:szCs w:val="28"/>
        </w:rPr>
      </w:pPr>
    </w:p>
    <w:p w14:paraId="090D7F66" w14:textId="35E2E149" w:rsidR="00220005" w:rsidRPr="004B7172" w:rsidRDefault="00B9124D" w:rsidP="00B9124D">
      <w:pPr>
        <w:pStyle w:val="ListParagraph"/>
        <w:numPr>
          <w:ilvl w:val="0"/>
          <w:numId w:val="1"/>
        </w:numPr>
        <w:tabs>
          <w:tab w:val="left" w:pos="1872"/>
        </w:tabs>
        <w:jc w:val="both"/>
        <w:rPr>
          <w:rFonts w:cstheme="minorHAnsi"/>
          <w:b/>
          <w:sz w:val="32"/>
          <w:szCs w:val="32"/>
        </w:rPr>
      </w:pPr>
      <w:r w:rsidRPr="004B7172">
        <w:rPr>
          <w:rFonts w:cstheme="minorHAnsi"/>
          <w:b/>
          <w:sz w:val="32"/>
          <w:szCs w:val="32"/>
        </w:rPr>
        <w:t>INTRODUCTION</w:t>
      </w:r>
      <w:r w:rsidR="00220005" w:rsidRPr="004B7172">
        <w:rPr>
          <w:rFonts w:cstheme="minorHAnsi"/>
          <w:b/>
          <w:sz w:val="32"/>
          <w:szCs w:val="32"/>
        </w:rPr>
        <w:tab/>
      </w:r>
    </w:p>
    <w:p w14:paraId="1876CEE8" w14:textId="4D14CAF3" w:rsidR="004238DB" w:rsidRPr="003B2F56" w:rsidRDefault="003B2F56" w:rsidP="00220005">
      <w:pPr>
        <w:jc w:val="both"/>
        <w:rPr>
          <w:rFonts w:cstheme="minorHAnsi"/>
          <w:b/>
          <w:sz w:val="28"/>
          <w:szCs w:val="28"/>
        </w:rPr>
      </w:pPr>
      <w:r>
        <w:rPr>
          <w:rFonts w:cstheme="minorHAnsi"/>
          <w:b/>
          <w:sz w:val="28"/>
          <w:szCs w:val="28"/>
        </w:rPr>
        <w:t>1.1</w:t>
      </w:r>
      <w:r w:rsidR="004B7172">
        <w:rPr>
          <w:rFonts w:cstheme="minorHAnsi"/>
          <w:b/>
          <w:sz w:val="28"/>
          <w:szCs w:val="28"/>
        </w:rPr>
        <w:t xml:space="preserve"> HIGHER EDUCATION INTERNATIONALISATION</w:t>
      </w:r>
    </w:p>
    <w:p w14:paraId="3159C20B" w14:textId="6CB184C1" w:rsidR="000B4C50" w:rsidRDefault="0068077C" w:rsidP="00220005">
      <w:pPr>
        <w:jc w:val="both"/>
        <w:rPr>
          <w:rFonts w:cstheme="minorHAnsi"/>
          <w:sz w:val="28"/>
          <w:szCs w:val="28"/>
        </w:rPr>
      </w:pPr>
      <w:r>
        <w:rPr>
          <w:rFonts w:cstheme="minorHAnsi"/>
          <w:sz w:val="28"/>
          <w:szCs w:val="28"/>
        </w:rPr>
        <w:t>The internationalisation of higher education has become a global phenomenon which embraces all aspects of service provision in t</w:t>
      </w:r>
      <w:r w:rsidR="006C794C">
        <w:rPr>
          <w:rFonts w:cstheme="minorHAnsi"/>
          <w:sz w:val="28"/>
          <w:szCs w:val="28"/>
        </w:rPr>
        <w:t>his key education sector (see Altbach and Knight, 2007</w:t>
      </w:r>
      <w:r w:rsidR="005731A5">
        <w:rPr>
          <w:rFonts w:cstheme="minorHAnsi"/>
          <w:sz w:val="28"/>
          <w:szCs w:val="28"/>
        </w:rPr>
        <w:t xml:space="preserve">; </w:t>
      </w:r>
      <w:r w:rsidR="008178CF">
        <w:rPr>
          <w:rFonts w:cstheme="minorHAnsi"/>
          <w:sz w:val="28"/>
          <w:szCs w:val="28"/>
        </w:rPr>
        <w:t xml:space="preserve">Ennew and Greenaway, 2012; </w:t>
      </w:r>
      <w:r w:rsidR="005731A5">
        <w:rPr>
          <w:rFonts w:cstheme="minorHAnsi"/>
          <w:sz w:val="28"/>
          <w:szCs w:val="28"/>
        </w:rPr>
        <w:t>Kapur and Crowley, 2008</w:t>
      </w:r>
      <w:r>
        <w:rPr>
          <w:rFonts w:cstheme="minorHAnsi"/>
          <w:sz w:val="28"/>
          <w:szCs w:val="28"/>
        </w:rPr>
        <w:t>).</w:t>
      </w:r>
      <w:r w:rsidR="008178CF">
        <w:rPr>
          <w:rFonts w:cstheme="minorHAnsi"/>
          <w:sz w:val="28"/>
          <w:szCs w:val="28"/>
        </w:rPr>
        <w:t xml:space="preserve"> </w:t>
      </w:r>
      <w:r>
        <w:rPr>
          <w:rFonts w:cstheme="minorHAnsi"/>
          <w:sz w:val="28"/>
          <w:szCs w:val="28"/>
        </w:rPr>
        <w:t xml:space="preserve">With regard to teaching and learning, this includes the internationalisation of curricula and lecturers as well as </w:t>
      </w:r>
      <w:r w:rsidR="000B4C50">
        <w:rPr>
          <w:rFonts w:cstheme="minorHAnsi"/>
          <w:sz w:val="28"/>
          <w:szCs w:val="28"/>
        </w:rPr>
        <w:t xml:space="preserve">the enormous expansion in the enrolment of foreign students engaged in a variety of courses and learning </w:t>
      </w:r>
      <w:r>
        <w:rPr>
          <w:rFonts w:cstheme="minorHAnsi"/>
          <w:sz w:val="28"/>
          <w:szCs w:val="28"/>
        </w:rPr>
        <w:t>modalities</w:t>
      </w:r>
      <w:r w:rsidR="000B4C50">
        <w:rPr>
          <w:rFonts w:cstheme="minorHAnsi"/>
          <w:sz w:val="28"/>
          <w:szCs w:val="28"/>
        </w:rPr>
        <w:t xml:space="preserve">. Research activity is also increasingly internationalised with large multi-site and multinational research teams playing an increasingly dominant role in the generation of new knowledge and technologies.   </w:t>
      </w:r>
    </w:p>
    <w:p w14:paraId="1C7C3C3F" w14:textId="1DE01067" w:rsidR="003B2F56" w:rsidRDefault="003B2F56" w:rsidP="003B2F56">
      <w:pPr>
        <w:jc w:val="both"/>
        <w:rPr>
          <w:rFonts w:cstheme="minorHAnsi"/>
          <w:sz w:val="28"/>
          <w:szCs w:val="28"/>
        </w:rPr>
      </w:pPr>
      <w:r>
        <w:rPr>
          <w:rFonts w:cstheme="minorHAnsi"/>
          <w:sz w:val="28"/>
          <w:szCs w:val="28"/>
        </w:rPr>
        <w:t>This increasing internationalisation of higher education has attracted widespread media and academic attention, especially since the late-1990s. The most r</w:t>
      </w:r>
      <w:r w:rsidRPr="00F83903">
        <w:rPr>
          <w:rFonts w:cstheme="minorHAnsi"/>
          <w:sz w:val="28"/>
          <w:szCs w:val="28"/>
        </w:rPr>
        <w:t xml:space="preserve">ecent academic literature review of education internationalisation identified nearly 2,000 publications on this topic (Komutsky and Putty, 2015). </w:t>
      </w:r>
      <w:r>
        <w:rPr>
          <w:rFonts w:cstheme="minorHAnsi"/>
          <w:sz w:val="28"/>
          <w:szCs w:val="28"/>
        </w:rPr>
        <w:t xml:space="preserve"> </w:t>
      </w:r>
    </w:p>
    <w:p w14:paraId="36E25E1C" w14:textId="5A7F71CE" w:rsidR="003B2F56" w:rsidRPr="003B2F56" w:rsidRDefault="003B2F56" w:rsidP="00220005">
      <w:pPr>
        <w:jc w:val="both"/>
        <w:rPr>
          <w:rFonts w:cstheme="minorHAnsi"/>
          <w:b/>
          <w:sz w:val="28"/>
          <w:szCs w:val="28"/>
        </w:rPr>
      </w:pPr>
      <w:r w:rsidRPr="003B2F56">
        <w:rPr>
          <w:rFonts w:cstheme="minorHAnsi"/>
          <w:b/>
          <w:sz w:val="28"/>
          <w:szCs w:val="28"/>
        </w:rPr>
        <w:t xml:space="preserve">1.2 </w:t>
      </w:r>
      <w:r w:rsidR="004B7172">
        <w:rPr>
          <w:rFonts w:cstheme="minorHAnsi"/>
          <w:b/>
          <w:sz w:val="28"/>
          <w:szCs w:val="28"/>
        </w:rPr>
        <w:t xml:space="preserve">INTERNATIONAL STUDENT MOBILITY AND TNE </w:t>
      </w:r>
      <w:r w:rsidRPr="003B2F56">
        <w:rPr>
          <w:rFonts w:cstheme="minorHAnsi"/>
          <w:b/>
          <w:sz w:val="28"/>
          <w:szCs w:val="28"/>
        </w:rPr>
        <w:t xml:space="preserve"> </w:t>
      </w:r>
    </w:p>
    <w:p w14:paraId="734BACD1" w14:textId="7072F95F" w:rsidR="00D35E90" w:rsidRDefault="000B4C50" w:rsidP="00220005">
      <w:pPr>
        <w:jc w:val="both"/>
        <w:rPr>
          <w:rFonts w:cstheme="minorHAnsi"/>
          <w:sz w:val="28"/>
          <w:szCs w:val="28"/>
        </w:rPr>
      </w:pPr>
      <w:r>
        <w:rPr>
          <w:rFonts w:cstheme="minorHAnsi"/>
          <w:sz w:val="28"/>
          <w:szCs w:val="28"/>
        </w:rPr>
        <w:t>Two of the most significant</w:t>
      </w:r>
      <w:r w:rsidR="003B2F56">
        <w:rPr>
          <w:rFonts w:cstheme="minorHAnsi"/>
          <w:sz w:val="28"/>
          <w:szCs w:val="28"/>
        </w:rPr>
        <w:t xml:space="preserve"> and tangible </w:t>
      </w:r>
      <w:r>
        <w:rPr>
          <w:rFonts w:cstheme="minorHAnsi"/>
          <w:sz w:val="28"/>
          <w:szCs w:val="28"/>
        </w:rPr>
        <w:t>aspects of this internationalisation process are</w:t>
      </w:r>
      <w:r w:rsidR="00693C98">
        <w:rPr>
          <w:rFonts w:cstheme="minorHAnsi"/>
          <w:sz w:val="28"/>
          <w:szCs w:val="28"/>
        </w:rPr>
        <w:t xml:space="preserve">, firstly, </w:t>
      </w:r>
      <w:r>
        <w:rPr>
          <w:rFonts w:cstheme="minorHAnsi"/>
          <w:sz w:val="28"/>
          <w:szCs w:val="28"/>
        </w:rPr>
        <w:t xml:space="preserve">the rapid expansion of </w:t>
      </w:r>
      <w:r w:rsidR="00B9135E">
        <w:rPr>
          <w:rFonts w:cstheme="minorHAnsi"/>
          <w:sz w:val="28"/>
          <w:szCs w:val="28"/>
        </w:rPr>
        <w:t>‘</w:t>
      </w:r>
      <w:r w:rsidR="00E7643C" w:rsidRPr="00E7643C">
        <w:rPr>
          <w:rFonts w:cstheme="minorHAnsi"/>
          <w:sz w:val="28"/>
          <w:szCs w:val="28"/>
        </w:rPr>
        <w:t>onshore</w:t>
      </w:r>
      <w:r w:rsidR="00B9135E">
        <w:rPr>
          <w:rFonts w:cstheme="minorHAnsi"/>
          <w:sz w:val="28"/>
          <w:szCs w:val="28"/>
        </w:rPr>
        <w:t>’</w:t>
      </w:r>
      <w:r w:rsidR="00E7643C" w:rsidRPr="00E7643C">
        <w:rPr>
          <w:rFonts w:cstheme="minorHAnsi"/>
          <w:sz w:val="28"/>
          <w:szCs w:val="28"/>
        </w:rPr>
        <w:t xml:space="preserve"> </w:t>
      </w:r>
      <w:r>
        <w:rPr>
          <w:rFonts w:cstheme="minorHAnsi"/>
          <w:sz w:val="28"/>
          <w:szCs w:val="28"/>
        </w:rPr>
        <w:t xml:space="preserve">foreign </w:t>
      </w:r>
      <w:r w:rsidR="00E7643C" w:rsidRPr="00E7643C">
        <w:rPr>
          <w:rFonts w:cstheme="minorHAnsi"/>
          <w:sz w:val="28"/>
          <w:szCs w:val="28"/>
        </w:rPr>
        <w:t xml:space="preserve">students who </w:t>
      </w:r>
      <w:r w:rsidR="00F5454F">
        <w:rPr>
          <w:rFonts w:cstheme="minorHAnsi"/>
          <w:sz w:val="28"/>
          <w:szCs w:val="28"/>
        </w:rPr>
        <w:t xml:space="preserve">enrol </w:t>
      </w:r>
      <w:r w:rsidR="00E7643C" w:rsidRPr="00E7643C">
        <w:rPr>
          <w:rFonts w:cstheme="minorHAnsi"/>
          <w:sz w:val="28"/>
          <w:szCs w:val="28"/>
        </w:rPr>
        <w:t xml:space="preserve">directly enrol </w:t>
      </w:r>
      <w:r w:rsidR="00F5454F">
        <w:rPr>
          <w:rFonts w:cstheme="minorHAnsi"/>
          <w:sz w:val="28"/>
          <w:szCs w:val="28"/>
        </w:rPr>
        <w:t xml:space="preserve">and attend full-time </w:t>
      </w:r>
      <w:r w:rsidR="005731A5">
        <w:rPr>
          <w:rFonts w:cstheme="minorHAnsi"/>
          <w:sz w:val="28"/>
          <w:szCs w:val="28"/>
        </w:rPr>
        <w:t xml:space="preserve">overseas </w:t>
      </w:r>
      <w:r w:rsidR="002B7943">
        <w:rPr>
          <w:rFonts w:cstheme="minorHAnsi"/>
          <w:sz w:val="28"/>
          <w:szCs w:val="28"/>
        </w:rPr>
        <w:t>universit</w:t>
      </w:r>
      <w:r w:rsidR="005731A5">
        <w:rPr>
          <w:rFonts w:cstheme="minorHAnsi"/>
          <w:sz w:val="28"/>
          <w:szCs w:val="28"/>
        </w:rPr>
        <w:t>ies</w:t>
      </w:r>
      <w:r w:rsidR="00F5454F">
        <w:rPr>
          <w:rFonts w:cstheme="minorHAnsi"/>
          <w:sz w:val="28"/>
          <w:szCs w:val="28"/>
        </w:rPr>
        <w:t xml:space="preserve"> (principally in Europe, North America and Australia)</w:t>
      </w:r>
      <w:r w:rsidR="00E7643C" w:rsidRPr="00E7643C">
        <w:rPr>
          <w:rFonts w:cstheme="minorHAnsi"/>
          <w:sz w:val="28"/>
          <w:szCs w:val="28"/>
        </w:rPr>
        <w:t xml:space="preserve">, </w:t>
      </w:r>
      <w:r w:rsidR="005731A5">
        <w:rPr>
          <w:rFonts w:cstheme="minorHAnsi"/>
          <w:sz w:val="28"/>
          <w:szCs w:val="28"/>
        </w:rPr>
        <w:t xml:space="preserve">and </w:t>
      </w:r>
      <w:r w:rsidR="00E7643C" w:rsidRPr="00E7643C">
        <w:rPr>
          <w:rFonts w:cstheme="minorHAnsi"/>
          <w:sz w:val="28"/>
          <w:szCs w:val="28"/>
        </w:rPr>
        <w:t xml:space="preserve">secondly, </w:t>
      </w:r>
      <w:r w:rsidR="00B9135E">
        <w:rPr>
          <w:rFonts w:cstheme="minorHAnsi"/>
          <w:sz w:val="28"/>
          <w:szCs w:val="28"/>
        </w:rPr>
        <w:t>‘</w:t>
      </w:r>
      <w:r w:rsidR="0031077B">
        <w:rPr>
          <w:rFonts w:cstheme="minorHAnsi"/>
          <w:sz w:val="28"/>
          <w:szCs w:val="28"/>
        </w:rPr>
        <w:t>offshore</w:t>
      </w:r>
      <w:r w:rsidR="00B9135E">
        <w:rPr>
          <w:rFonts w:cstheme="minorHAnsi"/>
          <w:sz w:val="28"/>
          <w:szCs w:val="28"/>
        </w:rPr>
        <w:t>’</w:t>
      </w:r>
      <w:r w:rsidR="00E7643C" w:rsidRPr="00E7643C">
        <w:rPr>
          <w:rFonts w:cstheme="minorHAnsi"/>
          <w:sz w:val="28"/>
          <w:szCs w:val="28"/>
        </w:rPr>
        <w:t xml:space="preserve"> </w:t>
      </w:r>
      <w:r w:rsidR="00693C98">
        <w:rPr>
          <w:rFonts w:cstheme="minorHAnsi"/>
          <w:sz w:val="28"/>
          <w:szCs w:val="28"/>
        </w:rPr>
        <w:t>foreign</w:t>
      </w:r>
      <w:r w:rsidR="00E7643C" w:rsidRPr="00E7643C">
        <w:rPr>
          <w:rFonts w:cstheme="minorHAnsi"/>
          <w:sz w:val="28"/>
          <w:szCs w:val="28"/>
        </w:rPr>
        <w:t xml:space="preserve"> students </w:t>
      </w:r>
      <w:r w:rsidR="00693C98">
        <w:rPr>
          <w:rFonts w:cstheme="minorHAnsi"/>
          <w:sz w:val="28"/>
          <w:szCs w:val="28"/>
        </w:rPr>
        <w:t xml:space="preserve">who study in their own country for the </w:t>
      </w:r>
      <w:r w:rsidR="00E7643C" w:rsidRPr="00E7643C">
        <w:rPr>
          <w:rFonts w:cstheme="minorHAnsi"/>
          <w:sz w:val="28"/>
          <w:szCs w:val="28"/>
        </w:rPr>
        <w:t>qualifications</w:t>
      </w:r>
      <w:r w:rsidR="00693C98">
        <w:rPr>
          <w:rFonts w:cstheme="minorHAnsi"/>
          <w:sz w:val="28"/>
          <w:szCs w:val="28"/>
        </w:rPr>
        <w:t xml:space="preserve"> of an overseas university</w:t>
      </w:r>
      <w:r w:rsidR="00E7643C" w:rsidRPr="00E7643C">
        <w:rPr>
          <w:rFonts w:cstheme="minorHAnsi"/>
          <w:sz w:val="28"/>
          <w:szCs w:val="28"/>
        </w:rPr>
        <w:t xml:space="preserve"> withou</w:t>
      </w:r>
      <w:r w:rsidR="00E7643C">
        <w:rPr>
          <w:rFonts w:cstheme="minorHAnsi"/>
          <w:sz w:val="28"/>
          <w:szCs w:val="28"/>
        </w:rPr>
        <w:t>t ever setting foot in th</w:t>
      </w:r>
      <w:r w:rsidR="00693C98">
        <w:rPr>
          <w:rFonts w:cstheme="minorHAnsi"/>
          <w:sz w:val="28"/>
          <w:szCs w:val="28"/>
        </w:rPr>
        <w:t xml:space="preserve">at country. </w:t>
      </w:r>
      <w:r w:rsidR="003B2F56">
        <w:rPr>
          <w:rFonts w:cstheme="minorHAnsi"/>
          <w:sz w:val="28"/>
          <w:szCs w:val="28"/>
        </w:rPr>
        <w:t>T</w:t>
      </w:r>
      <w:r w:rsidR="00220005">
        <w:rPr>
          <w:rFonts w:cstheme="minorHAnsi"/>
          <w:sz w:val="28"/>
          <w:szCs w:val="28"/>
        </w:rPr>
        <w:t>his paper</w:t>
      </w:r>
      <w:r w:rsidR="00220005" w:rsidRPr="003F67EF">
        <w:rPr>
          <w:rFonts w:cstheme="minorHAnsi"/>
          <w:sz w:val="28"/>
          <w:szCs w:val="28"/>
        </w:rPr>
        <w:t xml:space="preserve"> examines key patterns and possible inter-relationships between </w:t>
      </w:r>
      <w:r w:rsidR="00220005">
        <w:rPr>
          <w:rFonts w:cstheme="minorHAnsi"/>
          <w:sz w:val="28"/>
          <w:szCs w:val="28"/>
        </w:rPr>
        <w:t xml:space="preserve">the </w:t>
      </w:r>
      <w:r w:rsidR="00EE46F0">
        <w:rPr>
          <w:rFonts w:cstheme="minorHAnsi"/>
          <w:sz w:val="28"/>
          <w:szCs w:val="28"/>
        </w:rPr>
        <w:t>number</w:t>
      </w:r>
      <w:r w:rsidR="00D35E90">
        <w:rPr>
          <w:rFonts w:cstheme="minorHAnsi"/>
          <w:sz w:val="28"/>
          <w:szCs w:val="28"/>
        </w:rPr>
        <w:t>s</w:t>
      </w:r>
      <w:r w:rsidR="00EE46F0">
        <w:rPr>
          <w:rFonts w:cstheme="minorHAnsi"/>
          <w:sz w:val="28"/>
          <w:szCs w:val="28"/>
        </w:rPr>
        <w:t xml:space="preserve"> of </w:t>
      </w:r>
      <w:r w:rsidR="002358EA">
        <w:rPr>
          <w:rFonts w:cstheme="minorHAnsi"/>
          <w:sz w:val="28"/>
          <w:szCs w:val="28"/>
        </w:rPr>
        <w:t xml:space="preserve">these </w:t>
      </w:r>
      <w:r w:rsidR="00220005" w:rsidRPr="003F67EF">
        <w:rPr>
          <w:rFonts w:cstheme="minorHAnsi"/>
          <w:sz w:val="28"/>
          <w:szCs w:val="28"/>
        </w:rPr>
        <w:t xml:space="preserve">onshore and </w:t>
      </w:r>
      <w:r w:rsidR="0031077B">
        <w:rPr>
          <w:rFonts w:cstheme="minorHAnsi"/>
          <w:sz w:val="28"/>
          <w:szCs w:val="28"/>
        </w:rPr>
        <w:t>offshore</w:t>
      </w:r>
      <w:r w:rsidR="00220005" w:rsidRPr="003F67EF">
        <w:rPr>
          <w:rFonts w:cstheme="minorHAnsi"/>
          <w:sz w:val="28"/>
          <w:szCs w:val="28"/>
        </w:rPr>
        <w:t xml:space="preserve"> </w:t>
      </w:r>
      <w:r w:rsidR="002358EA">
        <w:rPr>
          <w:rFonts w:cstheme="minorHAnsi"/>
          <w:sz w:val="28"/>
          <w:szCs w:val="28"/>
        </w:rPr>
        <w:t xml:space="preserve">overseas </w:t>
      </w:r>
      <w:r w:rsidR="00220005" w:rsidRPr="003F67EF">
        <w:rPr>
          <w:rFonts w:cstheme="minorHAnsi"/>
          <w:sz w:val="28"/>
          <w:szCs w:val="28"/>
        </w:rPr>
        <w:t>student</w:t>
      </w:r>
      <w:r w:rsidR="00220005">
        <w:rPr>
          <w:rFonts w:cstheme="minorHAnsi"/>
          <w:sz w:val="28"/>
          <w:szCs w:val="28"/>
        </w:rPr>
        <w:t xml:space="preserve">s studying </w:t>
      </w:r>
      <w:r w:rsidR="00190EBF">
        <w:rPr>
          <w:rFonts w:cstheme="minorHAnsi"/>
          <w:sz w:val="28"/>
          <w:szCs w:val="28"/>
        </w:rPr>
        <w:t xml:space="preserve">for </w:t>
      </w:r>
      <w:r w:rsidR="00220005">
        <w:rPr>
          <w:rFonts w:cstheme="minorHAnsi"/>
          <w:sz w:val="28"/>
          <w:szCs w:val="28"/>
        </w:rPr>
        <w:t>British universit</w:t>
      </w:r>
      <w:r w:rsidR="00190EBF">
        <w:rPr>
          <w:rFonts w:cstheme="minorHAnsi"/>
          <w:sz w:val="28"/>
          <w:szCs w:val="28"/>
        </w:rPr>
        <w:t>y qualifications</w:t>
      </w:r>
      <w:r w:rsidR="00220005">
        <w:rPr>
          <w:rFonts w:cstheme="minorHAnsi"/>
          <w:sz w:val="28"/>
          <w:szCs w:val="28"/>
        </w:rPr>
        <w:t xml:space="preserve"> during the last decade.</w:t>
      </w:r>
      <w:r w:rsidR="003B2F56">
        <w:rPr>
          <w:rFonts w:cstheme="minorHAnsi"/>
          <w:sz w:val="28"/>
          <w:szCs w:val="28"/>
        </w:rPr>
        <w:t xml:space="preserve"> </w:t>
      </w:r>
    </w:p>
    <w:p w14:paraId="0DE43205" w14:textId="7038206F" w:rsidR="003B2F56" w:rsidRDefault="003B2F56" w:rsidP="00220005">
      <w:pPr>
        <w:jc w:val="both"/>
        <w:rPr>
          <w:rFonts w:cstheme="minorHAnsi"/>
          <w:sz w:val="28"/>
          <w:szCs w:val="28"/>
        </w:rPr>
      </w:pPr>
      <w:r>
        <w:rPr>
          <w:rFonts w:cstheme="minorHAnsi"/>
          <w:sz w:val="28"/>
          <w:szCs w:val="28"/>
        </w:rPr>
        <w:t>Considerable research has</w:t>
      </w:r>
      <w:r w:rsidR="008178CF">
        <w:rPr>
          <w:rFonts w:cstheme="minorHAnsi"/>
          <w:sz w:val="28"/>
          <w:szCs w:val="28"/>
        </w:rPr>
        <w:t xml:space="preserve"> been undertaken especially </w:t>
      </w:r>
      <w:r>
        <w:rPr>
          <w:rFonts w:cstheme="minorHAnsi"/>
          <w:sz w:val="28"/>
          <w:szCs w:val="28"/>
        </w:rPr>
        <w:t>since the mid-late 1990s on international student mobility (onshore provision) and transnational higher education (</w:t>
      </w:r>
      <w:r w:rsidR="0031077B">
        <w:rPr>
          <w:rFonts w:cstheme="minorHAnsi"/>
          <w:sz w:val="28"/>
          <w:szCs w:val="28"/>
        </w:rPr>
        <w:t>offshore</w:t>
      </w:r>
      <w:r>
        <w:rPr>
          <w:rFonts w:cstheme="minorHAnsi"/>
          <w:sz w:val="28"/>
          <w:szCs w:val="28"/>
        </w:rPr>
        <w:t xml:space="preserve"> provision)</w:t>
      </w:r>
      <w:r w:rsidR="0029080C">
        <w:rPr>
          <w:rFonts w:cstheme="minorHAnsi"/>
          <w:sz w:val="28"/>
          <w:szCs w:val="28"/>
        </w:rPr>
        <w:t xml:space="preserve"> (</w:t>
      </w:r>
      <w:r w:rsidR="005731A5">
        <w:rPr>
          <w:rFonts w:cstheme="minorHAnsi"/>
          <w:sz w:val="28"/>
          <w:szCs w:val="28"/>
        </w:rPr>
        <w:t xml:space="preserve">see </w:t>
      </w:r>
      <w:r w:rsidR="008178CF">
        <w:rPr>
          <w:rFonts w:cstheme="minorHAnsi"/>
          <w:sz w:val="28"/>
          <w:szCs w:val="28"/>
        </w:rPr>
        <w:t xml:space="preserve">British Council 2013 and 2017; McBurnie and Ziguras, 2007; </w:t>
      </w:r>
      <w:r w:rsidR="005731A5">
        <w:rPr>
          <w:rFonts w:cstheme="minorHAnsi"/>
          <w:sz w:val="28"/>
          <w:szCs w:val="28"/>
        </w:rPr>
        <w:t>McNamara et. al, 2013;</w:t>
      </w:r>
      <w:r w:rsidR="008178CF">
        <w:rPr>
          <w:rFonts w:cstheme="minorHAnsi"/>
          <w:sz w:val="28"/>
          <w:szCs w:val="28"/>
        </w:rPr>
        <w:t xml:space="preserve"> Healey, 2013</w:t>
      </w:r>
      <w:r w:rsidR="0029080C">
        <w:rPr>
          <w:rFonts w:cstheme="minorHAnsi"/>
          <w:sz w:val="28"/>
          <w:szCs w:val="28"/>
        </w:rPr>
        <w:t>)</w:t>
      </w:r>
      <w:r>
        <w:rPr>
          <w:rFonts w:cstheme="minorHAnsi"/>
          <w:sz w:val="28"/>
          <w:szCs w:val="28"/>
        </w:rPr>
        <w:t>.</w:t>
      </w:r>
      <w:r w:rsidR="00EC011B">
        <w:rPr>
          <w:rFonts w:cstheme="minorHAnsi"/>
          <w:sz w:val="28"/>
          <w:szCs w:val="28"/>
        </w:rPr>
        <w:t xml:space="preserve"> Globally, the number of foreign stu</w:t>
      </w:r>
      <w:r w:rsidR="00347C96">
        <w:rPr>
          <w:rFonts w:cstheme="minorHAnsi"/>
          <w:sz w:val="28"/>
          <w:szCs w:val="28"/>
        </w:rPr>
        <w:t xml:space="preserve">dents has increased from </w:t>
      </w:r>
      <w:r w:rsidR="00F61874">
        <w:rPr>
          <w:rFonts w:cstheme="minorHAnsi"/>
          <w:sz w:val="28"/>
          <w:szCs w:val="28"/>
        </w:rPr>
        <w:t xml:space="preserve">1.5 million </w:t>
      </w:r>
      <w:r w:rsidR="00347C96">
        <w:rPr>
          <w:rFonts w:cstheme="minorHAnsi"/>
          <w:sz w:val="28"/>
          <w:szCs w:val="28"/>
        </w:rPr>
        <w:t>in 1990</w:t>
      </w:r>
      <w:r w:rsidR="00EC011B">
        <w:rPr>
          <w:rFonts w:cstheme="minorHAnsi"/>
          <w:sz w:val="28"/>
          <w:szCs w:val="28"/>
        </w:rPr>
        <w:t xml:space="preserve"> to </w:t>
      </w:r>
      <w:r w:rsidR="00347C96">
        <w:rPr>
          <w:rFonts w:cstheme="minorHAnsi"/>
          <w:sz w:val="28"/>
          <w:szCs w:val="28"/>
        </w:rPr>
        <w:t>5.3 million in 2017</w:t>
      </w:r>
      <w:r w:rsidR="00EC011B">
        <w:rPr>
          <w:rFonts w:cstheme="minorHAnsi"/>
          <w:sz w:val="28"/>
          <w:szCs w:val="28"/>
        </w:rPr>
        <w:t xml:space="preserve">. </w:t>
      </w:r>
      <w:r w:rsidR="00EC011B">
        <w:rPr>
          <w:rFonts w:cstheme="minorHAnsi"/>
          <w:sz w:val="28"/>
          <w:szCs w:val="28"/>
        </w:rPr>
        <w:lastRenderedPageBreak/>
        <w:t>Five re</w:t>
      </w:r>
      <w:r w:rsidR="00F61874">
        <w:rPr>
          <w:rFonts w:cstheme="minorHAnsi"/>
          <w:sz w:val="28"/>
          <w:szCs w:val="28"/>
        </w:rPr>
        <w:t>cipient countries account for 44%</w:t>
      </w:r>
      <w:r w:rsidR="00EC011B">
        <w:rPr>
          <w:rFonts w:cstheme="minorHAnsi"/>
          <w:sz w:val="28"/>
          <w:szCs w:val="28"/>
        </w:rPr>
        <w:t xml:space="preserve"> of inward flows of students (the United States of America, United Kingdom, Australia, </w:t>
      </w:r>
      <w:r w:rsidR="00347C96">
        <w:rPr>
          <w:rFonts w:cstheme="minorHAnsi"/>
          <w:sz w:val="28"/>
          <w:szCs w:val="28"/>
        </w:rPr>
        <w:t xml:space="preserve">Russia </w:t>
      </w:r>
      <w:r w:rsidR="00EC011B">
        <w:rPr>
          <w:rFonts w:cstheme="minorHAnsi"/>
          <w:sz w:val="28"/>
          <w:szCs w:val="28"/>
        </w:rPr>
        <w:t>and Germany). While the outflow of foreign s</w:t>
      </w:r>
      <w:r w:rsidR="00347C96">
        <w:rPr>
          <w:rFonts w:cstheme="minorHAnsi"/>
          <w:sz w:val="28"/>
          <w:szCs w:val="28"/>
        </w:rPr>
        <w:t xml:space="preserve">tudents is less concentrated, 30% </w:t>
      </w:r>
      <w:r w:rsidR="00EC011B">
        <w:rPr>
          <w:rFonts w:cstheme="minorHAnsi"/>
          <w:sz w:val="28"/>
          <w:szCs w:val="28"/>
        </w:rPr>
        <w:t>of</w:t>
      </w:r>
      <w:r w:rsidR="00347C96">
        <w:rPr>
          <w:rFonts w:cstheme="minorHAnsi"/>
          <w:sz w:val="28"/>
          <w:szCs w:val="28"/>
        </w:rPr>
        <w:t xml:space="preserve"> them come from five countries (</w:t>
      </w:r>
      <w:r w:rsidR="00EC011B">
        <w:rPr>
          <w:rFonts w:cstheme="minorHAnsi"/>
          <w:sz w:val="28"/>
          <w:szCs w:val="28"/>
        </w:rPr>
        <w:t>China, India</w:t>
      </w:r>
      <w:r w:rsidR="00347C96">
        <w:rPr>
          <w:rFonts w:cstheme="minorHAnsi"/>
          <w:sz w:val="28"/>
          <w:szCs w:val="28"/>
        </w:rPr>
        <w:t xml:space="preserve">, Korea, Germany and France). </w:t>
      </w:r>
      <w:r w:rsidR="00EC011B">
        <w:rPr>
          <w:rFonts w:cstheme="minorHAnsi"/>
          <w:sz w:val="28"/>
          <w:szCs w:val="28"/>
        </w:rPr>
        <w:t xml:space="preserve">   </w:t>
      </w:r>
      <w:r>
        <w:rPr>
          <w:rFonts w:cstheme="minorHAnsi"/>
          <w:sz w:val="28"/>
          <w:szCs w:val="28"/>
        </w:rPr>
        <w:t xml:space="preserve">  </w:t>
      </w:r>
    </w:p>
    <w:p w14:paraId="3193782C" w14:textId="1D73F74A" w:rsidR="0029080C" w:rsidRDefault="00EC011B" w:rsidP="00220005">
      <w:pPr>
        <w:jc w:val="both"/>
        <w:rPr>
          <w:rFonts w:cstheme="minorHAnsi"/>
          <w:sz w:val="28"/>
          <w:szCs w:val="28"/>
        </w:rPr>
      </w:pPr>
      <w:r>
        <w:rPr>
          <w:rFonts w:cstheme="minorHAnsi"/>
          <w:sz w:val="28"/>
          <w:szCs w:val="28"/>
        </w:rPr>
        <w:t xml:space="preserve">Similarly, the growth in </w:t>
      </w:r>
      <w:r w:rsidR="00F5454F">
        <w:rPr>
          <w:rFonts w:cstheme="minorHAnsi"/>
          <w:sz w:val="28"/>
          <w:szCs w:val="28"/>
        </w:rPr>
        <w:t xml:space="preserve">TNE, </w:t>
      </w:r>
      <w:r w:rsidR="0031077B">
        <w:rPr>
          <w:rFonts w:cstheme="minorHAnsi"/>
          <w:sz w:val="28"/>
          <w:szCs w:val="28"/>
        </w:rPr>
        <w:t>offshore</w:t>
      </w:r>
      <w:r w:rsidR="00F5454F">
        <w:rPr>
          <w:rFonts w:cstheme="minorHAnsi"/>
          <w:sz w:val="28"/>
          <w:szCs w:val="28"/>
        </w:rPr>
        <w:t xml:space="preserve"> provision since the early-mid 1990s has</w:t>
      </w:r>
      <w:r>
        <w:rPr>
          <w:rFonts w:cstheme="minorHAnsi"/>
          <w:sz w:val="28"/>
          <w:szCs w:val="28"/>
        </w:rPr>
        <w:t xml:space="preserve"> been very impressive although no global statistics are available. Th</w:t>
      </w:r>
      <w:r w:rsidR="00F5454F">
        <w:rPr>
          <w:rFonts w:cstheme="minorHAnsi"/>
          <w:sz w:val="28"/>
          <w:szCs w:val="28"/>
        </w:rPr>
        <w:t>ree countries, Australia, the UK and the US</w:t>
      </w:r>
      <w:r>
        <w:rPr>
          <w:rFonts w:cstheme="minorHAnsi"/>
          <w:sz w:val="28"/>
          <w:szCs w:val="28"/>
        </w:rPr>
        <w:t xml:space="preserve"> have been the dominant market leaders although other countries are beginning</w:t>
      </w:r>
      <w:r w:rsidR="00F5454F">
        <w:rPr>
          <w:rFonts w:cstheme="minorHAnsi"/>
          <w:sz w:val="28"/>
          <w:szCs w:val="28"/>
        </w:rPr>
        <w:t>, albeit generally quite tentatively,</w:t>
      </w:r>
      <w:r>
        <w:rPr>
          <w:rFonts w:cstheme="minorHAnsi"/>
          <w:sz w:val="28"/>
          <w:szCs w:val="28"/>
        </w:rPr>
        <w:t xml:space="preserve"> to </w:t>
      </w:r>
      <w:r w:rsidR="00F5454F">
        <w:rPr>
          <w:rFonts w:cstheme="minorHAnsi"/>
          <w:sz w:val="28"/>
          <w:szCs w:val="28"/>
        </w:rPr>
        <w:t>become involved</w:t>
      </w:r>
      <w:r>
        <w:rPr>
          <w:rFonts w:cstheme="minorHAnsi"/>
          <w:sz w:val="28"/>
          <w:szCs w:val="28"/>
        </w:rPr>
        <w:t xml:space="preserve">. </w:t>
      </w:r>
      <w:r w:rsidR="0029080C">
        <w:rPr>
          <w:rFonts w:cstheme="minorHAnsi"/>
          <w:sz w:val="28"/>
          <w:szCs w:val="28"/>
        </w:rPr>
        <w:t>Australia and the UK universities have focu</w:t>
      </w:r>
      <w:r w:rsidR="005731A5">
        <w:rPr>
          <w:rFonts w:cstheme="minorHAnsi"/>
          <w:sz w:val="28"/>
          <w:szCs w:val="28"/>
        </w:rPr>
        <w:t xml:space="preserve">sed mainly on collaborative </w:t>
      </w:r>
      <w:r w:rsidR="0031077B">
        <w:rPr>
          <w:rFonts w:cstheme="minorHAnsi"/>
          <w:sz w:val="28"/>
          <w:szCs w:val="28"/>
        </w:rPr>
        <w:t>offshore</w:t>
      </w:r>
      <w:r w:rsidR="0029080C">
        <w:rPr>
          <w:rFonts w:cstheme="minorHAnsi"/>
          <w:sz w:val="28"/>
          <w:szCs w:val="28"/>
        </w:rPr>
        <w:t xml:space="preserve"> provision based on the validation and, increasingly, the franchising of their degrees with overseas partner institutions while US universities have been mainly involved in establishing overseas branch campuses throughout the world but especially in Europe, the Middle and South-East and East Asia.</w:t>
      </w:r>
    </w:p>
    <w:p w14:paraId="59436492" w14:textId="05787A2E" w:rsidR="00155093" w:rsidRPr="00155093" w:rsidRDefault="00155093" w:rsidP="00220005">
      <w:pPr>
        <w:jc w:val="both"/>
        <w:rPr>
          <w:rFonts w:cstheme="minorHAnsi"/>
          <w:b/>
          <w:sz w:val="28"/>
          <w:szCs w:val="28"/>
        </w:rPr>
      </w:pPr>
      <w:r w:rsidRPr="00155093">
        <w:rPr>
          <w:rFonts w:cstheme="minorHAnsi"/>
          <w:b/>
          <w:sz w:val="28"/>
          <w:szCs w:val="28"/>
        </w:rPr>
        <w:t>1.3 T</w:t>
      </w:r>
      <w:r w:rsidR="004B7172">
        <w:rPr>
          <w:rFonts w:cstheme="minorHAnsi"/>
          <w:b/>
          <w:sz w:val="28"/>
          <w:szCs w:val="28"/>
        </w:rPr>
        <w:t xml:space="preserve">HE RELATIONSHIP BETWEEN </w:t>
      </w:r>
      <w:r w:rsidR="0031077B">
        <w:rPr>
          <w:rFonts w:cstheme="minorHAnsi"/>
          <w:b/>
          <w:sz w:val="28"/>
          <w:szCs w:val="28"/>
        </w:rPr>
        <w:t>ONSHORE</w:t>
      </w:r>
      <w:r w:rsidR="004B7172">
        <w:rPr>
          <w:rFonts w:cstheme="minorHAnsi"/>
          <w:b/>
          <w:sz w:val="28"/>
          <w:szCs w:val="28"/>
        </w:rPr>
        <w:t xml:space="preserve"> AND </w:t>
      </w:r>
      <w:r w:rsidR="0031077B">
        <w:rPr>
          <w:rFonts w:cstheme="minorHAnsi"/>
          <w:b/>
          <w:sz w:val="28"/>
          <w:szCs w:val="28"/>
        </w:rPr>
        <w:t>OFFSHORE</w:t>
      </w:r>
      <w:r w:rsidR="004B7172">
        <w:rPr>
          <w:rFonts w:cstheme="minorHAnsi"/>
          <w:b/>
          <w:sz w:val="28"/>
          <w:szCs w:val="28"/>
        </w:rPr>
        <w:t xml:space="preserve"> PROVISION</w:t>
      </w:r>
      <w:r w:rsidRPr="00155093">
        <w:rPr>
          <w:rFonts w:cstheme="minorHAnsi"/>
          <w:b/>
          <w:sz w:val="28"/>
          <w:szCs w:val="28"/>
        </w:rPr>
        <w:t xml:space="preserve"> </w:t>
      </w:r>
    </w:p>
    <w:p w14:paraId="061F8F74" w14:textId="75C0ADEA" w:rsidR="00155093" w:rsidRDefault="0029080C" w:rsidP="00220005">
      <w:pPr>
        <w:jc w:val="both"/>
        <w:rPr>
          <w:rFonts w:cstheme="minorHAnsi"/>
          <w:sz w:val="28"/>
          <w:szCs w:val="28"/>
        </w:rPr>
      </w:pPr>
      <w:r>
        <w:rPr>
          <w:rFonts w:cstheme="minorHAnsi"/>
          <w:sz w:val="28"/>
          <w:szCs w:val="28"/>
        </w:rPr>
        <w:t xml:space="preserve">Numerous growth factors have been identified and analysed in order to explain the growth in provision of both onshore and </w:t>
      </w:r>
      <w:r w:rsidR="0031077B">
        <w:rPr>
          <w:rFonts w:cstheme="minorHAnsi"/>
          <w:sz w:val="28"/>
          <w:szCs w:val="28"/>
        </w:rPr>
        <w:t>offshore</w:t>
      </w:r>
      <w:r>
        <w:rPr>
          <w:rFonts w:cstheme="minorHAnsi"/>
          <w:sz w:val="28"/>
          <w:szCs w:val="28"/>
        </w:rPr>
        <w:t xml:space="preserve"> provision. This </w:t>
      </w:r>
      <w:r w:rsidR="006150FC">
        <w:rPr>
          <w:rFonts w:cstheme="minorHAnsi"/>
          <w:sz w:val="28"/>
          <w:szCs w:val="28"/>
        </w:rPr>
        <w:t xml:space="preserve">growth </w:t>
      </w:r>
      <w:r>
        <w:rPr>
          <w:rFonts w:cstheme="minorHAnsi"/>
          <w:sz w:val="28"/>
          <w:szCs w:val="28"/>
        </w:rPr>
        <w:t>has taken place hand and hand with the rapid globalisation of the world economy and, in particular, the growth in international trade in good</w:t>
      </w:r>
      <w:r w:rsidR="006150FC">
        <w:rPr>
          <w:rFonts w:cstheme="minorHAnsi"/>
          <w:sz w:val="28"/>
          <w:szCs w:val="28"/>
        </w:rPr>
        <w:t>s</w:t>
      </w:r>
      <w:r>
        <w:rPr>
          <w:rFonts w:cstheme="minorHAnsi"/>
          <w:sz w:val="28"/>
          <w:szCs w:val="28"/>
        </w:rPr>
        <w:t xml:space="preserve"> and services</w:t>
      </w:r>
      <w:r w:rsidR="006150FC">
        <w:rPr>
          <w:rFonts w:cstheme="minorHAnsi"/>
          <w:sz w:val="28"/>
          <w:szCs w:val="28"/>
        </w:rPr>
        <w:t xml:space="preserve">. Revolutionary changes in information and communication technologies have played a key role. Universities themselves have become more global in outlook fuelled by the liberalisation and commercialisation of </w:t>
      </w:r>
      <w:r w:rsidR="00FC1AB3">
        <w:rPr>
          <w:rFonts w:cstheme="minorHAnsi"/>
          <w:sz w:val="28"/>
          <w:szCs w:val="28"/>
        </w:rPr>
        <w:t xml:space="preserve">the </w:t>
      </w:r>
      <w:r w:rsidR="006150FC">
        <w:rPr>
          <w:rFonts w:cstheme="minorHAnsi"/>
          <w:sz w:val="28"/>
          <w:szCs w:val="28"/>
        </w:rPr>
        <w:t xml:space="preserve">higher education sector and the concomitant reduction in public funding.  </w:t>
      </w:r>
      <w:r>
        <w:rPr>
          <w:rFonts w:cstheme="minorHAnsi"/>
          <w:sz w:val="28"/>
          <w:szCs w:val="28"/>
        </w:rPr>
        <w:t xml:space="preserve">    </w:t>
      </w:r>
    </w:p>
    <w:p w14:paraId="6B533598" w14:textId="29D20B0B" w:rsidR="00B9135E" w:rsidRDefault="00155093" w:rsidP="00220005">
      <w:pPr>
        <w:jc w:val="both"/>
        <w:rPr>
          <w:rFonts w:cstheme="minorHAnsi"/>
          <w:sz w:val="28"/>
          <w:szCs w:val="28"/>
        </w:rPr>
      </w:pPr>
      <w:r>
        <w:rPr>
          <w:rFonts w:cstheme="minorHAnsi"/>
          <w:sz w:val="28"/>
          <w:szCs w:val="28"/>
        </w:rPr>
        <w:t>W</w:t>
      </w:r>
      <w:r w:rsidR="00E7643C">
        <w:rPr>
          <w:rFonts w:cstheme="minorHAnsi"/>
          <w:sz w:val="28"/>
          <w:szCs w:val="28"/>
        </w:rPr>
        <w:t>hat is striking</w:t>
      </w:r>
      <w:r>
        <w:rPr>
          <w:rFonts w:cstheme="minorHAnsi"/>
          <w:sz w:val="28"/>
          <w:szCs w:val="28"/>
        </w:rPr>
        <w:t>, however,</w:t>
      </w:r>
      <w:r w:rsidR="00E7643C">
        <w:rPr>
          <w:rFonts w:cstheme="minorHAnsi"/>
          <w:sz w:val="28"/>
          <w:szCs w:val="28"/>
        </w:rPr>
        <w:t xml:space="preserve"> is that onshore and </w:t>
      </w:r>
      <w:r w:rsidR="0031077B">
        <w:rPr>
          <w:rFonts w:cstheme="minorHAnsi"/>
          <w:sz w:val="28"/>
          <w:szCs w:val="28"/>
        </w:rPr>
        <w:t>offshore</w:t>
      </w:r>
      <w:r w:rsidR="00E7643C">
        <w:rPr>
          <w:rFonts w:cstheme="minorHAnsi"/>
          <w:sz w:val="28"/>
          <w:szCs w:val="28"/>
        </w:rPr>
        <w:t xml:space="preserve"> provision </w:t>
      </w:r>
      <w:r w:rsidR="0001449E">
        <w:rPr>
          <w:rFonts w:cstheme="minorHAnsi"/>
          <w:sz w:val="28"/>
          <w:szCs w:val="28"/>
        </w:rPr>
        <w:t xml:space="preserve">for overseas students </w:t>
      </w:r>
      <w:r w:rsidR="00E7643C">
        <w:rPr>
          <w:rFonts w:cstheme="minorHAnsi"/>
          <w:sz w:val="28"/>
          <w:szCs w:val="28"/>
        </w:rPr>
        <w:t xml:space="preserve">is </w:t>
      </w:r>
      <w:r w:rsidR="0001449E">
        <w:rPr>
          <w:rFonts w:cstheme="minorHAnsi"/>
          <w:sz w:val="28"/>
          <w:szCs w:val="28"/>
        </w:rPr>
        <w:t xml:space="preserve">almost always </w:t>
      </w:r>
      <w:r w:rsidR="00E7643C">
        <w:rPr>
          <w:rFonts w:cstheme="minorHAnsi"/>
          <w:sz w:val="28"/>
          <w:szCs w:val="28"/>
        </w:rPr>
        <w:t xml:space="preserve">analysed separately. Consequently, </w:t>
      </w:r>
      <w:r>
        <w:rPr>
          <w:rFonts w:cstheme="minorHAnsi"/>
          <w:sz w:val="28"/>
          <w:szCs w:val="28"/>
        </w:rPr>
        <w:t xml:space="preserve">very </w:t>
      </w:r>
      <w:r w:rsidR="00FC1AB3">
        <w:rPr>
          <w:rFonts w:cstheme="minorHAnsi"/>
          <w:sz w:val="28"/>
          <w:szCs w:val="28"/>
        </w:rPr>
        <w:t xml:space="preserve">little </w:t>
      </w:r>
      <w:r w:rsidR="002E583E">
        <w:rPr>
          <w:rFonts w:cstheme="minorHAnsi"/>
          <w:sz w:val="28"/>
          <w:szCs w:val="28"/>
        </w:rPr>
        <w:t>detailed attention has bee</w:t>
      </w:r>
      <w:r w:rsidR="002B7943">
        <w:rPr>
          <w:rFonts w:cstheme="minorHAnsi"/>
          <w:sz w:val="28"/>
          <w:szCs w:val="28"/>
        </w:rPr>
        <w:t xml:space="preserve">n given to looking at both </w:t>
      </w:r>
      <w:r>
        <w:rPr>
          <w:rFonts w:cstheme="minorHAnsi"/>
          <w:sz w:val="28"/>
          <w:szCs w:val="28"/>
        </w:rPr>
        <w:t xml:space="preserve">types provision </w:t>
      </w:r>
      <w:r w:rsidR="002E583E">
        <w:rPr>
          <w:rFonts w:cstheme="minorHAnsi"/>
          <w:sz w:val="28"/>
          <w:szCs w:val="28"/>
        </w:rPr>
        <w:t>as a whole</w:t>
      </w:r>
      <w:r w:rsidR="00FC1AB3">
        <w:rPr>
          <w:rFonts w:cstheme="minorHAnsi"/>
          <w:sz w:val="28"/>
          <w:szCs w:val="28"/>
        </w:rPr>
        <w:t xml:space="preserve">/ </w:t>
      </w:r>
      <w:r w:rsidR="002B7943">
        <w:rPr>
          <w:rFonts w:cstheme="minorHAnsi"/>
          <w:sz w:val="28"/>
          <w:szCs w:val="28"/>
        </w:rPr>
        <w:t>holistically</w:t>
      </w:r>
      <w:r w:rsidR="002E583E">
        <w:rPr>
          <w:rFonts w:cstheme="minorHAnsi"/>
          <w:sz w:val="28"/>
          <w:szCs w:val="28"/>
        </w:rPr>
        <w:t xml:space="preserve">, in particular in order to establish whether there </w:t>
      </w:r>
      <w:r w:rsidR="00C31A86">
        <w:rPr>
          <w:rFonts w:cstheme="minorHAnsi"/>
          <w:sz w:val="28"/>
          <w:szCs w:val="28"/>
        </w:rPr>
        <w:t xml:space="preserve">are </w:t>
      </w:r>
      <w:r w:rsidR="002E583E">
        <w:rPr>
          <w:rFonts w:cstheme="minorHAnsi"/>
          <w:sz w:val="28"/>
          <w:szCs w:val="28"/>
        </w:rPr>
        <w:t xml:space="preserve">any discernible patterns and relationships among and between onshore and </w:t>
      </w:r>
      <w:r w:rsidR="0031077B">
        <w:rPr>
          <w:rFonts w:cstheme="minorHAnsi"/>
          <w:sz w:val="28"/>
          <w:szCs w:val="28"/>
        </w:rPr>
        <w:t>offshore</w:t>
      </w:r>
      <w:r w:rsidR="002E583E">
        <w:rPr>
          <w:rFonts w:cstheme="minorHAnsi"/>
          <w:sz w:val="28"/>
          <w:szCs w:val="28"/>
        </w:rPr>
        <w:t xml:space="preserve"> provision. </w:t>
      </w:r>
    </w:p>
    <w:p w14:paraId="700D3347" w14:textId="30F90493" w:rsidR="00DB5EFE" w:rsidRDefault="00B9135E" w:rsidP="007B2C6F">
      <w:pPr>
        <w:jc w:val="both"/>
        <w:rPr>
          <w:rFonts w:cstheme="minorHAnsi"/>
          <w:sz w:val="28"/>
          <w:szCs w:val="28"/>
        </w:rPr>
      </w:pPr>
      <w:r>
        <w:rPr>
          <w:rFonts w:cstheme="minorHAnsi"/>
          <w:sz w:val="28"/>
          <w:szCs w:val="28"/>
        </w:rPr>
        <w:t>Th</w:t>
      </w:r>
      <w:r w:rsidR="004F3E98">
        <w:rPr>
          <w:rFonts w:cstheme="minorHAnsi"/>
          <w:sz w:val="28"/>
          <w:szCs w:val="28"/>
        </w:rPr>
        <w:t xml:space="preserve">is article </w:t>
      </w:r>
      <w:r w:rsidR="00925294">
        <w:rPr>
          <w:rFonts w:cstheme="minorHAnsi"/>
          <w:sz w:val="28"/>
          <w:szCs w:val="28"/>
        </w:rPr>
        <w:t xml:space="preserve">explores these </w:t>
      </w:r>
      <w:r w:rsidR="007B2C6F">
        <w:rPr>
          <w:rFonts w:cstheme="minorHAnsi"/>
          <w:sz w:val="28"/>
          <w:szCs w:val="28"/>
        </w:rPr>
        <w:t>patterns and r</w:t>
      </w:r>
      <w:r w:rsidR="00925294">
        <w:rPr>
          <w:rFonts w:cstheme="minorHAnsi"/>
          <w:sz w:val="28"/>
          <w:szCs w:val="28"/>
        </w:rPr>
        <w:t xml:space="preserve">elationships with respect to onshore and </w:t>
      </w:r>
      <w:r w:rsidR="0031077B">
        <w:rPr>
          <w:rFonts w:cstheme="minorHAnsi"/>
          <w:sz w:val="28"/>
          <w:szCs w:val="28"/>
        </w:rPr>
        <w:t>offshore</w:t>
      </w:r>
      <w:r w:rsidR="00925294">
        <w:rPr>
          <w:rFonts w:cstheme="minorHAnsi"/>
          <w:sz w:val="28"/>
          <w:szCs w:val="28"/>
        </w:rPr>
        <w:t xml:space="preserve"> provision </w:t>
      </w:r>
      <w:r w:rsidR="007B2C6F">
        <w:rPr>
          <w:rFonts w:cstheme="minorHAnsi"/>
          <w:sz w:val="28"/>
          <w:szCs w:val="28"/>
        </w:rPr>
        <w:t xml:space="preserve">by universities in the </w:t>
      </w:r>
      <w:r w:rsidR="00925294">
        <w:rPr>
          <w:rFonts w:cstheme="minorHAnsi"/>
          <w:sz w:val="28"/>
          <w:szCs w:val="28"/>
        </w:rPr>
        <w:t>UK</w:t>
      </w:r>
      <w:r w:rsidR="007B2C6F">
        <w:rPr>
          <w:rFonts w:cstheme="minorHAnsi"/>
          <w:sz w:val="28"/>
          <w:szCs w:val="28"/>
        </w:rPr>
        <w:t>.</w:t>
      </w:r>
      <w:r w:rsidR="00104099">
        <w:rPr>
          <w:rFonts w:cstheme="minorHAnsi"/>
          <w:sz w:val="28"/>
          <w:szCs w:val="28"/>
        </w:rPr>
        <w:t xml:space="preserve"> </w:t>
      </w:r>
      <w:r w:rsidR="00AC2877">
        <w:rPr>
          <w:rFonts w:cstheme="minorHAnsi"/>
          <w:sz w:val="28"/>
          <w:szCs w:val="28"/>
        </w:rPr>
        <w:t xml:space="preserve"> </w:t>
      </w:r>
      <w:r w:rsidR="00A479B1">
        <w:rPr>
          <w:rFonts w:cstheme="minorHAnsi"/>
          <w:sz w:val="28"/>
          <w:szCs w:val="28"/>
        </w:rPr>
        <w:t xml:space="preserve">Identifying patterns of provision is mainly descriptive and thus relatively straightforward. However, identifying the key causal factors which, collectively, lead to the observed patterns of provision is methodologically very challenging. In part, this is because there are so many potentially salient economic, political and </w:t>
      </w:r>
      <w:r w:rsidR="00A479B1">
        <w:rPr>
          <w:rFonts w:cstheme="minorHAnsi"/>
          <w:sz w:val="28"/>
          <w:szCs w:val="28"/>
        </w:rPr>
        <w:lastRenderedPageBreak/>
        <w:t xml:space="preserve">social/cultural/linguistics factors. And, as with any analysis of this kind, there are the usual, often intractable, attribution and counterfactual issues. </w:t>
      </w:r>
    </w:p>
    <w:p w14:paraId="1EEF0E78" w14:textId="69051B32" w:rsidR="007B2C6F" w:rsidRDefault="00F63819" w:rsidP="007B2C6F">
      <w:pPr>
        <w:jc w:val="both"/>
        <w:rPr>
          <w:rFonts w:cstheme="minorHAnsi"/>
          <w:sz w:val="28"/>
          <w:szCs w:val="28"/>
        </w:rPr>
      </w:pPr>
      <w:r>
        <w:rPr>
          <w:rFonts w:cstheme="minorHAnsi"/>
          <w:sz w:val="28"/>
          <w:szCs w:val="28"/>
        </w:rPr>
        <w:t xml:space="preserve">The article </w:t>
      </w:r>
      <w:r w:rsidR="007B2C6F">
        <w:rPr>
          <w:rFonts w:cstheme="minorHAnsi"/>
          <w:sz w:val="28"/>
          <w:szCs w:val="28"/>
        </w:rPr>
        <w:t>focuses on the following three key questions. Firstly, a</w:t>
      </w:r>
      <w:r w:rsidR="002E583E" w:rsidRPr="00B9135E">
        <w:rPr>
          <w:rFonts w:cstheme="minorHAnsi"/>
          <w:sz w:val="28"/>
          <w:szCs w:val="28"/>
        </w:rPr>
        <w:t xml:space="preserve">re </w:t>
      </w:r>
      <w:r w:rsidR="00C31A86" w:rsidRPr="00B9135E">
        <w:rPr>
          <w:rFonts w:cstheme="minorHAnsi"/>
          <w:sz w:val="28"/>
          <w:szCs w:val="28"/>
        </w:rPr>
        <w:t xml:space="preserve">there </w:t>
      </w:r>
      <w:r w:rsidR="00E12726">
        <w:rPr>
          <w:rFonts w:cstheme="minorHAnsi"/>
          <w:sz w:val="28"/>
          <w:szCs w:val="28"/>
        </w:rPr>
        <w:t>c</w:t>
      </w:r>
      <w:r w:rsidR="00925294">
        <w:rPr>
          <w:rFonts w:cstheme="minorHAnsi"/>
          <w:sz w:val="28"/>
          <w:szCs w:val="28"/>
        </w:rPr>
        <w:t>ertain types of university</w:t>
      </w:r>
      <w:r w:rsidR="00FC1AB3">
        <w:rPr>
          <w:rFonts w:cstheme="minorHAnsi"/>
          <w:sz w:val="28"/>
          <w:szCs w:val="28"/>
        </w:rPr>
        <w:t xml:space="preserve"> in the UK</w:t>
      </w:r>
      <w:r w:rsidR="00925294">
        <w:rPr>
          <w:rFonts w:cstheme="minorHAnsi"/>
          <w:sz w:val="28"/>
          <w:szCs w:val="28"/>
        </w:rPr>
        <w:t xml:space="preserve"> that</w:t>
      </w:r>
      <w:r w:rsidR="002E583E" w:rsidRPr="00B9135E">
        <w:rPr>
          <w:rFonts w:cstheme="minorHAnsi"/>
          <w:sz w:val="28"/>
          <w:szCs w:val="28"/>
        </w:rPr>
        <w:t xml:space="preserve"> are more heavily involved in </w:t>
      </w:r>
      <w:r w:rsidR="0031077B">
        <w:rPr>
          <w:rFonts w:cstheme="minorHAnsi"/>
          <w:sz w:val="28"/>
          <w:szCs w:val="28"/>
        </w:rPr>
        <w:t>offshore</w:t>
      </w:r>
      <w:r w:rsidR="002E583E" w:rsidRPr="00B9135E">
        <w:rPr>
          <w:rFonts w:cstheme="minorHAnsi"/>
          <w:sz w:val="28"/>
          <w:szCs w:val="28"/>
        </w:rPr>
        <w:t xml:space="preserve"> and</w:t>
      </w:r>
      <w:r w:rsidR="007B2C6F">
        <w:rPr>
          <w:rFonts w:cstheme="minorHAnsi"/>
          <w:sz w:val="28"/>
          <w:szCs w:val="28"/>
        </w:rPr>
        <w:t>/or</w:t>
      </w:r>
      <w:r w:rsidR="002E583E" w:rsidRPr="00B9135E">
        <w:rPr>
          <w:rFonts w:cstheme="minorHAnsi"/>
          <w:sz w:val="28"/>
          <w:szCs w:val="28"/>
        </w:rPr>
        <w:t xml:space="preserve"> onshore provision than others</w:t>
      </w:r>
      <w:r w:rsidR="00E274C2" w:rsidRPr="00B9135E">
        <w:rPr>
          <w:rFonts w:cstheme="minorHAnsi"/>
          <w:sz w:val="28"/>
          <w:szCs w:val="28"/>
        </w:rPr>
        <w:t>?</w:t>
      </w:r>
      <w:r w:rsidR="007B2C6F">
        <w:rPr>
          <w:rFonts w:cstheme="minorHAnsi"/>
          <w:sz w:val="28"/>
          <w:szCs w:val="28"/>
        </w:rPr>
        <w:t xml:space="preserve"> If, so what are the key reasons for </w:t>
      </w:r>
      <w:r w:rsidR="00FC1AB3">
        <w:rPr>
          <w:rFonts w:cstheme="minorHAnsi"/>
          <w:sz w:val="28"/>
          <w:szCs w:val="28"/>
        </w:rPr>
        <w:t xml:space="preserve">any </w:t>
      </w:r>
      <w:r w:rsidR="007B2C6F">
        <w:rPr>
          <w:rFonts w:cstheme="minorHAnsi"/>
          <w:sz w:val="28"/>
          <w:szCs w:val="28"/>
        </w:rPr>
        <w:t>differential levels of involvement? Secondly, a</w:t>
      </w:r>
      <w:r w:rsidR="002E583E" w:rsidRPr="00B9135E">
        <w:rPr>
          <w:rFonts w:cstheme="minorHAnsi"/>
          <w:sz w:val="28"/>
          <w:szCs w:val="28"/>
        </w:rPr>
        <w:t>re there any significant ca</w:t>
      </w:r>
      <w:r w:rsidR="00FC1AB3">
        <w:rPr>
          <w:rFonts w:cstheme="minorHAnsi"/>
          <w:sz w:val="28"/>
          <w:szCs w:val="28"/>
        </w:rPr>
        <w:t>usal relationships in the levels</w:t>
      </w:r>
      <w:r w:rsidR="002E583E" w:rsidRPr="00B9135E">
        <w:rPr>
          <w:rFonts w:cstheme="minorHAnsi"/>
          <w:sz w:val="28"/>
          <w:szCs w:val="28"/>
        </w:rPr>
        <w:t xml:space="preserve"> </w:t>
      </w:r>
      <w:r w:rsidR="00925294">
        <w:rPr>
          <w:rFonts w:cstheme="minorHAnsi"/>
          <w:sz w:val="28"/>
          <w:szCs w:val="28"/>
        </w:rPr>
        <w:t xml:space="preserve">and overall growth </w:t>
      </w:r>
      <w:r w:rsidR="00FC1AB3">
        <w:rPr>
          <w:rFonts w:cstheme="minorHAnsi"/>
          <w:sz w:val="28"/>
          <w:szCs w:val="28"/>
        </w:rPr>
        <w:t xml:space="preserve">between </w:t>
      </w:r>
      <w:r w:rsidR="002E583E" w:rsidRPr="00B9135E">
        <w:rPr>
          <w:rFonts w:cstheme="minorHAnsi"/>
          <w:sz w:val="28"/>
          <w:szCs w:val="28"/>
        </w:rPr>
        <w:t xml:space="preserve">these types of provision?  </w:t>
      </w:r>
      <w:r w:rsidR="007B2C6F">
        <w:rPr>
          <w:rFonts w:cstheme="minorHAnsi"/>
          <w:sz w:val="28"/>
          <w:szCs w:val="28"/>
        </w:rPr>
        <w:t xml:space="preserve">And thirdly, if any relationships can discerned, </w:t>
      </w:r>
      <w:r w:rsidR="002E583E" w:rsidRPr="00B9135E">
        <w:rPr>
          <w:rFonts w:cstheme="minorHAnsi"/>
          <w:sz w:val="28"/>
          <w:szCs w:val="28"/>
        </w:rPr>
        <w:t xml:space="preserve">to what extent are they substitutive and/or complementary with respect to individual and/or groups of universities and geographical regions and countries? </w:t>
      </w:r>
    </w:p>
    <w:p w14:paraId="42624BEA" w14:textId="6733DACC" w:rsidR="00D35E90" w:rsidRPr="00D23127" w:rsidRDefault="00F61874" w:rsidP="007B2C6F">
      <w:pPr>
        <w:jc w:val="both"/>
        <w:rPr>
          <w:rFonts w:cstheme="minorHAnsi"/>
          <w:b/>
          <w:sz w:val="28"/>
          <w:szCs w:val="28"/>
        </w:rPr>
      </w:pPr>
      <w:r>
        <w:rPr>
          <w:rFonts w:cstheme="minorHAnsi"/>
          <w:b/>
          <w:sz w:val="28"/>
          <w:szCs w:val="28"/>
        </w:rPr>
        <w:t xml:space="preserve">1.4 ARTICLE </w:t>
      </w:r>
      <w:r w:rsidR="004B7172">
        <w:rPr>
          <w:rFonts w:cstheme="minorHAnsi"/>
          <w:b/>
          <w:sz w:val="28"/>
          <w:szCs w:val="28"/>
        </w:rPr>
        <w:t>STRUCTURE</w:t>
      </w:r>
      <w:r w:rsidR="00E7643C" w:rsidRPr="00D23127">
        <w:rPr>
          <w:rFonts w:cstheme="minorHAnsi"/>
          <w:b/>
          <w:sz w:val="28"/>
          <w:szCs w:val="28"/>
        </w:rPr>
        <w:t xml:space="preserve">  </w:t>
      </w:r>
    </w:p>
    <w:p w14:paraId="113B5746" w14:textId="1AAEA4AB" w:rsidR="004B7172" w:rsidRDefault="002E583E" w:rsidP="00220005">
      <w:pPr>
        <w:jc w:val="both"/>
        <w:rPr>
          <w:rFonts w:cstheme="minorHAnsi"/>
          <w:sz w:val="28"/>
          <w:szCs w:val="28"/>
        </w:rPr>
      </w:pPr>
      <w:r>
        <w:rPr>
          <w:rFonts w:cstheme="minorHAnsi"/>
          <w:sz w:val="28"/>
          <w:szCs w:val="28"/>
        </w:rPr>
        <w:t>T</w:t>
      </w:r>
      <w:r w:rsidR="00775377">
        <w:rPr>
          <w:rFonts w:cstheme="minorHAnsi"/>
          <w:sz w:val="28"/>
          <w:szCs w:val="28"/>
        </w:rPr>
        <w:t>he discussion</w:t>
      </w:r>
      <w:r>
        <w:rPr>
          <w:rFonts w:cstheme="minorHAnsi"/>
          <w:sz w:val="28"/>
          <w:szCs w:val="28"/>
        </w:rPr>
        <w:t xml:space="preserve"> is </w:t>
      </w:r>
      <w:r w:rsidR="0049724C">
        <w:rPr>
          <w:rFonts w:cstheme="minorHAnsi"/>
          <w:sz w:val="28"/>
          <w:szCs w:val="28"/>
        </w:rPr>
        <w:t xml:space="preserve">structured as follows. </w:t>
      </w:r>
      <w:r w:rsidR="00943108">
        <w:rPr>
          <w:rFonts w:cstheme="minorHAnsi"/>
          <w:sz w:val="28"/>
          <w:szCs w:val="28"/>
        </w:rPr>
        <w:t xml:space="preserve">Section 2 </w:t>
      </w:r>
      <w:r w:rsidR="007B2C6F">
        <w:rPr>
          <w:rFonts w:cstheme="minorHAnsi"/>
          <w:sz w:val="28"/>
          <w:szCs w:val="28"/>
        </w:rPr>
        <w:t xml:space="preserve">reviews the very limited literature that </w:t>
      </w:r>
      <w:r w:rsidR="00F5454F">
        <w:rPr>
          <w:rFonts w:cstheme="minorHAnsi"/>
          <w:sz w:val="28"/>
          <w:szCs w:val="28"/>
        </w:rPr>
        <w:t xml:space="preserve">directly focuses on </w:t>
      </w:r>
      <w:r w:rsidR="00D23127">
        <w:rPr>
          <w:rFonts w:cstheme="minorHAnsi"/>
          <w:sz w:val="28"/>
          <w:szCs w:val="28"/>
        </w:rPr>
        <w:t xml:space="preserve">the patterns and relationships between </w:t>
      </w:r>
      <w:r w:rsidR="0031077B">
        <w:rPr>
          <w:rFonts w:cstheme="minorHAnsi"/>
          <w:sz w:val="28"/>
          <w:szCs w:val="28"/>
        </w:rPr>
        <w:t>onshore</w:t>
      </w:r>
      <w:r w:rsidR="007B2C6F">
        <w:rPr>
          <w:rFonts w:cstheme="minorHAnsi"/>
          <w:sz w:val="28"/>
          <w:szCs w:val="28"/>
        </w:rPr>
        <w:t xml:space="preserve"> and </w:t>
      </w:r>
      <w:r w:rsidR="0031077B">
        <w:rPr>
          <w:rFonts w:cstheme="minorHAnsi"/>
          <w:sz w:val="28"/>
          <w:szCs w:val="28"/>
        </w:rPr>
        <w:t>offshore</w:t>
      </w:r>
      <w:r w:rsidR="00D23127">
        <w:rPr>
          <w:rFonts w:cstheme="minorHAnsi"/>
          <w:sz w:val="28"/>
          <w:szCs w:val="28"/>
        </w:rPr>
        <w:t xml:space="preserve"> provision</w:t>
      </w:r>
      <w:r w:rsidR="007B2C6F">
        <w:rPr>
          <w:rFonts w:cstheme="minorHAnsi"/>
          <w:sz w:val="28"/>
          <w:szCs w:val="28"/>
        </w:rPr>
        <w:t xml:space="preserve">. Section 3 </w:t>
      </w:r>
      <w:r w:rsidR="00943108">
        <w:rPr>
          <w:rFonts w:cstheme="minorHAnsi"/>
          <w:sz w:val="28"/>
          <w:szCs w:val="28"/>
        </w:rPr>
        <w:t>d</w:t>
      </w:r>
      <w:r w:rsidR="007B2C6F">
        <w:rPr>
          <w:rFonts w:cstheme="minorHAnsi"/>
          <w:sz w:val="28"/>
          <w:szCs w:val="28"/>
        </w:rPr>
        <w:t>escribes the key sources of data</w:t>
      </w:r>
      <w:r w:rsidR="00D23127">
        <w:rPr>
          <w:rFonts w:cstheme="minorHAnsi"/>
          <w:sz w:val="28"/>
          <w:szCs w:val="28"/>
        </w:rPr>
        <w:t xml:space="preserve"> in the UK</w:t>
      </w:r>
      <w:r w:rsidR="007B2C6F">
        <w:rPr>
          <w:rFonts w:cstheme="minorHAnsi"/>
          <w:sz w:val="28"/>
          <w:szCs w:val="28"/>
        </w:rPr>
        <w:t xml:space="preserve"> that have been utilised in analysing these relationships </w:t>
      </w:r>
      <w:r w:rsidR="00943108">
        <w:rPr>
          <w:rFonts w:cstheme="minorHAnsi"/>
          <w:sz w:val="28"/>
          <w:szCs w:val="28"/>
        </w:rPr>
        <w:t xml:space="preserve">and provides more detailed definitions of the main forms </w:t>
      </w:r>
      <w:r w:rsidR="007B2C6F">
        <w:rPr>
          <w:rFonts w:cstheme="minorHAnsi"/>
          <w:sz w:val="28"/>
          <w:szCs w:val="28"/>
        </w:rPr>
        <w:t xml:space="preserve">of </w:t>
      </w:r>
      <w:r w:rsidR="0031077B">
        <w:rPr>
          <w:rFonts w:cstheme="minorHAnsi"/>
          <w:sz w:val="28"/>
          <w:szCs w:val="28"/>
        </w:rPr>
        <w:t>offshore</w:t>
      </w:r>
      <w:r w:rsidR="007B2C6F">
        <w:rPr>
          <w:rFonts w:cstheme="minorHAnsi"/>
          <w:sz w:val="28"/>
          <w:szCs w:val="28"/>
        </w:rPr>
        <w:t xml:space="preserve"> provision. Section 4</w:t>
      </w:r>
      <w:r>
        <w:rPr>
          <w:rFonts w:cstheme="minorHAnsi"/>
          <w:sz w:val="28"/>
          <w:szCs w:val="28"/>
        </w:rPr>
        <w:t xml:space="preserve"> summarises </w:t>
      </w:r>
      <w:r w:rsidR="0001449E">
        <w:rPr>
          <w:rFonts w:cstheme="minorHAnsi"/>
          <w:sz w:val="28"/>
          <w:szCs w:val="28"/>
        </w:rPr>
        <w:t xml:space="preserve">the overall numbers and </w:t>
      </w:r>
      <w:r>
        <w:rPr>
          <w:rFonts w:cstheme="minorHAnsi"/>
          <w:sz w:val="28"/>
          <w:szCs w:val="28"/>
        </w:rPr>
        <w:t xml:space="preserve">recent trends in the enrolments </w:t>
      </w:r>
      <w:r w:rsidR="00C31A86">
        <w:rPr>
          <w:rFonts w:cstheme="minorHAnsi"/>
          <w:sz w:val="28"/>
          <w:szCs w:val="28"/>
        </w:rPr>
        <w:t xml:space="preserve">of </w:t>
      </w:r>
      <w:r>
        <w:rPr>
          <w:rFonts w:cstheme="minorHAnsi"/>
          <w:sz w:val="28"/>
          <w:szCs w:val="28"/>
        </w:rPr>
        <w:t xml:space="preserve">onshore and </w:t>
      </w:r>
      <w:r w:rsidR="0031077B">
        <w:rPr>
          <w:rFonts w:cstheme="minorHAnsi"/>
          <w:sz w:val="28"/>
          <w:szCs w:val="28"/>
        </w:rPr>
        <w:t>offshore</w:t>
      </w:r>
      <w:r>
        <w:rPr>
          <w:rFonts w:cstheme="minorHAnsi"/>
          <w:sz w:val="28"/>
          <w:szCs w:val="28"/>
        </w:rPr>
        <w:t xml:space="preserve"> overseas students at UK universities</w:t>
      </w:r>
      <w:r w:rsidR="0049724C">
        <w:rPr>
          <w:rFonts w:cstheme="minorHAnsi"/>
          <w:sz w:val="28"/>
          <w:szCs w:val="28"/>
        </w:rPr>
        <w:t>.</w:t>
      </w:r>
      <w:r w:rsidR="007B2C6F">
        <w:rPr>
          <w:rFonts w:cstheme="minorHAnsi"/>
          <w:sz w:val="28"/>
          <w:szCs w:val="28"/>
        </w:rPr>
        <w:t xml:space="preserve"> Section 5</w:t>
      </w:r>
      <w:r w:rsidR="0049724C">
        <w:rPr>
          <w:rFonts w:cstheme="minorHAnsi"/>
          <w:sz w:val="28"/>
          <w:szCs w:val="28"/>
        </w:rPr>
        <w:t xml:space="preserve"> </w:t>
      </w:r>
      <w:r w:rsidR="007B2C6F">
        <w:rPr>
          <w:rFonts w:cstheme="minorHAnsi"/>
          <w:sz w:val="28"/>
          <w:szCs w:val="28"/>
        </w:rPr>
        <w:t xml:space="preserve">explores the </w:t>
      </w:r>
      <w:r w:rsidR="005F25D0">
        <w:rPr>
          <w:rFonts w:cstheme="minorHAnsi"/>
          <w:sz w:val="28"/>
          <w:szCs w:val="28"/>
        </w:rPr>
        <w:t xml:space="preserve">key </w:t>
      </w:r>
      <w:r w:rsidR="0049724C">
        <w:rPr>
          <w:rFonts w:cstheme="minorHAnsi"/>
          <w:sz w:val="28"/>
          <w:szCs w:val="28"/>
        </w:rPr>
        <w:t xml:space="preserve">patterns in onshore and </w:t>
      </w:r>
      <w:r w:rsidR="0031077B">
        <w:rPr>
          <w:rFonts w:cstheme="minorHAnsi"/>
          <w:sz w:val="28"/>
          <w:szCs w:val="28"/>
        </w:rPr>
        <w:t>offshore</w:t>
      </w:r>
      <w:r w:rsidR="0049724C">
        <w:rPr>
          <w:rFonts w:cstheme="minorHAnsi"/>
          <w:sz w:val="28"/>
          <w:szCs w:val="28"/>
        </w:rPr>
        <w:t xml:space="preserve"> enrolments with respect to both university type and</w:t>
      </w:r>
      <w:r w:rsidR="007B2C6F">
        <w:rPr>
          <w:rFonts w:cstheme="minorHAnsi"/>
          <w:sz w:val="28"/>
          <w:szCs w:val="28"/>
        </w:rPr>
        <w:t xml:space="preserve"> spatial distribution. Section 6</w:t>
      </w:r>
      <w:r w:rsidR="0049724C">
        <w:rPr>
          <w:rFonts w:cstheme="minorHAnsi"/>
          <w:sz w:val="28"/>
          <w:szCs w:val="28"/>
        </w:rPr>
        <w:t xml:space="preserve"> then considers possible relationships between the two types of international provision as well as between the four main forms of </w:t>
      </w:r>
      <w:r w:rsidR="0031077B">
        <w:rPr>
          <w:rFonts w:cstheme="minorHAnsi"/>
          <w:sz w:val="28"/>
          <w:szCs w:val="28"/>
        </w:rPr>
        <w:t>offshore</w:t>
      </w:r>
      <w:r w:rsidR="0049724C">
        <w:rPr>
          <w:rFonts w:cstheme="minorHAnsi"/>
          <w:sz w:val="28"/>
          <w:szCs w:val="28"/>
        </w:rPr>
        <w:t xml:space="preserve"> provision, namely </w:t>
      </w:r>
      <w:r w:rsidR="00D23127">
        <w:rPr>
          <w:rFonts w:cstheme="minorHAnsi"/>
          <w:sz w:val="28"/>
          <w:szCs w:val="28"/>
        </w:rPr>
        <w:t xml:space="preserve">(a) </w:t>
      </w:r>
      <w:r w:rsidR="0049724C">
        <w:rPr>
          <w:rFonts w:cstheme="minorHAnsi"/>
          <w:sz w:val="28"/>
          <w:szCs w:val="28"/>
        </w:rPr>
        <w:t>validated/franchised degre</w:t>
      </w:r>
      <w:r w:rsidR="00D23127">
        <w:rPr>
          <w:rFonts w:cstheme="minorHAnsi"/>
          <w:sz w:val="28"/>
          <w:szCs w:val="28"/>
        </w:rPr>
        <w:t>es offered by overseas partners;</w:t>
      </w:r>
      <w:r w:rsidR="0049724C">
        <w:rPr>
          <w:rFonts w:cstheme="minorHAnsi"/>
          <w:sz w:val="28"/>
          <w:szCs w:val="28"/>
        </w:rPr>
        <w:t xml:space="preserve"> </w:t>
      </w:r>
      <w:r w:rsidR="00D23127">
        <w:rPr>
          <w:rFonts w:cstheme="minorHAnsi"/>
          <w:sz w:val="28"/>
          <w:szCs w:val="28"/>
        </w:rPr>
        <w:t xml:space="preserve">(b) </w:t>
      </w:r>
      <w:r w:rsidR="0049724C">
        <w:rPr>
          <w:rFonts w:cstheme="minorHAnsi"/>
          <w:sz w:val="28"/>
          <w:szCs w:val="28"/>
        </w:rPr>
        <w:t>articulation/</w:t>
      </w:r>
      <w:r w:rsidR="007B2C6F">
        <w:rPr>
          <w:rFonts w:cstheme="minorHAnsi"/>
          <w:sz w:val="28"/>
          <w:szCs w:val="28"/>
        </w:rPr>
        <w:t xml:space="preserve"> </w:t>
      </w:r>
      <w:r w:rsidR="0049724C">
        <w:rPr>
          <w:rFonts w:cstheme="minorHAnsi"/>
          <w:sz w:val="28"/>
          <w:szCs w:val="28"/>
        </w:rPr>
        <w:t>progression agreements with overseas partners</w:t>
      </w:r>
      <w:r w:rsidR="00D23127">
        <w:rPr>
          <w:rFonts w:cstheme="minorHAnsi"/>
          <w:sz w:val="28"/>
          <w:szCs w:val="28"/>
        </w:rPr>
        <w:t>,</w:t>
      </w:r>
      <w:r w:rsidR="0049724C">
        <w:rPr>
          <w:rFonts w:cstheme="minorHAnsi"/>
          <w:sz w:val="28"/>
          <w:szCs w:val="28"/>
        </w:rPr>
        <w:t xml:space="preserve"> which allow students</w:t>
      </w:r>
      <w:r w:rsidR="00D23127">
        <w:rPr>
          <w:rFonts w:cstheme="minorHAnsi"/>
          <w:sz w:val="28"/>
          <w:szCs w:val="28"/>
        </w:rPr>
        <w:t xml:space="preserve"> who have begun their UK degree course </w:t>
      </w:r>
      <w:r w:rsidR="0031077B">
        <w:rPr>
          <w:rFonts w:cstheme="minorHAnsi"/>
          <w:sz w:val="28"/>
          <w:szCs w:val="28"/>
        </w:rPr>
        <w:t>offshore</w:t>
      </w:r>
      <w:r w:rsidR="00D23127">
        <w:rPr>
          <w:rFonts w:cstheme="minorHAnsi"/>
          <w:sz w:val="28"/>
          <w:szCs w:val="28"/>
        </w:rPr>
        <w:t xml:space="preserve">, </w:t>
      </w:r>
      <w:r w:rsidR="0049724C">
        <w:rPr>
          <w:rFonts w:cstheme="minorHAnsi"/>
          <w:sz w:val="28"/>
          <w:szCs w:val="28"/>
        </w:rPr>
        <w:t>to c</w:t>
      </w:r>
      <w:r w:rsidR="00D23127">
        <w:rPr>
          <w:rFonts w:cstheme="minorHAnsi"/>
          <w:sz w:val="28"/>
          <w:szCs w:val="28"/>
        </w:rPr>
        <w:t>omplete their degrees in the UK;</w:t>
      </w:r>
      <w:r w:rsidR="0049724C">
        <w:rPr>
          <w:rFonts w:cstheme="minorHAnsi"/>
          <w:sz w:val="28"/>
          <w:szCs w:val="28"/>
        </w:rPr>
        <w:t xml:space="preserve"> </w:t>
      </w:r>
      <w:r w:rsidR="00D23127">
        <w:rPr>
          <w:rFonts w:cstheme="minorHAnsi"/>
          <w:sz w:val="28"/>
          <w:szCs w:val="28"/>
        </w:rPr>
        <w:t xml:space="preserve">(c) </w:t>
      </w:r>
      <w:r w:rsidR="0049724C">
        <w:rPr>
          <w:rFonts w:cstheme="minorHAnsi"/>
          <w:sz w:val="28"/>
          <w:szCs w:val="28"/>
        </w:rPr>
        <w:t>ove</w:t>
      </w:r>
      <w:r w:rsidR="00D23127">
        <w:rPr>
          <w:rFonts w:cstheme="minorHAnsi"/>
          <w:sz w:val="28"/>
          <w:szCs w:val="28"/>
        </w:rPr>
        <w:t>rseas distance learning courses; and (d)</w:t>
      </w:r>
      <w:r w:rsidR="0049724C">
        <w:rPr>
          <w:rFonts w:cstheme="minorHAnsi"/>
          <w:sz w:val="28"/>
          <w:szCs w:val="28"/>
        </w:rPr>
        <w:t xml:space="preserve"> </w:t>
      </w:r>
      <w:r w:rsidR="00D23127">
        <w:rPr>
          <w:rFonts w:cstheme="minorHAnsi"/>
          <w:sz w:val="28"/>
          <w:szCs w:val="28"/>
        </w:rPr>
        <w:t xml:space="preserve">at the </w:t>
      </w:r>
      <w:r w:rsidR="0049724C">
        <w:rPr>
          <w:rFonts w:cstheme="minorHAnsi"/>
          <w:sz w:val="28"/>
          <w:szCs w:val="28"/>
        </w:rPr>
        <w:t>overseas branch campuses and other kinds of ‘international centres’</w:t>
      </w:r>
      <w:r w:rsidR="00D23127">
        <w:rPr>
          <w:rFonts w:cstheme="minorHAnsi"/>
          <w:sz w:val="28"/>
          <w:szCs w:val="28"/>
        </w:rPr>
        <w:t xml:space="preserve"> owned/managed by UK universities</w:t>
      </w:r>
      <w:r w:rsidR="0049724C">
        <w:rPr>
          <w:rFonts w:cstheme="minorHAnsi"/>
          <w:sz w:val="28"/>
          <w:szCs w:val="28"/>
        </w:rPr>
        <w:t>.</w:t>
      </w:r>
    </w:p>
    <w:p w14:paraId="03714252" w14:textId="77777777" w:rsidR="004B7172" w:rsidRDefault="004B7172">
      <w:pPr>
        <w:spacing w:after="160" w:line="259" w:lineRule="auto"/>
        <w:rPr>
          <w:rFonts w:cstheme="minorHAnsi"/>
          <w:sz w:val="28"/>
          <w:szCs w:val="28"/>
        </w:rPr>
      </w:pPr>
      <w:r>
        <w:rPr>
          <w:rFonts w:cstheme="minorHAnsi"/>
          <w:sz w:val="28"/>
          <w:szCs w:val="28"/>
        </w:rPr>
        <w:br w:type="page"/>
      </w:r>
    </w:p>
    <w:p w14:paraId="660EDC1A" w14:textId="4C8670D5" w:rsidR="00E12726" w:rsidRPr="004B7172" w:rsidRDefault="00D23127" w:rsidP="006A4703">
      <w:pPr>
        <w:pStyle w:val="ListParagraph"/>
        <w:numPr>
          <w:ilvl w:val="0"/>
          <w:numId w:val="1"/>
        </w:numPr>
        <w:jc w:val="both"/>
        <w:rPr>
          <w:rFonts w:cstheme="minorHAnsi"/>
          <w:b/>
          <w:sz w:val="32"/>
          <w:szCs w:val="32"/>
        </w:rPr>
      </w:pPr>
      <w:r w:rsidRPr="004B7172">
        <w:rPr>
          <w:rFonts w:cstheme="minorHAnsi"/>
          <w:b/>
          <w:sz w:val="32"/>
          <w:szCs w:val="32"/>
        </w:rPr>
        <w:lastRenderedPageBreak/>
        <w:t>LITERATURE REVIEW</w:t>
      </w:r>
    </w:p>
    <w:p w14:paraId="54EEB0B1" w14:textId="47713B9F" w:rsidR="000A31FC" w:rsidRDefault="000A31FC" w:rsidP="000A31FC">
      <w:pPr>
        <w:jc w:val="both"/>
        <w:rPr>
          <w:rFonts w:cstheme="minorHAnsi"/>
          <w:sz w:val="28"/>
          <w:szCs w:val="28"/>
        </w:rPr>
      </w:pPr>
      <w:r w:rsidRPr="000A31FC">
        <w:rPr>
          <w:rFonts w:cstheme="minorHAnsi"/>
          <w:sz w:val="28"/>
          <w:szCs w:val="28"/>
        </w:rPr>
        <w:t>T</w:t>
      </w:r>
      <w:r>
        <w:rPr>
          <w:rFonts w:cstheme="minorHAnsi"/>
          <w:sz w:val="28"/>
          <w:szCs w:val="28"/>
        </w:rPr>
        <w:t>he following discussion</w:t>
      </w:r>
      <w:r w:rsidRPr="000A31FC">
        <w:rPr>
          <w:rFonts w:cstheme="minorHAnsi"/>
          <w:sz w:val="28"/>
          <w:szCs w:val="28"/>
        </w:rPr>
        <w:t xml:space="preserve"> is based on a clear distinction between </w:t>
      </w:r>
      <w:r w:rsidR="00F5454F">
        <w:rPr>
          <w:rFonts w:cstheme="minorHAnsi"/>
          <w:sz w:val="28"/>
          <w:szCs w:val="28"/>
        </w:rPr>
        <w:t xml:space="preserve">three types of onshore and </w:t>
      </w:r>
      <w:r w:rsidR="0031077B">
        <w:rPr>
          <w:rFonts w:cstheme="minorHAnsi"/>
          <w:sz w:val="28"/>
          <w:szCs w:val="28"/>
        </w:rPr>
        <w:t>offshore</w:t>
      </w:r>
      <w:r w:rsidRPr="000A31FC">
        <w:rPr>
          <w:rFonts w:cstheme="minorHAnsi"/>
          <w:sz w:val="28"/>
          <w:szCs w:val="28"/>
        </w:rPr>
        <w:t xml:space="preserve"> relationships, namely zero</w:t>
      </w:r>
      <w:r>
        <w:rPr>
          <w:rFonts w:cstheme="minorHAnsi"/>
          <w:sz w:val="28"/>
          <w:szCs w:val="28"/>
        </w:rPr>
        <w:t xml:space="preserve">, </w:t>
      </w:r>
      <w:r w:rsidRPr="000A31FC">
        <w:rPr>
          <w:rFonts w:cstheme="minorHAnsi"/>
          <w:sz w:val="28"/>
          <w:szCs w:val="28"/>
        </w:rPr>
        <w:t>substitutive and complementary.</w:t>
      </w:r>
    </w:p>
    <w:p w14:paraId="3A1C2B0E" w14:textId="343CFC0D" w:rsidR="00054F26" w:rsidRDefault="00054F26" w:rsidP="00054F26">
      <w:pPr>
        <w:jc w:val="both"/>
        <w:rPr>
          <w:rFonts w:cstheme="minorHAnsi"/>
          <w:sz w:val="28"/>
          <w:szCs w:val="28"/>
        </w:rPr>
      </w:pPr>
      <w:r>
        <w:rPr>
          <w:rFonts w:cstheme="minorHAnsi"/>
          <w:sz w:val="28"/>
          <w:szCs w:val="28"/>
        </w:rPr>
        <w:t>A recent review of global higher education by the British Council concludes that ‘our data analysis shows the countries which have strong</w:t>
      </w:r>
      <w:r w:rsidR="00F5454F">
        <w:rPr>
          <w:rFonts w:cstheme="minorHAnsi"/>
          <w:sz w:val="28"/>
          <w:szCs w:val="28"/>
        </w:rPr>
        <w:t xml:space="preserve"> (sic)</w:t>
      </w:r>
      <w:r>
        <w:rPr>
          <w:rFonts w:cstheme="minorHAnsi"/>
          <w:sz w:val="28"/>
          <w:szCs w:val="28"/>
        </w:rPr>
        <w:t xml:space="preserve"> international student mobili</w:t>
      </w:r>
      <w:r w:rsidR="00F5454F">
        <w:rPr>
          <w:rFonts w:cstheme="minorHAnsi"/>
          <w:sz w:val="28"/>
          <w:szCs w:val="28"/>
        </w:rPr>
        <w:t>ty are also strong on TNE’ (2017</w:t>
      </w:r>
      <w:r>
        <w:rPr>
          <w:rFonts w:cstheme="minorHAnsi"/>
          <w:sz w:val="28"/>
          <w:szCs w:val="28"/>
        </w:rPr>
        <w:t>: 25). At a very general level, this is indisputably the case. However, as is discussed below, this strong positive correlation does not mean that there are any simple causal relationships between these two forms of provision.</w:t>
      </w:r>
      <w:r w:rsidR="00FC1AB3">
        <w:rPr>
          <w:rFonts w:cstheme="minorHAnsi"/>
          <w:sz w:val="28"/>
          <w:szCs w:val="28"/>
        </w:rPr>
        <w:t xml:space="preserve"> </w:t>
      </w:r>
      <w:r>
        <w:rPr>
          <w:rFonts w:cstheme="minorHAnsi"/>
          <w:sz w:val="28"/>
          <w:szCs w:val="28"/>
        </w:rPr>
        <w:t xml:space="preserve">  </w:t>
      </w:r>
    </w:p>
    <w:p w14:paraId="4EB2B9C0" w14:textId="431CA6A1" w:rsidR="006A4703" w:rsidRPr="004B7172" w:rsidRDefault="000A31FC" w:rsidP="000A31FC">
      <w:pPr>
        <w:jc w:val="both"/>
        <w:rPr>
          <w:rFonts w:cstheme="minorHAnsi"/>
          <w:b/>
          <w:sz w:val="28"/>
          <w:szCs w:val="28"/>
        </w:rPr>
      </w:pPr>
      <w:r w:rsidRPr="004B7172">
        <w:rPr>
          <w:rFonts w:cstheme="minorHAnsi"/>
          <w:b/>
          <w:sz w:val="28"/>
          <w:szCs w:val="28"/>
        </w:rPr>
        <w:t xml:space="preserve">2.1 </w:t>
      </w:r>
      <w:r w:rsidR="00D55ACD" w:rsidRPr="004B7172">
        <w:rPr>
          <w:rFonts w:cstheme="minorHAnsi"/>
          <w:b/>
          <w:sz w:val="28"/>
          <w:szCs w:val="28"/>
        </w:rPr>
        <w:t>ZERO AND SUBSTITUTIVE RELATIONSHIPS</w:t>
      </w:r>
    </w:p>
    <w:p w14:paraId="5E51BDF9" w14:textId="0B2A3986" w:rsidR="006A4703" w:rsidRPr="006A4703" w:rsidRDefault="006A4703" w:rsidP="006A4703">
      <w:pPr>
        <w:jc w:val="both"/>
        <w:rPr>
          <w:rFonts w:cstheme="minorHAnsi"/>
          <w:b/>
          <w:sz w:val="28"/>
          <w:szCs w:val="28"/>
        </w:rPr>
      </w:pPr>
      <w:r>
        <w:rPr>
          <w:rFonts w:cstheme="minorHAnsi"/>
          <w:b/>
          <w:sz w:val="28"/>
          <w:szCs w:val="28"/>
        </w:rPr>
        <w:t xml:space="preserve">2.1.1 </w:t>
      </w:r>
      <w:r w:rsidR="004B7172">
        <w:rPr>
          <w:rFonts w:cstheme="minorHAnsi"/>
          <w:b/>
          <w:sz w:val="28"/>
          <w:szCs w:val="28"/>
        </w:rPr>
        <w:t xml:space="preserve">An </w:t>
      </w:r>
      <w:r>
        <w:rPr>
          <w:rFonts w:cstheme="minorHAnsi"/>
          <w:b/>
          <w:sz w:val="28"/>
          <w:szCs w:val="28"/>
        </w:rPr>
        <w:t>overview</w:t>
      </w:r>
    </w:p>
    <w:p w14:paraId="5E7AF2EA" w14:textId="7A3DC55C" w:rsidR="000A31FC" w:rsidRDefault="00FC29B6" w:rsidP="006A4703">
      <w:pPr>
        <w:jc w:val="both"/>
        <w:rPr>
          <w:rFonts w:cstheme="minorHAnsi"/>
          <w:sz w:val="28"/>
          <w:szCs w:val="28"/>
        </w:rPr>
      </w:pPr>
      <w:r>
        <w:rPr>
          <w:rFonts w:cstheme="minorHAnsi"/>
          <w:sz w:val="28"/>
          <w:szCs w:val="28"/>
        </w:rPr>
        <w:t xml:space="preserve">Given </w:t>
      </w:r>
      <w:r w:rsidR="006A4703" w:rsidRPr="006A4703">
        <w:rPr>
          <w:rFonts w:cstheme="minorHAnsi"/>
          <w:sz w:val="28"/>
          <w:szCs w:val="28"/>
        </w:rPr>
        <w:t>the</w:t>
      </w:r>
      <w:r>
        <w:rPr>
          <w:rFonts w:cstheme="minorHAnsi"/>
          <w:sz w:val="28"/>
          <w:szCs w:val="28"/>
        </w:rPr>
        <w:t xml:space="preserve"> very limited, in-depth research</w:t>
      </w:r>
      <w:r w:rsidR="006A4703" w:rsidRPr="006A4703">
        <w:rPr>
          <w:rFonts w:cstheme="minorHAnsi"/>
          <w:sz w:val="28"/>
          <w:szCs w:val="28"/>
        </w:rPr>
        <w:t xml:space="preserve">, </w:t>
      </w:r>
      <w:r>
        <w:rPr>
          <w:rFonts w:cstheme="minorHAnsi"/>
          <w:sz w:val="28"/>
          <w:szCs w:val="28"/>
        </w:rPr>
        <w:t xml:space="preserve">‘the debate on the linkage between </w:t>
      </w:r>
      <w:r w:rsidR="0031077B">
        <w:rPr>
          <w:rFonts w:cstheme="minorHAnsi"/>
          <w:sz w:val="28"/>
          <w:szCs w:val="28"/>
        </w:rPr>
        <w:t>onshore</w:t>
      </w:r>
      <w:r>
        <w:rPr>
          <w:rFonts w:cstheme="minorHAnsi"/>
          <w:sz w:val="28"/>
          <w:szCs w:val="28"/>
        </w:rPr>
        <w:t xml:space="preserve"> and </w:t>
      </w:r>
      <w:r w:rsidR="0031077B">
        <w:rPr>
          <w:rFonts w:cstheme="minorHAnsi"/>
          <w:sz w:val="28"/>
          <w:szCs w:val="28"/>
        </w:rPr>
        <w:t>offshore</w:t>
      </w:r>
      <w:r>
        <w:rPr>
          <w:rFonts w:cstheme="minorHAnsi"/>
          <w:sz w:val="28"/>
          <w:szCs w:val="28"/>
        </w:rPr>
        <w:t xml:space="preserve"> enrolment has been entirely speculative’ (L</w:t>
      </w:r>
      <w:r w:rsidR="004E7044">
        <w:rPr>
          <w:rFonts w:cstheme="minorHAnsi"/>
          <w:sz w:val="28"/>
          <w:szCs w:val="28"/>
        </w:rPr>
        <w:t>eva</w:t>
      </w:r>
      <w:r>
        <w:rPr>
          <w:rFonts w:cstheme="minorHAnsi"/>
          <w:sz w:val="28"/>
          <w:szCs w:val="28"/>
        </w:rPr>
        <w:t xml:space="preserve">tino, 2017: 641). Some </w:t>
      </w:r>
      <w:r w:rsidR="006A4703" w:rsidRPr="006A4703">
        <w:rPr>
          <w:rFonts w:cstheme="minorHAnsi"/>
          <w:sz w:val="28"/>
          <w:szCs w:val="28"/>
        </w:rPr>
        <w:t xml:space="preserve">leading commentators on foreign student mobility and TNE have </w:t>
      </w:r>
      <w:r w:rsidR="004E7044">
        <w:rPr>
          <w:rFonts w:cstheme="minorHAnsi"/>
          <w:sz w:val="28"/>
          <w:szCs w:val="28"/>
        </w:rPr>
        <w:t xml:space="preserve">still </w:t>
      </w:r>
      <w:r w:rsidR="006A4703" w:rsidRPr="006A4703">
        <w:rPr>
          <w:rFonts w:cstheme="minorHAnsi"/>
          <w:sz w:val="28"/>
          <w:szCs w:val="28"/>
        </w:rPr>
        <w:t>concluded</w:t>
      </w:r>
      <w:r w:rsidR="004E7044">
        <w:rPr>
          <w:rFonts w:cstheme="minorHAnsi"/>
          <w:sz w:val="28"/>
          <w:szCs w:val="28"/>
        </w:rPr>
        <w:t xml:space="preserve"> </w:t>
      </w:r>
      <w:r w:rsidR="006A4703" w:rsidRPr="006A4703">
        <w:rPr>
          <w:rFonts w:cstheme="minorHAnsi"/>
          <w:sz w:val="28"/>
          <w:szCs w:val="28"/>
        </w:rPr>
        <w:t>that there is no</w:t>
      </w:r>
      <w:r w:rsidR="00FC1AB3">
        <w:rPr>
          <w:rFonts w:cstheme="minorHAnsi"/>
          <w:sz w:val="28"/>
          <w:szCs w:val="28"/>
        </w:rPr>
        <w:t xml:space="preserve"> </w:t>
      </w:r>
      <w:r>
        <w:rPr>
          <w:rFonts w:cstheme="minorHAnsi"/>
          <w:sz w:val="28"/>
          <w:szCs w:val="28"/>
        </w:rPr>
        <w:t>(</w:t>
      </w:r>
      <w:r w:rsidR="00FC1AB3">
        <w:rPr>
          <w:rFonts w:cstheme="minorHAnsi"/>
          <w:sz w:val="28"/>
          <w:szCs w:val="28"/>
        </w:rPr>
        <w:t>or little</w:t>
      </w:r>
      <w:r>
        <w:rPr>
          <w:rFonts w:cstheme="minorHAnsi"/>
          <w:sz w:val="28"/>
          <w:szCs w:val="28"/>
        </w:rPr>
        <w:t>)</w:t>
      </w:r>
      <w:r w:rsidR="00FC1AB3">
        <w:rPr>
          <w:rFonts w:cstheme="minorHAnsi"/>
          <w:sz w:val="28"/>
          <w:szCs w:val="28"/>
        </w:rPr>
        <w:t xml:space="preserve"> </w:t>
      </w:r>
      <w:r w:rsidR="006A4703" w:rsidRPr="006A4703">
        <w:rPr>
          <w:rFonts w:cstheme="minorHAnsi"/>
          <w:sz w:val="28"/>
          <w:szCs w:val="28"/>
        </w:rPr>
        <w:t xml:space="preserve">direct relationship between </w:t>
      </w:r>
      <w:r w:rsidR="0031077B">
        <w:rPr>
          <w:rFonts w:cstheme="minorHAnsi"/>
          <w:sz w:val="28"/>
          <w:szCs w:val="28"/>
        </w:rPr>
        <w:t>onshore</w:t>
      </w:r>
      <w:r w:rsidR="006A4703" w:rsidRPr="006A4703">
        <w:rPr>
          <w:rFonts w:cstheme="minorHAnsi"/>
          <w:sz w:val="28"/>
          <w:szCs w:val="28"/>
        </w:rPr>
        <w:t xml:space="preserve"> and </w:t>
      </w:r>
      <w:r w:rsidR="0031077B">
        <w:rPr>
          <w:rFonts w:cstheme="minorHAnsi"/>
          <w:sz w:val="28"/>
          <w:szCs w:val="28"/>
        </w:rPr>
        <w:t>offshore</w:t>
      </w:r>
      <w:r w:rsidR="006A4703" w:rsidRPr="006A4703">
        <w:rPr>
          <w:rFonts w:cstheme="minorHAnsi"/>
          <w:sz w:val="28"/>
          <w:szCs w:val="28"/>
        </w:rPr>
        <w:t xml:space="preserve"> provision. </w:t>
      </w:r>
      <w:r w:rsidR="006A4703">
        <w:rPr>
          <w:rFonts w:cstheme="minorHAnsi"/>
          <w:sz w:val="28"/>
          <w:szCs w:val="28"/>
        </w:rPr>
        <w:t xml:space="preserve">This view is neatly summarised by </w:t>
      </w:r>
      <w:r w:rsidR="006A4703" w:rsidRPr="006A4703">
        <w:rPr>
          <w:rFonts w:cstheme="minorHAnsi"/>
          <w:sz w:val="28"/>
          <w:szCs w:val="28"/>
        </w:rPr>
        <w:t xml:space="preserve">McNamara </w:t>
      </w:r>
      <w:r>
        <w:rPr>
          <w:rFonts w:cstheme="minorHAnsi"/>
          <w:sz w:val="28"/>
          <w:szCs w:val="28"/>
        </w:rPr>
        <w:t xml:space="preserve">et. al. </w:t>
      </w:r>
      <w:r w:rsidR="006A4703">
        <w:rPr>
          <w:rFonts w:cstheme="minorHAnsi"/>
          <w:sz w:val="28"/>
          <w:szCs w:val="28"/>
        </w:rPr>
        <w:t xml:space="preserve">when they </w:t>
      </w:r>
      <w:r w:rsidR="006A4703" w:rsidRPr="006A4703">
        <w:rPr>
          <w:rFonts w:cstheme="minorHAnsi"/>
          <w:sz w:val="28"/>
          <w:szCs w:val="28"/>
        </w:rPr>
        <w:t xml:space="preserve">state that </w:t>
      </w:r>
      <w:r w:rsidR="006A4703">
        <w:rPr>
          <w:rFonts w:cstheme="minorHAnsi"/>
          <w:sz w:val="28"/>
          <w:szCs w:val="28"/>
        </w:rPr>
        <w:t>‘</w:t>
      </w:r>
      <w:r w:rsidR="0031077B">
        <w:rPr>
          <w:rFonts w:cstheme="minorHAnsi"/>
          <w:sz w:val="28"/>
          <w:szCs w:val="28"/>
        </w:rPr>
        <w:t>offshore</w:t>
      </w:r>
      <w:r w:rsidR="006A4703" w:rsidRPr="006A4703">
        <w:rPr>
          <w:rFonts w:cstheme="minorHAnsi"/>
          <w:sz w:val="28"/>
          <w:szCs w:val="28"/>
        </w:rPr>
        <w:t xml:space="preserve"> provision meets the needs of students who can’t or don’t want to study abroad’ (McNamara</w:t>
      </w:r>
      <w:r w:rsidR="00F61874">
        <w:rPr>
          <w:rFonts w:cstheme="minorHAnsi"/>
          <w:sz w:val="28"/>
          <w:szCs w:val="28"/>
        </w:rPr>
        <w:t xml:space="preserve"> et.</w:t>
      </w:r>
      <w:r w:rsidR="009C4220">
        <w:rPr>
          <w:rFonts w:cstheme="minorHAnsi"/>
          <w:sz w:val="28"/>
          <w:szCs w:val="28"/>
        </w:rPr>
        <w:t xml:space="preserve"> </w:t>
      </w:r>
      <w:r w:rsidR="00F61874">
        <w:rPr>
          <w:rFonts w:cstheme="minorHAnsi"/>
          <w:sz w:val="28"/>
          <w:szCs w:val="28"/>
        </w:rPr>
        <w:t>al.,</w:t>
      </w:r>
      <w:r w:rsidR="006A4703" w:rsidRPr="006A4703">
        <w:rPr>
          <w:rFonts w:cstheme="minorHAnsi"/>
          <w:sz w:val="28"/>
          <w:szCs w:val="28"/>
        </w:rPr>
        <w:t xml:space="preserve"> 2014:</w:t>
      </w:r>
      <w:r w:rsidR="00F61874">
        <w:rPr>
          <w:rFonts w:cstheme="minorHAnsi"/>
          <w:sz w:val="28"/>
          <w:szCs w:val="28"/>
        </w:rPr>
        <w:t xml:space="preserve"> </w:t>
      </w:r>
      <w:r w:rsidR="00F5454F">
        <w:rPr>
          <w:rFonts w:cstheme="minorHAnsi"/>
          <w:sz w:val="28"/>
          <w:szCs w:val="28"/>
        </w:rPr>
        <w:t xml:space="preserve">34). Onshore and </w:t>
      </w:r>
      <w:r w:rsidR="0031077B">
        <w:rPr>
          <w:rFonts w:cstheme="minorHAnsi"/>
          <w:sz w:val="28"/>
          <w:szCs w:val="28"/>
        </w:rPr>
        <w:t>offshore</w:t>
      </w:r>
      <w:r w:rsidR="006A4703" w:rsidRPr="006A4703">
        <w:rPr>
          <w:rFonts w:cstheme="minorHAnsi"/>
          <w:sz w:val="28"/>
          <w:szCs w:val="28"/>
        </w:rPr>
        <w:t xml:space="preserve"> provision are, therefore, non-competing market segments and offer universities a win-win situation with respect to maximising overseas student numbers at home and abroad. Point A in Figure</w:t>
      </w:r>
      <w:r w:rsidR="004E7044">
        <w:rPr>
          <w:rFonts w:cstheme="minorHAnsi"/>
          <w:sz w:val="28"/>
          <w:szCs w:val="28"/>
        </w:rPr>
        <w:t xml:space="preserve"> 1</w:t>
      </w:r>
      <w:r w:rsidR="006A4703" w:rsidRPr="006A4703">
        <w:rPr>
          <w:rFonts w:cstheme="minorHAnsi"/>
          <w:sz w:val="28"/>
          <w:szCs w:val="28"/>
        </w:rPr>
        <w:t xml:space="preserve"> represents this </w:t>
      </w:r>
      <w:r w:rsidR="0031077B">
        <w:rPr>
          <w:rFonts w:cstheme="minorHAnsi"/>
          <w:sz w:val="28"/>
          <w:szCs w:val="28"/>
        </w:rPr>
        <w:t>zero-relationship scenario. Offshore</w:t>
      </w:r>
      <w:r w:rsidR="006A4703" w:rsidRPr="006A4703">
        <w:rPr>
          <w:rFonts w:cstheme="minorHAnsi"/>
          <w:sz w:val="28"/>
          <w:szCs w:val="28"/>
        </w:rPr>
        <w:t xml:space="preserve"> provision is more convenient since students remain in their home country and offers internationally recognised and negotiable degrees with much lower direct and indirect costs. By contrast, onshore provision has generally higher academic status along with all the added attractions of living abroad.</w:t>
      </w:r>
    </w:p>
    <w:p w14:paraId="4D2309EC" w14:textId="291DED76" w:rsidR="00FC1AB3" w:rsidRDefault="00FC1AB3" w:rsidP="006A4703">
      <w:pPr>
        <w:jc w:val="both"/>
        <w:rPr>
          <w:rFonts w:cstheme="minorHAnsi"/>
          <w:sz w:val="28"/>
          <w:szCs w:val="28"/>
        </w:rPr>
      </w:pPr>
      <w:r>
        <w:rPr>
          <w:rFonts w:cstheme="minorHAnsi"/>
          <w:sz w:val="28"/>
          <w:szCs w:val="28"/>
        </w:rPr>
        <w:t>Figure 1</w:t>
      </w:r>
    </w:p>
    <w:p w14:paraId="7BD405F3" w14:textId="6E12E7EB" w:rsidR="006A4703" w:rsidRPr="006A4703" w:rsidRDefault="006A4703" w:rsidP="006A4703">
      <w:pPr>
        <w:jc w:val="both"/>
        <w:rPr>
          <w:rFonts w:cstheme="minorHAnsi"/>
          <w:sz w:val="28"/>
          <w:szCs w:val="28"/>
        </w:rPr>
      </w:pPr>
      <w:r w:rsidRPr="006A4703">
        <w:rPr>
          <w:rFonts w:cstheme="minorHAnsi"/>
          <w:sz w:val="28"/>
          <w:szCs w:val="28"/>
        </w:rPr>
        <w:t>It is possible t</w:t>
      </w:r>
      <w:r w:rsidR="0031077B">
        <w:rPr>
          <w:rFonts w:cstheme="minorHAnsi"/>
          <w:sz w:val="28"/>
          <w:szCs w:val="28"/>
        </w:rPr>
        <w:t>hat the relationship between onshore and offshore</w:t>
      </w:r>
      <w:r w:rsidRPr="006A4703">
        <w:rPr>
          <w:rFonts w:cstheme="minorHAnsi"/>
          <w:sz w:val="28"/>
          <w:szCs w:val="28"/>
        </w:rPr>
        <w:t xml:space="preserve"> provision could, to varying degrees over time, be more substitutive if increasing </w:t>
      </w:r>
      <w:r w:rsidR="0031077B">
        <w:rPr>
          <w:rFonts w:cstheme="minorHAnsi"/>
          <w:sz w:val="28"/>
          <w:szCs w:val="28"/>
        </w:rPr>
        <w:t>offshore</w:t>
      </w:r>
      <w:r w:rsidRPr="006A4703">
        <w:rPr>
          <w:rFonts w:cstheme="minorHAnsi"/>
          <w:sz w:val="28"/>
          <w:szCs w:val="28"/>
        </w:rPr>
        <w:t xml:space="preserve"> provision in one country directly results in fewer numbers of international </w:t>
      </w:r>
      <w:r w:rsidR="0031077B">
        <w:rPr>
          <w:rFonts w:cstheme="minorHAnsi"/>
          <w:sz w:val="28"/>
          <w:szCs w:val="28"/>
        </w:rPr>
        <w:t>onshore</w:t>
      </w:r>
      <w:r w:rsidRPr="006A4703">
        <w:rPr>
          <w:rFonts w:cstheme="minorHAnsi"/>
          <w:sz w:val="28"/>
          <w:szCs w:val="28"/>
        </w:rPr>
        <w:t xml:space="preserve"> students from that country</w:t>
      </w:r>
      <w:r w:rsidR="00FC1AB3">
        <w:rPr>
          <w:rFonts w:cstheme="minorHAnsi"/>
          <w:sz w:val="28"/>
          <w:szCs w:val="28"/>
        </w:rPr>
        <w:t xml:space="preserve"> attending universities in the UK</w:t>
      </w:r>
      <w:r w:rsidRPr="006A4703">
        <w:rPr>
          <w:rFonts w:cstheme="minorHAnsi"/>
          <w:sz w:val="28"/>
          <w:szCs w:val="28"/>
        </w:rPr>
        <w:t xml:space="preserve">. This could </w:t>
      </w:r>
      <w:r>
        <w:rPr>
          <w:rFonts w:cstheme="minorHAnsi"/>
          <w:sz w:val="28"/>
          <w:szCs w:val="28"/>
        </w:rPr>
        <w:lastRenderedPageBreak/>
        <w:t xml:space="preserve">be precisely </w:t>
      </w:r>
      <w:r w:rsidRPr="006A4703">
        <w:rPr>
          <w:rFonts w:cstheme="minorHAnsi"/>
          <w:sz w:val="28"/>
          <w:szCs w:val="28"/>
        </w:rPr>
        <w:t xml:space="preserve">because </w:t>
      </w:r>
      <w:r w:rsidR="0031077B">
        <w:rPr>
          <w:rFonts w:cstheme="minorHAnsi"/>
          <w:sz w:val="28"/>
          <w:szCs w:val="28"/>
        </w:rPr>
        <w:t>offshore</w:t>
      </w:r>
      <w:r w:rsidRPr="006A4703">
        <w:rPr>
          <w:rFonts w:cstheme="minorHAnsi"/>
          <w:sz w:val="28"/>
          <w:szCs w:val="28"/>
        </w:rPr>
        <w:t xml:space="preserve"> provision is </w:t>
      </w:r>
      <w:r>
        <w:rPr>
          <w:rFonts w:cstheme="minorHAnsi"/>
          <w:sz w:val="28"/>
          <w:szCs w:val="28"/>
        </w:rPr>
        <w:t xml:space="preserve">so </w:t>
      </w:r>
      <w:r w:rsidRPr="006A4703">
        <w:rPr>
          <w:rFonts w:cstheme="minorHAnsi"/>
          <w:sz w:val="28"/>
          <w:szCs w:val="28"/>
        </w:rPr>
        <w:t xml:space="preserve">price-competitive and more convenient. It is could also be </w:t>
      </w:r>
      <w:r w:rsidR="00FC29B6">
        <w:rPr>
          <w:rFonts w:cstheme="minorHAnsi"/>
          <w:sz w:val="28"/>
          <w:szCs w:val="28"/>
        </w:rPr>
        <w:t xml:space="preserve">an explicit </w:t>
      </w:r>
      <w:r w:rsidRPr="006A4703">
        <w:rPr>
          <w:rFonts w:cstheme="minorHAnsi"/>
          <w:sz w:val="28"/>
          <w:szCs w:val="28"/>
        </w:rPr>
        <w:t xml:space="preserve">objective of government education and economic policy. The contention here is that ‘governments that open up their education markets to foreign providers often do so with the goal of decreasing </w:t>
      </w:r>
      <w:r w:rsidR="00F61874">
        <w:rPr>
          <w:rFonts w:cstheme="minorHAnsi"/>
          <w:sz w:val="28"/>
          <w:szCs w:val="28"/>
        </w:rPr>
        <w:t xml:space="preserve">their student emigration’ (Levatino, 2017: </w:t>
      </w:r>
      <w:r w:rsidRPr="006A4703">
        <w:rPr>
          <w:rFonts w:cstheme="minorHAnsi"/>
          <w:sz w:val="28"/>
          <w:szCs w:val="28"/>
        </w:rPr>
        <w:t>640). This type of relationship occupies quadrant 1 in Figure 1.</w:t>
      </w:r>
    </w:p>
    <w:p w14:paraId="0FF546F2" w14:textId="40F9CD79" w:rsidR="006A4703" w:rsidRPr="000A31FC" w:rsidRDefault="006A4703" w:rsidP="000A31FC">
      <w:pPr>
        <w:jc w:val="both"/>
        <w:rPr>
          <w:rFonts w:cstheme="minorHAnsi"/>
          <w:sz w:val="28"/>
          <w:szCs w:val="28"/>
        </w:rPr>
      </w:pPr>
      <w:r w:rsidRPr="000A31FC">
        <w:rPr>
          <w:rFonts w:cstheme="minorHAnsi"/>
          <w:sz w:val="28"/>
          <w:szCs w:val="28"/>
        </w:rPr>
        <w:t>The opposite substitutive r</w:t>
      </w:r>
      <w:r w:rsidR="0031077B">
        <w:rPr>
          <w:rFonts w:cstheme="minorHAnsi"/>
          <w:sz w:val="28"/>
          <w:szCs w:val="28"/>
        </w:rPr>
        <w:t>elationship where increasing on</w:t>
      </w:r>
      <w:r w:rsidRPr="000A31FC">
        <w:rPr>
          <w:rFonts w:cstheme="minorHAnsi"/>
          <w:sz w:val="28"/>
          <w:szCs w:val="28"/>
        </w:rPr>
        <w:t>shore enrolment is</w:t>
      </w:r>
      <w:r w:rsidR="0031077B">
        <w:rPr>
          <w:rFonts w:cstheme="minorHAnsi"/>
          <w:sz w:val="28"/>
          <w:szCs w:val="28"/>
        </w:rPr>
        <w:t xml:space="preserve"> the direct result of lower offshore</w:t>
      </w:r>
      <w:r w:rsidRPr="000A31FC">
        <w:rPr>
          <w:rFonts w:cstheme="minorHAnsi"/>
          <w:sz w:val="28"/>
          <w:szCs w:val="28"/>
        </w:rPr>
        <w:t xml:space="preserve"> enrolment (quadrant 3 in Figure 1) is rarely mentioned in the literature but, as will be discussed later, </w:t>
      </w:r>
      <w:r w:rsidR="00FC29B6">
        <w:rPr>
          <w:rFonts w:cstheme="minorHAnsi"/>
          <w:sz w:val="28"/>
          <w:szCs w:val="28"/>
        </w:rPr>
        <w:t xml:space="preserve">can occur </w:t>
      </w:r>
      <w:r w:rsidRPr="000A31FC">
        <w:rPr>
          <w:rFonts w:cstheme="minorHAnsi"/>
          <w:sz w:val="28"/>
          <w:szCs w:val="28"/>
        </w:rPr>
        <w:t xml:space="preserve">in certain special situations.   </w:t>
      </w:r>
    </w:p>
    <w:p w14:paraId="5504D9A0" w14:textId="77777777" w:rsidR="00054F26" w:rsidRPr="00054F26" w:rsidRDefault="00054F26" w:rsidP="000A31FC">
      <w:pPr>
        <w:jc w:val="both"/>
        <w:rPr>
          <w:rFonts w:cstheme="minorHAnsi"/>
          <w:b/>
          <w:sz w:val="28"/>
          <w:szCs w:val="28"/>
        </w:rPr>
      </w:pPr>
      <w:r w:rsidRPr="00054F26">
        <w:rPr>
          <w:rFonts w:cstheme="minorHAnsi"/>
          <w:b/>
          <w:sz w:val="28"/>
          <w:szCs w:val="28"/>
        </w:rPr>
        <w:t>2.1.2 Specific research</w:t>
      </w:r>
    </w:p>
    <w:p w14:paraId="738B46EE" w14:textId="75BB83AB" w:rsidR="00054F26" w:rsidRDefault="00054F26" w:rsidP="00054F26">
      <w:pPr>
        <w:jc w:val="both"/>
        <w:rPr>
          <w:rFonts w:cstheme="minorHAnsi"/>
          <w:sz w:val="28"/>
          <w:szCs w:val="28"/>
        </w:rPr>
      </w:pPr>
      <w:r>
        <w:rPr>
          <w:rFonts w:cstheme="minorHAnsi"/>
          <w:sz w:val="28"/>
          <w:szCs w:val="28"/>
        </w:rPr>
        <w:t>To date, o</w:t>
      </w:r>
      <w:r w:rsidRPr="004F3E98">
        <w:rPr>
          <w:rFonts w:cstheme="minorHAnsi"/>
          <w:sz w:val="28"/>
          <w:szCs w:val="28"/>
        </w:rPr>
        <w:t xml:space="preserve">nly </w:t>
      </w:r>
      <w:r>
        <w:rPr>
          <w:rFonts w:cstheme="minorHAnsi"/>
          <w:sz w:val="28"/>
          <w:szCs w:val="28"/>
        </w:rPr>
        <w:t xml:space="preserve">two academic articles have been published </w:t>
      </w:r>
      <w:r w:rsidRPr="004F3E98">
        <w:rPr>
          <w:rFonts w:cstheme="minorHAnsi"/>
          <w:sz w:val="28"/>
          <w:szCs w:val="28"/>
        </w:rPr>
        <w:t xml:space="preserve">which </w:t>
      </w:r>
      <w:r>
        <w:rPr>
          <w:rFonts w:cstheme="minorHAnsi"/>
          <w:sz w:val="28"/>
          <w:szCs w:val="28"/>
        </w:rPr>
        <w:t xml:space="preserve">specifically </w:t>
      </w:r>
      <w:r w:rsidRPr="004F3E98">
        <w:rPr>
          <w:rFonts w:cstheme="minorHAnsi"/>
          <w:sz w:val="28"/>
          <w:szCs w:val="28"/>
        </w:rPr>
        <w:t>explore po</w:t>
      </w:r>
      <w:r w:rsidR="0031077B">
        <w:rPr>
          <w:rFonts w:cstheme="minorHAnsi"/>
          <w:sz w:val="28"/>
          <w:szCs w:val="28"/>
        </w:rPr>
        <w:t>ssible relationships between onshore and on</w:t>
      </w:r>
      <w:r w:rsidRPr="004F3E98">
        <w:rPr>
          <w:rFonts w:cstheme="minorHAnsi"/>
          <w:sz w:val="28"/>
          <w:szCs w:val="28"/>
        </w:rPr>
        <w:t>shore higher education provision</w:t>
      </w:r>
      <w:r w:rsidR="004E7044">
        <w:rPr>
          <w:rFonts w:cstheme="minorHAnsi"/>
          <w:sz w:val="28"/>
          <w:szCs w:val="28"/>
        </w:rPr>
        <w:t xml:space="preserve"> for overseas students</w:t>
      </w:r>
      <w:r w:rsidRPr="004F3E98">
        <w:rPr>
          <w:rFonts w:cstheme="minorHAnsi"/>
          <w:sz w:val="28"/>
          <w:szCs w:val="28"/>
        </w:rPr>
        <w:t xml:space="preserve">. </w:t>
      </w:r>
    </w:p>
    <w:p w14:paraId="085889C2" w14:textId="61858BE4" w:rsidR="00F63819" w:rsidRDefault="00F63819" w:rsidP="00054F26">
      <w:pPr>
        <w:jc w:val="both"/>
        <w:rPr>
          <w:rFonts w:cstheme="minorHAnsi"/>
          <w:sz w:val="28"/>
          <w:szCs w:val="28"/>
        </w:rPr>
      </w:pPr>
      <w:r>
        <w:rPr>
          <w:rFonts w:cstheme="minorHAnsi"/>
          <w:sz w:val="28"/>
          <w:szCs w:val="28"/>
        </w:rPr>
        <w:t xml:space="preserve">Levatino </w:t>
      </w:r>
      <w:r w:rsidR="001C5734">
        <w:rPr>
          <w:rFonts w:cstheme="minorHAnsi"/>
          <w:sz w:val="28"/>
          <w:szCs w:val="28"/>
        </w:rPr>
        <w:t xml:space="preserve">presents a </w:t>
      </w:r>
      <w:r w:rsidR="0002268C">
        <w:rPr>
          <w:rFonts w:cstheme="minorHAnsi"/>
          <w:sz w:val="28"/>
          <w:szCs w:val="28"/>
        </w:rPr>
        <w:t>multivariate model</w:t>
      </w:r>
      <w:r>
        <w:rPr>
          <w:rFonts w:cstheme="minorHAnsi"/>
          <w:sz w:val="28"/>
          <w:szCs w:val="28"/>
        </w:rPr>
        <w:t xml:space="preserve"> </w:t>
      </w:r>
      <w:r w:rsidR="00FB10B5">
        <w:rPr>
          <w:rFonts w:cstheme="minorHAnsi"/>
          <w:sz w:val="28"/>
          <w:szCs w:val="28"/>
        </w:rPr>
        <w:t>utilising a macro-level</w:t>
      </w:r>
      <w:r w:rsidR="004E7044">
        <w:rPr>
          <w:rFonts w:cstheme="minorHAnsi"/>
          <w:sz w:val="28"/>
          <w:szCs w:val="28"/>
        </w:rPr>
        <w:t>, country</w:t>
      </w:r>
      <w:r w:rsidR="00FB10B5">
        <w:rPr>
          <w:rFonts w:cstheme="minorHAnsi"/>
          <w:sz w:val="28"/>
          <w:szCs w:val="28"/>
        </w:rPr>
        <w:t xml:space="preserve"> data set of onshore and </w:t>
      </w:r>
      <w:r w:rsidR="0031077B">
        <w:rPr>
          <w:rFonts w:cstheme="minorHAnsi"/>
          <w:sz w:val="28"/>
          <w:szCs w:val="28"/>
        </w:rPr>
        <w:t>offshore</w:t>
      </w:r>
      <w:r w:rsidR="00FB10B5">
        <w:rPr>
          <w:rFonts w:cstheme="minorHAnsi"/>
          <w:sz w:val="28"/>
          <w:szCs w:val="28"/>
        </w:rPr>
        <w:t xml:space="preserve"> enrolments </w:t>
      </w:r>
      <w:r w:rsidR="004E7044">
        <w:rPr>
          <w:rFonts w:cstheme="minorHAnsi"/>
          <w:sz w:val="28"/>
          <w:szCs w:val="28"/>
        </w:rPr>
        <w:t xml:space="preserve">of overseas students </w:t>
      </w:r>
      <w:r w:rsidR="001C5734">
        <w:rPr>
          <w:rFonts w:cstheme="minorHAnsi"/>
          <w:sz w:val="28"/>
          <w:szCs w:val="28"/>
        </w:rPr>
        <w:t xml:space="preserve">in order to explore </w:t>
      </w:r>
      <w:r>
        <w:rPr>
          <w:rFonts w:cstheme="minorHAnsi"/>
          <w:sz w:val="28"/>
          <w:szCs w:val="28"/>
        </w:rPr>
        <w:t xml:space="preserve">these relationships </w:t>
      </w:r>
      <w:r w:rsidR="001C5734">
        <w:rPr>
          <w:rFonts w:cstheme="minorHAnsi"/>
          <w:sz w:val="28"/>
          <w:szCs w:val="28"/>
        </w:rPr>
        <w:t xml:space="preserve">among </w:t>
      </w:r>
      <w:r>
        <w:rPr>
          <w:rFonts w:cstheme="minorHAnsi"/>
          <w:sz w:val="28"/>
          <w:szCs w:val="28"/>
        </w:rPr>
        <w:t>Australian universities. She concludes that ‘no sub</w:t>
      </w:r>
      <w:r w:rsidR="000608BB">
        <w:rPr>
          <w:rFonts w:cstheme="minorHAnsi"/>
          <w:sz w:val="28"/>
          <w:szCs w:val="28"/>
        </w:rPr>
        <w:t xml:space="preserve">stitutive </w:t>
      </w:r>
      <w:r>
        <w:rPr>
          <w:rFonts w:cstheme="minorHAnsi"/>
          <w:sz w:val="28"/>
          <w:szCs w:val="28"/>
        </w:rPr>
        <w:t>linkage is found</w:t>
      </w:r>
      <w:r w:rsidR="0031077B">
        <w:rPr>
          <w:rFonts w:cstheme="minorHAnsi"/>
          <w:sz w:val="28"/>
          <w:szCs w:val="28"/>
        </w:rPr>
        <w:t>,</w:t>
      </w:r>
      <w:r>
        <w:rPr>
          <w:rFonts w:cstheme="minorHAnsi"/>
          <w:sz w:val="28"/>
          <w:szCs w:val="28"/>
        </w:rPr>
        <w:t xml:space="preserve"> </w:t>
      </w:r>
      <w:r w:rsidR="000608BB">
        <w:rPr>
          <w:rFonts w:cstheme="minorHAnsi"/>
          <w:sz w:val="28"/>
          <w:szCs w:val="28"/>
        </w:rPr>
        <w:t>confirming…that the two types of provision are absorbing</w:t>
      </w:r>
      <w:r>
        <w:rPr>
          <w:rFonts w:cstheme="minorHAnsi"/>
          <w:sz w:val="28"/>
          <w:szCs w:val="28"/>
        </w:rPr>
        <w:t xml:space="preserve"> different segments of international students’</w:t>
      </w:r>
      <w:r w:rsidR="004E7044">
        <w:rPr>
          <w:rFonts w:cstheme="minorHAnsi"/>
          <w:sz w:val="28"/>
          <w:szCs w:val="28"/>
        </w:rPr>
        <w:t xml:space="preserve"> (op. cit.:1)</w:t>
      </w:r>
      <w:r>
        <w:rPr>
          <w:rFonts w:cstheme="minorHAnsi"/>
          <w:sz w:val="28"/>
          <w:szCs w:val="28"/>
        </w:rPr>
        <w:t>.</w:t>
      </w:r>
      <w:r w:rsidR="001C5734">
        <w:rPr>
          <w:rFonts w:cstheme="minorHAnsi"/>
          <w:sz w:val="28"/>
          <w:szCs w:val="28"/>
        </w:rPr>
        <w:t xml:space="preserve"> </w:t>
      </w:r>
      <w:r w:rsidR="004E7044">
        <w:rPr>
          <w:rFonts w:cstheme="minorHAnsi"/>
          <w:sz w:val="28"/>
          <w:szCs w:val="28"/>
        </w:rPr>
        <w:t xml:space="preserve">This study is a commendable effort to move away from the essentially speculative and heavily descriptive approach of other research.  </w:t>
      </w:r>
      <w:r w:rsidR="001C5734">
        <w:rPr>
          <w:rFonts w:cstheme="minorHAnsi"/>
          <w:sz w:val="28"/>
          <w:szCs w:val="28"/>
        </w:rPr>
        <w:t>However, the main drawback of this study is that</w:t>
      </w:r>
      <w:r w:rsidR="00FB10B5">
        <w:rPr>
          <w:rFonts w:cstheme="minorHAnsi"/>
          <w:sz w:val="28"/>
          <w:szCs w:val="28"/>
        </w:rPr>
        <w:t>,</w:t>
      </w:r>
      <w:r w:rsidR="001C5734">
        <w:rPr>
          <w:rFonts w:cstheme="minorHAnsi"/>
          <w:sz w:val="28"/>
          <w:szCs w:val="28"/>
        </w:rPr>
        <w:t xml:space="preserve"> </w:t>
      </w:r>
      <w:r w:rsidR="00FB10B5">
        <w:rPr>
          <w:rFonts w:cstheme="minorHAnsi"/>
          <w:sz w:val="28"/>
          <w:szCs w:val="28"/>
        </w:rPr>
        <w:t xml:space="preserve">although </w:t>
      </w:r>
      <w:r w:rsidR="001C5734">
        <w:rPr>
          <w:rFonts w:cstheme="minorHAnsi"/>
          <w:sz w:val="28"/>
          <w:szCs w:val="28"/>
        </w:rPr>
        <w:t xml:space="preserve">the </w:t>
      </w:r>
      <w:r w:rsidR="00FB10B5">
        <w:rPr>
          <w:rFonts w:cstheme="minorHAnsi"/>
          <w:sz w:val="28"/>
          <w:szCs w:val="28"/>
        </w:rPr>
        <w:t xml:space="preserve">modelling techniques are quite sophisticated, the independent variables (national population, GNP per capita, </w:t>
      </w:r>
      <w:r w:rsidR="001C5734">
        <w:rPr>
          <w:rFonts w:cstheme="minorHAnsi"/>
          <w:sz w:val="28"/>
          <w:szCs w:val="28"/>
        </w:rPr>
        <w:t>tertiary gross enrolment ratios</w:t>
      </w:r>
      <w:r w:rsidR="00FB10B5">
        <w:rPr>
          <w:rFonts w:cstheme="minorHAnsi"/>
          <w:sz w:val="28"/>
          <w:szCs w:val="28"/>
        </w:rPr>
        <w:t xml:space="preserve"> and unemployment rates</w:t>
      </w:r>
      <w:r w:rsidR="001C5734">
        <w:rPr>
          <w:rFonts w:cstheme="minorHAnsi"/>
          <w:sz w:val="28"/>
          <w:szCs w:val="28"/>
        </w:rPr>
        <w:t xml:space="preserve">) </w:t>
      </w:r>
      <w:r w:rsidR="00FB10B5">
        <w:rPr>
          <w:rFonts w:cstheme="minorHAnsi"/>
          <w:sz w:val="28"/>
          <w:szCs w:val="28"/>
        </w:rPr>
        <w:t xml:space="preserve">are </w:t>
      </w:r>
      <w:r w:rsidR="0031077B">
        <w:rPr>
          <w:rFonts w:cstheme="minorHAnsi"/>
          <w:sz w:val="28"/>
          <w:szCs w:val="28"/>
        </w:rPr>
        <w:t>poor proxy</w:t>
      </w:r>
      <w:r w:rsidR="00D55ACD">
        <w:rPr>
          <w:rFonts w:cstheme="minorHAnsi"/>
          <w:sz w:val="28"/>
          <w:szCs w:val="28"/>
        </w:rPr>
        <w:t xml:space="preserve"> indicators of the </w:t>
      </w:r>
      <w:r w:rsidR="0031077B">
        <w:rPr>
          <w:rFonts w:cstheme="minorHAnsi"/>
          <w:sz w:val="28"/>
          <w:szCs w:val="28"/>
        </w:rPr>
        <w:t xml:space="preserve">key </w:t>
      </w:r>
      <w:r w:rsidR="00D55ACD">
        <w:rPr>
          <w:rFonts w:cstheme="minorHAnsi"/>
          <w:sz w:val="28"/>
          <w:szCs w:val="28"/>
        </w:rPr>
        <w:t xml:space="preserve">demand and supply conditions for both </w:t>
      </w:r>
      <w:r w:rsidR="0031077B">
        <w:rPr>
          <w:rFonts w:cstheme="minorHAnsi"/>
          <w:sz w:val="28"/>
          <w:szCs w:val="28"/>
        </w:rPr>
        <w:t>onshore</w:t>
      </w:r>
      <w:r w:rsidR="00D55ACD">
        <w:rPr>
          <w:rFonts w:cstheme="minorHAnsi"/>
          <w:sz w:val="28"/>
          <w:szCs w:val="28"/>
        </w:rPr>
        <w:t xml:space="preserve"> and </w:t>
      </w:r>
      <w:r w:rsidR="0031077B">
        <w:rPr>
          <w:rFonts w:cstheme="minorHAnsi"/>
          <w:sz w:val="28"/>
          <w:szCs w:val="28"/>
        </w:rPr>
        <w:t>offshore</w:t>
      </w:r>
      <w:r w:rsidR="00D55ACD">
        <w:rPr>
          <w:rFonts w:cstheme="minorHAnsi"/>
          <w:sz w:val="28"/>
          <w:szCs w:val="28"/>
        </w:rPr>
        <w:t xml:space="preserve"> provision that the model seeks to measure.</w:t>
      </w:r>
      <w:r w:rsidR="00FB10B5">
        <w:rPr>
          <w:rFonts w:cstheme="minorHAnsi"/>
          <w:sz w:val="28"/>
          <w:szCs w:val="28"/>
        </w:rPr>
        <w:t xml:space="preserve"> It is probably for this reason that the overall explanatory power of the model is not specified.</w:t>
      </w:r>
      <w:r w:rsidR="00F61874">
        <w:rPr>
          <w:rFonts w:cstheme="minorHAnsi"/>
          <w:sz w:val="28"/>
          <w:szCs w:val="28"/>
        </w:rPr>
        <w:t xml:space="preserve"> </w:t>
      </w:r>
      <w:r w:rsidR="0031077B">
        <w:rPr>
          <w:rFonts w:cstheme="minorHAnsi"/>
          <w:sz w:val="28"/>
          <w:szCs w:val="28"/>
        </w:rPr>
        <w:t>Also, there is n</w:t>
      </w:r>
      <w:r w:rsidR="00F61874">
        <w:rPr>
          <w:rFonts w:cstheme="minorHAnsi"/>
          <w:sz w:val="28"/>
          <w:szCs w:val="28"/>
        </w:rPr>
        <w:t xml:space="preserve">o explicit mention </w:t>
      </w:r>
      <w:r w:rsidR="0031077B">
        <w:rPr>
          <w:rFonts w:cstheme="minorHAnsi"/>
          <w:sz w:val="28"/>
          <w:szCs w:val="28"/>
        </w:rPr>
        <w:t>o</w:t>
      </w:r>
      <w:r w:rsidR="00F61874">
        <w:rPr>
          <w:rFonts w:cstheme="minorHAnsi"/>
          <w:sz w:val="28"/>
          <w:szCs w:val="28"/>
        </w:rPr>
        <w:t xml:space="preserve">f possible complementary effects. </w:t>
      </w:r>
      <w:r w:rsidR="00FB10B5">
        <w:rPr>
          <w:rFonts w:cstheme="minorHAnsi"/>
          <w:sz w:val="28"/>
          <w:szCs w:val="28"/>
        </w:rPr>
        <w:t xml:space="preserve"> </w:t>
      </w:r>
      <w:r w:rsidR="001C5734">
        <w:rPr>
          <w:rFonts w:cstheme="minorHAnsi"/>
          <w:sz w:val="28"/>
          <w:szCs w:val="28"/>
        </w:rPr>
        <w:t xml:space="preserve"> </w:t>
      </w:r>
      <w:r>
        <w:rPr>
          <w:rFonts w:cstheme="minorHAnsi"/>
          <w:sz w:val="28"/>
          <w:szCs w:val="28"/>
        </w:rPr>
        <w:t xml:space="preserve">   </w:t>
      </w:r>
    </w:p>
    <w:p w14:paraId="068574EF" w14:textId="615EA681" w:rsidR="00627EC1" w:rsidRDefault="00F63819" w:rsidP="000A31FC">
      <w:pPr>
        <w:jc w:val="both"/>
        <w:rPr>
          <w:rFonts w:cstheme="minorHAnsi"/>
          <w:sz w:val="28"/>
          <w:szCs w:val="28"/>
        </w:rPr>
      </w:pPr>
      <w:r>
        <w:rPr>
          <w:rFonts w:cstheme="minorHAnsi"/>
          <w:sz w:val="28"/>
          <w:szCs w:val="28"/>
        </w:rPr>
        <w:t xml:space="preserve">Tsiligiris </w:t>
      </w:r>
      <w:r w:rsidR="000608BB">
        <w:rPr>
          <w:rFonts w:cstheme="minorHAnsi"/>
          <w:sz w:val="28"/>
          <w:szCs w:val="28"/>
        </w:rPr>
        <w:t>a</w:t>
      </w:r>
      <w:r w:rsidR="00800452">
        <w:rPr>
          <w:rFonts w:cstheme="minorHAnsi"/>
          <w:sz w:val="28"/>
          <w:szCs w:val="28"/>
        </w:rPr>
        <w:t>nalyse</w:t>
      </w:r>
      <w:r w:rsidR="000608BB">
        <w:rPr>
          <w:rFonts w:cstheme="minorHAnsi"/>
          <w:sz w:val="28"/>
          <w:szCs w:val="28"/>
        </w:rPr>
        <w:t xml:space="preserve">s recent the growth in </w:t>
      </w:r>
      <w:r w:rsidR="0031077B">
        <w:rPr>
          <w:rFonts w:cstheme="minorHAnsi"/>
          <w:sz w:val="28"/>
          <w:szCs w:val="28"/>
        </w:rPr>
        <w:t>onshore</w:t>
      </w:r>
      <w:r>
        <w:rPr>
          <w:rFonts w:cstheme="minorHAnsi"/>
          <w:sz w:val="28"/>
          <w:szCs w:val="28"/>
        </w:rPr>
        <w:t xml:space="preserve"> and </w:t>
      </w:r>
      <w:r w:rsidR="0031077B">
        <w:rPr>
          <w:rFonts w:cstheme="minorHAnsi"/>
          <w:sz w:val="28"/>
          <w:szCs w:val="28"/>
        </w:rPr>
        <w:t>offshore</w:t>
      </w:r>
      <w:r>
        <w:rPr>
          <w:rFonts w:cstheme="minorHAnsi"/>
          <w:sz w:val="28"/>
          <w:szCs w:val="28"/>
        </w:rPr>
        <w:t xml:space="preserve"> </w:t>
      </w:r>
      <w:r w:rsidR="00E67709">
        <w:rPr>
          <w:rFonts w:cstheme="minorHAnsi"/>
          <w:sz w:val="28"/>
          <w:szCs w:val="28"/>
        </w:rPr>
        <w:t xml:space="preserve">overseas student </w:t>
      </w:r>
      <w:r>
        <w:rPr>
          <w:rFonts w:cstheme="minorHAnsi"/>
          <w:sz w:val="28"/>
          <w:szCs w:val="28"/>
        </w:rPr>
        <w:t xml:space="preserve">enrolments at British </w:t>
      </w:r>
      <w:r w:rsidR="00800452">
        <w:rPr>
          <w:rFonts w:cstheme="minorHAnsi"/>
          <w:sz w:val="28"/>
          <w:szCs w:val="28"/>
        </w:rPr>
        <w:t xml:space="preserve">and Australian </w:t>
      </w:r>
      <w:r>
        <w:rPr>
          <w:rFonts w:cstheme="minorHAnsi"/>
          <w:sz w:val="28"/>
          <w:szCs w:val="28"/>
        </w:rPr>
        <w:t>universities.</w:t>
      </w:r>
      <w:r w:rsidR="001C5734">
        <w:rPr>
          <w:rFonts w:cstheme="minorHAnsi"/>
          <w:sz w:val="28"/>
          <w:szCs w:val="28"/>
        </w:rPr>
        <w:t xml:space="preserve"> He </w:t>
      </w:r>
      <w:r w:rsidR="00800452">
        <w:rPr>
          <w:rFonts w:cstheme="minorHAnsi"/>
          <w:sz w:val="28"/>
          <w:szCs w:val="28"/>
        </w:rPr>
        <w:t xml:space="preserve">states </w:t>
      </w:r>
      <w:r w:rsidR="001C5734">
        <w:rPr>
          <w:rFonts w:cstheme="minorHAnsi"/>
          <w:sz w:val="28"/>
          <w:szCs w:val="28"/>
        </w:rPr>
        <w:t>that ‘</w:t>
      </w:r>
      <w:r w:rsidR="0031077B">
        <w:rPr>
          <w:rFonts w:cstheme="minorHAnsi"/>
          <w:sz w:val="28"/>
          <w:szCs w:val="28"/>
        </w:rPr>
        <w:t>onshore</w:t>
      </w:r>
      <w:r w:rsidR="001C5734">
        <w:rPr>
          <w:rFonts w:cstheme="minorHAnsi"/>
          <w:sz w:val="28"/>
          <w:szCs w:val="28"/>
        </w:rPr>
        <w:t xml:space="preserve"> enrolment increased or remained unaffected by the growth of </w:t>
      </w:r>
      <w:r w:rsidR="0031077B">
        <w:rPr>
          <w:rFonts w:cstheme="minorHAnsi"/>
          <w:sz w:val="28"/>
          <w:szCs w:val="28"/>
        </w:rPr>
        <w:t>offshore</w:t>
      </w:r>
      <w:r w:rsidR="001C5734">
        <w:rPr>
          <w:rFonts w:cstheme="minorHAnsi"/>
          <w:sz w:val="28"/>
          <w:szCs w:val="28"/>
        </w:rPr>
        <w:t xml:space="preserve"> provision in the main countries’</w:t>
      </w:r>
      <w:r w:rsidR="00F61874">
        <w:rPr>
          <w:rFonts w:cstheme="minorHAnsi"/>
          <w:sz w:val="28"/>
          <w:szCs w:val="28"/>
        </w:rPr>
        <w:t xml:space="preserve"> (2014</w:t>
      </w:r>
      <w:r w:rsidR="00800452">
        <w:rPr>
          <w:rFonts w:cstheme="minorHAnsi"/>
          <w:sz w:val="28"/>
          <w:szCs w:val="28"/>
        </w:rPr>
        <w:t>:</w:t>
      </w:r>
      <w:r w:rsidR="00F61874">
        <w:rPr>
          <w:rFonts w:cstheme="minorHAnsi"/>
          <w:sz w:val="28"/>
          <w:szCs w:val="28"/>
        </w:rPr>
        <w:t xml:space="preserve"> 1</w:t>
      </w:r>
      <w:r w:rsidR="00800452">
        <w:rPr>
          <w:rFonts w:cstheme="minorHAnsi"/>
          <w:sz w:val="28"/>
          <w:szCs w:val="28"/>
        </w:rPr>
        <w:t>)</w:t>
      </w:r>
      <w:r w:rsidR="000608BB">
        <w:rPr>
          <w:rFonts w:cstheme="minorHAnsi"/>
          <w:sz w:val="28"/>
          <w:szCs w:val="28"/>
        </w:rPr>
        <w:t xml:space="preserve">. </w:t>
      </w:r>
      <w:r w:rsidR="00800452">
        <w:rPr>
          <w:rFonts w:cstheme="minorHAnsi"/>
          <w:sz w:val="28"/>
          <w:szCs w:val="28"/>
        </w:rPr>
        <w:t xml:space="preserve">This conclusion </w:t>
      </w:r>
      <w:r w:rsidR="000608BB">
        <w:rPr>
          <w:rFonts w:cstheme="minorHAnsi"/>
          <w:sz w:val="28"/>
          <w:szCs w:val="28"/>
        </w:rPr>
        <w:t xml:space="preserve">is based </w:t>
      </w:r>
      <w:r w:rsidR="00800452">
        <w:rPr>
          <w:rFonts w:cstheme="minorHAnsi"/>
          <w:sz w:val="28"/>
          <w:szCs w:val="28"/>
        </w:rPr>
        <w:t xml:space="preserve">on trend analysis of onshore and </w:t>
      </w:r>
      <w:r w:rsidR="0031077B">
        <w:rPr>
          <w:rFonts w:cstheme="minorHAnsi"/>
          <w:sz w:val="28"/>
          <w:szCs w:val="28"/>
        </w:rPr>
        <w:t>offshore</w:t>
      </w:r>
      <w:r w:rsidR="00800452">
        <w:rPr>
          <w:rFonts w:cstheme="minorHAnsi"/>
          <w:sz w:val="28"/>
          <w:szCs w:val="28"/>
        </w:rPr>
        <w:t xml:space="preserve"> enrolments on UK and Australian degree </w:t>
      </w:r>
      <w:r w:rsidR="00800452">
        <w:rPr>
          <w:rFonts w:cstheme="minorHAnsi"/>
          <w:sz w:val="28"/>
          <w:szCs w:val="28"/>
        </w:rPr>
        <w:lastRenderedPageBreak/>
        <w:t xml:space="preserve">courses among students from four of the largest overseas markets for higher education, namely </w:t>
      </w:r>
      <w:r w:rsidR="0031077B">
        <w:rPr>
          <w:rFonts w:cstheme="minorHAnsi"/>
          <w:sz w:val="28"/>
          <w:szCs w:val="28"/>
        </w:rPr>
        <w:t xml:space="preserve">China, Hong Kong, </w:t>
      </w:r>
      <w:r w:rsidR="00800452">
        <w:rPr>
          <w:rFonts w:cstheme="minorHAnsi"/>
          <w:sz w:val="28"/>
          <w:szCs w:val="28"/>
        </w:rPr>
        <w:t xml:space="preserve">Malaysia, </w:t>
      </w:r>
      <w:r w:rsidR="0031077B">
        <w:rPr>
          <w:rFonts w:cstheme="minorHAnsi"/>
          <w:sz w:val="28"/>
          <w:szCs w:val="28"/>
        </w:rPr>
        <w:t xml:space="preserve">and </w:t>
      </w:r>
      <w:r w:rsidR="00800452">
        <w:rPr>
          <w:rFonts w:cstheme="minorHAnsi"/>
          <w:sz w:val="28"/>
          <w:szCs w:val="28"/>
        </w:rPr>
        <w:t xml:space="preserve">Singapore.  </w:t>
      </w:r>
      <w:r w:rsidR="000608BB">
        <w:rPr>
          <w:rFonts w:cstheme="minorHAnsi"/>
          <w:sz w:val="28"/>
          <w:szCs w:val="28"/>
        </w:rPr>
        <w:t>No s</w:t>
      </w:r>
      <w:r w:rsidR="00800452">
        <w:rPr>
          <w:rFonts w:cstheme="minorHAnsi"/>
          <w:sz w:val="28"/>
          <w:szCs w:val="28"/>
        </w:rPr>
        <w:t xml:space="preserve">ubstitution effects </w:t>
      </w:r>
      <w:r w:rsidR="000608BB">
        <w:rPr>
          <w:rFonts w:cstheme="minorHAnsi"/>
          <w:sz w:val="28"/>
          <w:szCs w:val="28"/>
        </w:rPr>
        <w:t>are identified for either country China nor for the UK in Singapore or Australia in Malaysia. There are only ‘minor’ substitution effects for the UK in Malaysia and Hong Kong and minor effects for Australia</w:t>
      </w:r>
      <w:r w:rsidR="0031077B">
        <w:rPr>
          <w:rFonts w:cstheme="minorHAnsi"/>
          <w:sz w:val="28"/>
          <w:szCs w:val="28"/>
        </w:rPr>
        <w:t xml:space="preserve">n universities in </w:t>
      </w:r>
      <w:r w:rsidR="000608BB">
        <w:rPr>
          <w:rFonts w:cstheme="minorHAnsi"/>
          <w:sz w:val="28"/>
          <w:szCs w:val="28"/>
        </w:rPr>
        <w:t>Hong Kong</w:t>
      </w:r>
      <w:r w:rsidR="0031077B">
        <w:rPr>
          <w:rFonts w:cstheme="minorHAnsi"/>
          <w:sz w:val="28"/>
          <w:szCs w:val="28"/>
        </w:rPr>
        <w:t xml:space="preserve"> and Singapore</w:t>
      </w:r>
      <w:r w:rsidR="000608BB">
        <w:rPr>
          <w:rFonts w:cstheme="minorHAnsi"/>
          <w:sz w:val="28"/>
          <w:szCs w:val="28"/>
        </w:rPr>
        <w:t xml:space="preserve">. </w:t>
      </w:r>
    </w:p>
    <w:p w14:paraId="783D4E1F" w14:textId="3A8F2911" w:rsidR="00F63819" w:rsidRDefault="0031077B" w:rsidP="000A31FC">
      <w:pPr>
        <w:jc w:val="both"/>
        <w:rPr>
          <w:rFonts w:cstheme="minorHAnsi"/>
          <w:sz w:val="28"/>
          <w:szCs w:val="28"/>
        </w:rPr>
      </w:pPr>
      <w:r>
        <w:rPr>
          <w:rFonts w:cstheme="minorHAnsi"/>
          <w:sz w:val="28"/>
          <w:szCs w:val="28"/>
        </w:rPr>
        <w:t>While t</w:t>
      </w:r>
      <w:r w:rsidR="000608BB">
        <w:rPr>
          <w:rFonts w:cstheme="minorHAnsi"/>
          <w:sz w:val="28"/>
          <w:szCs w:val="28"/>
        </w:rPr>
        <w:t>he</w:t>
      </w:r>
      <w:r>
        <w:rPr>
          <w:rFonts w:cstheme="minorHAnsi"/>
          <w:sz w:val="28"/>
          <w:szCs w:val="28"/>
        </w:rPr>
        <w:t xml:space="preserve">se are interesting observations, the study has </w:t>
      </w:r>
      <w:r w:rsidR="00627EC1">
        <w:rPr>
          <w:rFonts w:cstheme="minorHAnsi"/>
          <w:sz w:val="28"/>
          <w:szCs w:val="28"/>
        </w:rPr>
        <w:t xml:space="preserve">three </w:t>
      </w:r>
      <w:r w:rsidR="000608BB">
        <w:rPr>
          <w:rFonts w:cstheme="minorHAnsi"/>
          <w:sz w:val="28"/>
          <w:szCs w:val="28"/>
        </w:rPr>
        <w:t xml:space="preserve">main </w:t>
      </w:r>
      <w:r>
        <w:rPr>
          <w:rFonts w:cstheme="minorHAnsi"/>
          <w:sz w:val="28"/>
          <w:szCs w:val="28"/>
        </w:rPr>
        <w:t>limitations. First, HESA time-</w:t>
      </w:r>
      <w:r w:rsidR="00627EC1">
        <w:rPr>
          <w:rFonts w:cstheme="minorHAnsi"/>
          <w:sz w:val="28"/>
          <w:szCs w:val="28"/>
        </w:rPr>
        <w:t xml:space="preserve">series data </w:t>
      </w:r>
      <w:r w:rsidR="00E67709">
        <w:rPr>
          <w:rFonts w:cstheme="minorHAnsi"/>
          <w:sz w:val="28"/>
          <w:szCs w:val="28"/>
        </w:rPr>
        <w:t xml:space="preserve">for </w:t>
      </w:r>
      <w:r>
        <w:rPr>
          <w:rFonts w:cstheme="minorHAnsi"/>
          <w:sz w:val="28"/>
          <w:szCs w:val="28"/>
        </w:rPr>
        <w:t>offshore</w:t>
      </w:r>
      <w:r w:rsidR="00E67709">
        <w:rPr>
          <w:rFonts w:cstheme="minorHAnsi"/>
          <w:sz w:val="28"/>
          <w:szCs w:val="28"/>
        </w:rPr>
        <w:t xml:space="preserve"> enrolments </w:t>
      </w:r>
      <w:r w:rsidR="00627EC1">
        <w:rPr>
          <w:rFonts w:cstheme="minorHAnsi"/>
          <w:sz w:val="28"/>
          <w:szCs w:val="28"/>
        </w:rPr>
        <w:t xml:space="preserve">is only available for six-seven years which is too short to be able to discern </w:t>
      </w:r>
      <w:r w:rsidR="005C5AEB">
        <w:rPr>
          <w:rFonts w:cstheme="minorHAnsi"/>
          <w:sz w:val="28"/>
          <w:szCs w:val="28"/>
        </w:rPr>
        <w:t xml:space="preserve">accurately </w:t>
      </w:r>
      <w:r w:rsidR="00627EC1">
        <w:rPr>
          <w:rFonts w:cstheme="minorHAnsi"/>
          <w:sz w:val="28"/>
          <w:szCs w:val="28"/>
        </w:rPr>
        <w:t xml:space="preserve">enrolment growth trends. Secondly, </w:t>
      </w:r>
      <w:r w:rsidR="00FB10B5">
        <w:rPr>
          <w:rFonts w:cstheme="minorHAnsi"/>
          <w:sz w:val="28"/>
          <w:szCs w:val="28"/>
        </w:rPr>
        <w:t xml:space="preserve">the analysis is </w:t>
      </w:r>
      <w:r w:rsidR="00D55ACD">
        <w:rPr>
          <w:rFonts w:cstheme="minorHAnsi"/>
          <w:sz w:val="28"/>
          <w:szCs w:val="28"/>
        </w:rPr>
        <w:t xml:space="preserve">mainly </w:t>
      </w:r>
      <w:r w:rsidR="00FB10B5">
        <w:rPr>
          <w:rFonts w:cstheme="minorHAnsi"/>
          <w:sz w:val="28"/>
          <w:szCs w:val="28"/>
        </w:rPr>
        <w:t xml:space="preserve">descriptive. Thus, </w:t>
      </w:r>
      <w:r w:rsidR="0027301E">
        <w:rPr>
          <w:rFonts w:cstheme="minorHAnsi"/>
          <w:sz w:val="28"/>
          <w:szCs w:val="28"/>
        </w:rPr>
        <w:t>no explanation</w:t>
      </w:r>
      <w:r w:rsidR="00627EC1">
        <w:rPr>
          <w:rFonts w:cstheme="minorHAnsi"/>
          <w:sz w:val="28"/>
          <w:szCs w:val="28"/>
        </w:rPr>
        <w:t xml:space="preserve"> is given </w:t>
      </w:r>
      <w:r w:rsidR="0027301E">
        <w:rPr>
          <w:rFonts w:cstheme="minorHAnsi"/>
          <w:sz w:val="28"/>
          <w:szCs w:val="28"/>
        </w:rPr>
        <w:t xml:space="preserve">for the observed </w:t>
      </w:r>
      <w:r w:rsidR="00627EC1">
        <w:rPr>
          <w:rFonts w:cstheme="minorHAnsi"/>
          <w:sz w:val="28"/>
          <w:szCs w:val="28"/>
        </w:rPr>
        <w:t xml:space="preserve">enrolment </w:t>
      </w:r>
      <w:r w:rsidR="0027301E">
        <w:rPr>
          <w:rFonts w:cstheme="minorHAnsi"/>
          <w:sz w:val="28"/>
          <w:szCs w:val="28"/>
        </w:rPr>
        <w:t>growth tre</w:t>
      </w:r>
      <w:r w:rsidR="00627EC1">
        <w:rPr>
          <w:rFonts w:cstheme="minorHAnsi"/>
          <w:sz w:val="28"/>
          <w:szCs w:val="28"/>
        </w:rPr>
        <w:t>nds and</w:t>
      </w:r>
      <w:r w:rsidR="00D55ACD">
        <w:rPr>
          <w:rFonts w:cstheme="minorHAnsi"/>
          <w:sz w:val="28"/>
          <w:szCs w:val="28"/>
        </w:rPr>
        <w:t>, relatedly,</w:t>
      </w:r>
      <w:r w:rsidR="00627EC1">
        <w:rPr>
          <w:rFonts w:cstheme="minorHAnsi"/>
          <w:sz w:val="28"/>
          <w:szCs w:val="28"/>
        </w:rPr>
        <w:t xml:space="preserve"> </w:t>
      </w:r>
      <w:r w:rsidR="005C5AEB">
        <w:rPr>
          <w:rFonts w:cstheme="minorHAnsi"/>
          <w:sz w:val="28"/>
          <w:szCs w:val="28"/>
        </w:rPr>
        <w:t xml:space="preserve">no </w:t>
      </w:r>
      <w:r w:rsidR="0027301E">
        <w:rPr>
          <w:rFonts w:cstheme="minorHAnsi"/>
          <w:sz w:val="28"/>
          <w:szCs w:val="28"/>
        </w:rPr>
        <w:t>counterfactual scenarios</w:t>
      </w:r>
      <w:r w:rsidR="005C5AEB">
        <w:rPr>
          <w:rFonts w:cstheme="minorHAnsi"/>
          <w:sz w:val="28"/>
          <w:szCs w:val="28"/>
        </w:rPr>
        <w:t xml:space="preserve"> are considered</w:t>
      </w:r>
      <w:r w:rsidR="0027301E">
        <w:rPr>
          <w:rFonts w:cstheme="minorHAnsi"/>
          <w:sz w:val="28"/>
          <w:szCs w:val="28"/>
        </w:rPr>
        <w:t xml:space="preserve">. Just because </w:t>
      </w:r>
      <w:r>
        <w:rPr>
          <w:rFonts w:cstheme="minorHAnsi"/>
          <w:sz w:val="28"/>
          <w:szCs w:val="28"/>
        </w:rPr>
        <w:t>offshore</w:t>
      </w:r>
      <w:r w:rsidR="0027301E">
        <w:rPr>
          <w:rFonts w:cstheme="minorHAnsi"/>
          <w:sz w:val="28"/>
          <w:szCs w:val="28"/>
        </w:rPr>
        <w:t xml:space="preserve"> enrolment growth </w:t>
      </w:r>
      <w:r w:rsidR="005C5AEB">
        <w:rPr>
          <w:rFonts w:cstheme="minorHAnsi"/>
          <w:sz w:val="28"/>
          <w:szCs w:val="28"/>
        </w:rPr>
        <w:t xml:space="preserve">cannot be directly linked to </w:t>
      </w:r>
      <w:r w:rsidR="0027301E">
        <w:rPr>
          <w:rFonts w:cstheme="minorHAnsi"/>
          <w:sz w:val="28"/>
          <w:szCs w:val="28"/>
        </w:rPr>
        <w:t xml:space="preserve">negative enrolment in </w:t>
      </w:r>
      <w:r>
        <w:rPr>
          <w:rFonts w:cstheme="minorHAnsi"/>
          <w:sz w:val="28"/>
          <w:szCs w:val="28"/>
        </w:rPr>
        <w:t>onshore</w:t>
      </w:r>
      <w:r w:rsidR="0027301E">
        <w:rPr>
          <w:rFonts w:cstheme="minorHAnsi"/>
          <w:sz w:val="28"/>
          <w:szCs w:val="28"/>
        </w:rPr>
        <w:t xml:space="preserve"> enrolments, this does not mean that </w:t>
      </w:r>
      <w:r>
        <w:rPr>
          <w:rFonts w:cstheme="minorHAnsi"/>
          <w:sz w:val="28"/>
          <w:szCs w:val="28"/>
        </w:rPr>
        <w:t>onshore</w:t>
      </w:r>
      <w:r w:rsidR="0027301E">
        <w:rPr>
          <w:rFonts w:cstheme="minorHAnsi"/>
          <w:sz w:val="28"/>
          <w:szCs w:val="28"/>
        </w:rPr>
        <w:t xml:space="preserve"> enrolments would not have been higher still in the absence of alternative </w:t>
      </w:r>
      <w:r>
        <w:rPr>
          <w:rFonts w:cstheme="minorHAnsi"/>
          <w:sz w:val="28"/>
          <w:szCs w:val="28"/>
        </w:rPr>
        <w:t>offshore</w:t>
      </w:r>
      <w:r w:rsidR="0027301E">
        <w:rPr>
          <w:rFonts w:cstheme="minorHAnsi"/>
          <w:sz w:val="28"/>
          <w:szCs w:val="28"/>
        </w:rPr>
        <w:t xml:space="preserve"> provision. </w:t>
      </w:r>
      <w:r w:rsidR="00E92571">
        <w:rPr>
          <w:rFonts w:cstheme="minorHAnsi"/>
          <w:sz w:val="28"/>
          <w:szCs w:val="28"/>
        </w:rPr>
        <w:t xml:space="preserve">And thirdly, </w:t>
      </w:r>
      <w:r w:rsidR="0027301E">
        <w:rPr>
          <w:rFonts w:cstheme="minorHAnsi"/>
          <w:sz w:val="28"/>
          <w:szCs w:val="28"/>
        </w:rPr>
        <w:t>the analysis</w:t>
      </w:r>
      <w:r w:rsidR="00627EC1">
        <w:rPr>
          <w:rFonts w:cstheme="minorHAnsi"/>
          <w:sz w:val="28"/>
          <w:szCs w:val="28"/>
        </w:rPr>
        <w:t xml:space="preserve"> is limited to observing </w:t>
      </w:r>
      <w:r w:rsidR="0027301E">
        <w:rPr>
          <w:rFonts w:cstheme="minorHAnsi"/>
          <w:sz w:val="28"/>
          <w:szCs w:val="28"/>
        </w:rPr>
        <w:t xml:space="preserve">trends in </w:t>
      </w:r>
      <w:r>
        <w:rPr>
          <w:rFonts w:cstheme="minorHAnsi"/>
          <w:sz w:val="28"/>
          <w:szCs w:val="28"/>
        </w:rPr>
        <w:t>offshore</w:t>
      </w:r>
      <w:r w:rsidR="0027301E">
        <w:rPr>
          <w:rFonts w:cstheme="minorHAnsi"/>
          <w:sz w:val="28"/>
          <w:szCs w:val="28"/>
        </w:rPr>
        <w:t xml:space="preserve"> and </w:t>
      </w:r>
      <w:r>
        <w:rPr>
          <w:rFonts w:cstheme="minorHAnsi"/>
          <w:sz w:val="28"/>
          <w:szCs w:val="28"/>
        </w:rPr>
        <w:t>offshore</w:t>
      </w:r>
      <w:r w:rsidR="0027301E">
        <w:rPr>
          <w:rFonts w:cstheme="minorHAnsi"/>
          <w:sz w:val="28"/>
          <w:szCs w:val="28"/>
        </w:rPr>
        <w:t xml:space="preserve"> enrolments for each </w:t>
      </w:r>
      <w:r w:rsidR="005C5AEB">
        <w:rPr>
          <w:rFonts w:cstheme="minorHAnsi"/>
          <w:sz w:val="28"/>
          <w:szCs w:val="28"/>
        </w:rPr>
        <w:t xml:space="preserve">provider </w:t>
      </w:r>
      <w:r w:rsidR="0027301E">
        <w:rPr>
          <w:rFonts w:cstheme="minorHAnsi"/>
          <w:sz w:val="28"/>
          <w:szCs w:val="28"/>
        </w:rPr>
        <w:t xml:space="preserve">country </w:t>
      </w:r>
      <w:r w:rsidR="00627EC1">
        <w:rPr>
          <w:rFonts w:cstheme="minorHAnsi"/>
          <w:sz w:val="28"/>
          <w:szCs w:val="28"/>
        </w:rPr>
        <w:t>in isolation</w:t>
      </w:r>
      <w:r w:rsidR="0027301E">
        <w:rPr>
          <w:rFonts w:cstheme="minorHAnsi"/>
          <w:sz w:val="28"/>
          <w:szCs w:val="28"/>
        </w:rPr>
        <w:t xml:space="preserve">. In countries such as Hong Kong </w:t>
      </w:r>
      <w:r w:rsidR="00627EC1">
        <w:rPr>
          <w:rFonts w:cstheme="minorHAnsi"/>
          <w:sz w:val="28"/>
          <w:szCs w:val="28"/>
        </w:rPr>
        <w:t xml:space="preserve">where there are </w:t>
      </w:r>
      <w:r w:rsidR="0027301E">
        <w:rPr>
          <w:rFonts w:cstheme="minorHAnsi"/>
          <w:sz w:val="28"/>
          <w:szCs w:val="28"/>
        </w:rPr>
        <w:t>large number</w:t>
      </w:r>
      <w:r w:rsidR="00627EC1">
        <w:rPr>
          <w:rFonts w:cstheme="minorHAnsi"/>
          <w:sz w:val="28"/>
          <w:szCs w:val="28"/>
        </w:rPr>
        <w:t>s</w:t>
      </w:r>
      <w:r w:rsidR="0027301E">
        <w:rPr>
          <w:rFonts w:cstheme="minorHAnsi"/>
          <w:sz w:val="28"/>
          <w:szCs w:val="28"/>
        </w:rPr>
        <w:t xml:space="preserve"> of overseas universities </w:t>
      </w:r>
      <w:r w:rsidR="005C5AEB">
        <w:rPr>
          <w:rFonts w:cstheme="minorHAnsi"/>
          <w:sz w:val="28"/>
          <w:szCs w:val="28"/>
        </w:rPr>
        <w:t xml:space="preserve">offering </w:t>
      </w:r>
      <w:r>
        <w:rPr>
          <w:rFonts w:cstheme="minorHAnsi"/>
          <w:sz w:val="28"/>
          <w:szCs w:val="28"/>
        </w:rPr>
        <w:t>offshore</w:t>
      </w:r>
      <w:r w:rsidR="00627EC1">
        <w:rPr>
          <w:rFonts w:cstheme="minorHAnsi"/>
          <w:sz w:val="28"/>
          <w:szCs w:val="28"/>
        </w:rPr>
        <w:t xml:space="preserve"> courses </w:t>
      </w:r>
      <w:r w:rsidR="0027301E">
        <w:rPr>
          <w:rFonts w:cstheme="minorHAnsi"/>
          <w:sz w:val="28"/>
          <w:szCs w:val="28"/>
        </w:rPr>
        <w:t xml:space="preserve">from </w:t>
      </w:r>
      <w:r w:rsidR="00627EC1">
        <w:rPr>
          <w:rFonts w:cstheme="minorHAnsi"/>
          <w:sz w:val="28"/>
          <w:szCs w:val="28"/>
        </w:rPr>
        <w:t xml:space="preserve">the </w:t>
      </w:r>
      <w:r w:rsidR="0027301E">
        <w:rPr>
          <w:rFonts w:cstheme="minorHAnsi"/>
          <w:sz w:val="28"/>
          <w:szCs w:val="28"/>
        </w:rPr>
        <w:t xml:space="preserve">UK, Australia, </w:t>
      </w:r>
      <w:r w:rsidR="00627EC1">
        <w:rPr>
          <w:rFonts w:cstheme="minorHAnsi"/>
          <w:sz w:val="28"/>
          <w:szCs w:val="28"/>
        </w:rPr>
        <w:t>US and elsewhere,</w:t>
      </w:r>
      <w:r w:rsidR="0027301E">
        <w:rPr>
          <w:rFonts w:cstheme="minorHAnsi"/>
          <w:sz w:val="28"/>
          <w:szCs w:val="28"/>
        </w:rPr>
        <w:t xml:space="preserve"> it is the </w:t>
      </w:r>
      <w:r w:rsidR="005C5AEB">
        <w:rPr>
          <w:rFonts w:cstheme="minorHAnsi"/>
          <w:sz w:val="28"/>
          <w:szCs w:val="28"/>
        </w:rPr>
        <w:t xml:space="preserve">multiple </w:t>
      </w:r>
      <w:r w:rsidR="0027301E">
        <w:rPr>
          <w:rFonts w:cstheme="minorHAnsi"/>
          <w:sz w:val="28"/>
          <w:szCs w:val="28"/>
        </w:rPr>
        <w:t>impact</w:t>
      </w:r>
      <w:r w:rsidR="005C5AEB">
        <w:rPr>
          <w:rFonts w:cstheme="minorHAnsi"/>
          <w:sz w:val="28"/>
          <w:szCs w:val="28"/>
        </w:rPr>
        <w:t>s</w:t>
      </w:r>
      <w:r w:rsidR="0027301E">
        <w:rPr>
          <w:rFonts w:cstheme="minorHAnsi"/>
          <w:sz w:val="28"/>
          <w:szCs w:val="28"/>
        </w:rPr>
        <w:t xml:space="preserve"> of this </w:t>
      </w:r>
      <w:r w:rsidR="00627EC1">
        <w:rPr>
          <w:rFonts w:cstheme="minorHAnsi"/>
          <w:sz w:val="28"/>
          <w:szCs w:val="28"/>
        </w:rPr>
        <w:t xml:space="preserve">overall </w:t>
      </w:r>
      <w:r w:rsidR="0027301E">
        <w:rPr>
          <w:rFonts w:cstheme="minorHAnsi"/>
          <w:sz w:val="28"/>
          <w:szCs w:val="28"/>
        </w:rPr>
        <w:t xml:space="preserve">expansion of </w:t>
      </w:r>
      <w:r>
        <w:rPr>
          <w:rFonts w:cstheme="minorHAnsi"/>
          <w:sz w:val="28"/>
          <w:szCs w:val="28"/>
        </w:rPr>
        <w:t>offshore</w:t>
      </w:r>
      <w:r w:rsidR="0027301E">
        <w:rPr>
          <w:rFonts w:cstheme="minorHAnsi"/>
          <w:sz w:val="28"/>
          <w:szCs w:val="28"/>
        </w:rPr>
        <w:t xml:space="preserve"> provision on </w:t>
      </w:r>
      <w:r>
        <w:rPr>
          <w:rFonts w:cstheme="minorHAnsi"/>
          <w:sz w:val="28"/>
          <w:szCs w:val="28"/>
        </w:rPr>
        <w:t>onshore</w:t>
      </w:r>
      <w:r w:rsidR="00627EC1">
        <w:rPr>
          <w:rFonts w:cstheme="minorHAnsi"/>
          <w:sz w:val="28"/>
          <w:szCs w:val="28"/>
        </w:rPr>
        <w:t xml:space="preserve"> provision in each</w:t>
      </w:r>
      <w:r w:rsidR="0027301E">
        <w:rPr>
          <w:rFonts w:cstheme="minorHAnsi"/>
          <w:sz w:val="28"/>
          <w:szCs w:val="28"/>
        </w:rPr>
        <w:t xml:space="preserve"> country </w:t>
      </w:r>
      <w:r w:rsidR="00627EC1">
        <w:rPr>
          <w:rFonts w:cstheme="minorHAnsi"/>
          <w:sz w:val="28"/>
          <w:szCs w:val="28"/>
        </w:rPr>
        <w:t xml:space="preserve">that </w:t>
      </w:r>
      <w:r w:rsidR="0027301E">
        <w:rPr>
          <w:rFonts w:cstheme="minorHAnsi"/>
          <w:sz w:val="28"/>
          <w:szCs w:val="28"/>
        </w:rPr>
        <w:t xml:space="preserve">enrols students from Hong Kong that needs to be </w:t>
      </w:r>
      <w:r w:rsidR="00627EC1">
        <w:rPr>
          <w:rFonts w:cstheme="minorHAnsi"/>
          <w:sz w:val="28"/>
          <w:szCs w:val="28"/>
        </w:rPr>
        <w:t xml:space="preserve">analysed, and not </w:t>
      </w:r>
      <w:r w:rsidR="00E92571">
        <w:rPr>
          <w:rFonts w:cstheme="minorHAnsi"/>
          <w:sz w:val="28"/>
          <w:szCs w:val="28"/>
        </w:rPr>
        <w:t>just</w:t>
      </w:r>
      <w:r w:rsidR="00D55ACD">
        <w:rPr>
          <w:rFonts w:cstheme="minorHAnsi"/>
          <w:sz w:val="28"/>
          <w:szCs w:val="28"/>
        </w:rPr>
        <w:t>, therefore, for</w:t>
      </w:r>
      <w:r w:rsidR="00E92571">
        <w:rPr>
          <w:rFonts w:cstheme="minorHAnsi"/>
          <w:sz w:val="28"/>
          <w:szCs w:val="28"/>
        </w:rPr>
        <w:t xml:space="preserve"> </w:t>
      </w:r>
      <w:r w:rsidR="00627EC1">
        <w:rPr>
          <w:rFonts w:cstheme="minorHAnsi"/>
          <w:sz w:val="28"/>
          <w:szCs w:val="28"/>
        </w:rPr>
        <w:t>individual countries such as the UK or Australia.</w:t>
      </w:r>
      <w:r w:rsidR="005C5AEB">
        <w:rPr>
          <w:rFonts w:cstheme="minorHAnsi"/>
          <w:sz w:val="28"/>
          <w:szCs w:val="28"/>
        </w:rPr>
        <w:t xml:space="preserve"> For example, this expansion might mean that the number of Hong Kong students in Germany, which has no </w:t>
      </w:r>
      <w:r>
        <w:rPr>
          <w:rFonts w:cstheme="minorHAnsi"/>
          <w:sz w:val="28"/>
          <w:szCs w:val="28"/>
        </w:rPr>
        <w:t>offshore</w:t>
      </w:r>
      <w:r w:rsidR="005C5AEB">
        <w:rPr>
          <w:rFonts w:cstheme="minorHAnsi"/>
          <w:sz w:val="28"/>
          <w:szCs w:val="28"/>
        </w:rPr>
        <w:t xml:space="preserve"> provision in Hong Kong, decreases. </w:t>
      </w:r>
      <w:r w:rsidR="00627EC1">
        <w:rPr>
          <w:rFonts w:cstheme="minorHAnsi"/>
          <w:sz w:val="28"/>
          <w:szCs w:val="28"/>
        </w:rPr>
        <w:t xml:space="preserve"> </w:t>
      </w:r>
      <w:r w:rsidR="0027301E">
        <w:rPr>
          <w:rFonts w:cstheme="minorHAnsi"/>
          <w:sz w:val="28"/>
          <w:szCs w:val="28"/>
        </w:rPr>
        <w:t xml:space="preserve">   </w:t>
      </w:r>
      <w:r w:rsidR="00F63819">
        <w:rPr>
          <w:rFonts w:cstheme="minorHAnsi"/>
          <w:sz w:val="28"/>
          <w:szCs w:val="28"/>
        </w:rPr>
        <w:t xml:space="preserve"> </w:t>
      </w:r>
    </w:p>
    <w:p w14:paraId="62EAEECD" w14:textId="1FDDF38D" w:rsidR="00F63819" w:rsidRDefault="001C5734" w:rsidP="000A31FC">
      <w:pPr>
        <w:jc w:val="both"/>
        <w:rPr>
          <w:rFonts w:cstheme="minorHAnsi"/>
          <w:sz w:val="28"/>
          <w:szCs w:val="28"/>
        </w:rPr>
      </w:pPr>
      <w:r>
        <w:rPr>
          <w:rFonts w:cstheme="minorHAnsi"/>
          <w:sz w:val="28"/>
          <w:szCs w:val="28"/>
        </w:rPr>
        <w:t xml:space="preserve">Significantly, neither study analyses the relative costs of </w:t>
      </w:r>
      <w:r w:rsidR="0031077B">
        <w:rPr>
          <w:rFonts w:cstheme="minorHAnsi"/>
          <w:sz w:val="28"/>
          <w:szCs w:val="28"/>
        </w:rPr>
        <w:t>onshore</w:t>
      </w:r>
      <w:r>
        <w:rPr>
          <w:rFonts w:cstheme="minorHAnsi"/>
          <w:sz w:val="28"/>
          <w:szCs w:val="28"/>
        </w:rPr>
        <w:t xml:space="preserve"> and </w:t>
      </w:r>
      <w:r w:rsidR="0031077B">
        <w:rPr>
          <w:rFonts w:cstheme="minorHAnsi"/>
          <w:sz w:val="28"/>
          <w:szCs w:val="28"/>
        </w:rPr>
        <w:t>offshore</w:t>
      </w:r>
      <w:r>
        <w:rPr>
          <w:rFonts w:cstheme="minorHAnsi"/>
          <w:sz w:val="28"/>
          <w:szCs w:val="28"/>
        </w:rPr>
        <w:t xml:space="preserve"> provision as well as the role of government policy in both home </w:t>
      </w:r>
      <w:r w:rsidR="0031077B">
        <w:rPr>
          <w:rFonts w:cstheme="minorHAnsi"/>
          <w:sz w:val="28"/>
          <w:szCs w:val="28"/>
        </w:rPr>
        <w:t>and recipient countries which are</w:t>
      </w:r>
      <w:r>
        <w:rPr>
          <w:rFonts w:cstheme="minorHAnsi"/>
          <w:sz w:val="28"/>
          <w:szCs w:val="28"/>
        </w:rPr>
        <w:t xml:space="preserve"> likely to be the </w:t>
      </w:r>
      <w:r w:rsidR="0031077B">
        <w:rPr>
          <w:rFonts w:cstheme="minorHAnsi"/>
          <w:sz w:val="28"/>
          <w:szCs w:val="28"/>
        </w:rPr>
        <w:t xml:space="preserve">very important </w:t>
      </w:r>
      <w:r>
        <w:rPr>
          <w:rFonts w:cstheme="minorHAnsi"/>
          <w:sz w:val="28"/>
          <w:szCs w:val="28"/>
        </w:rPr>
        <w:t>factor</w:t>
      </w:r>
      <w:r w:rsidR="0031077B">
        <w:rPr>
          <w:rFonts w:cstheme="minorHAnsi"/>
          <w:sz w:val="28"/>
          <w:szCs w:val="28"/>
        </w:rPr>
        <w:t>s</w:t>
      </w:r>
      <w:r>
        <w:rPr>
          <w:rFonts w:cstheme="minorHAnsi"/>
          <w:sz w:val="28"/>
          <w:szCs w:val="28"/>
        </w:rPr>
        <w:t xml:space="preserve"> in shaping provision relationships.</w:t>
      </w:r>
      <w:r w:rsidR="00156332">
        <w:rPr>
          <w:rFonts w:cstheme="minorHAnsi"/>
          <w:sz w:val="28"/>
          <w:szCs w:val="28"/>
        </w:rPr>
        <w:t xml:space="preserve"> Nor has any analysis looked at the possible relationships between the three main forms of </w:t>
      </w:r>
      <w:r w:rsidR="0031077B">
        <w:rPr>
          <w:rFonts w:cstheme="minorHAnsi"/>
          <w:sz w:val="28"/>
          <w:szCs w:val="28"/>
        </w:rPr>
        <w:t>offshore</w:t>
      </w:r>
      <w:r w:rsidR="00156332">
        <w:rPr>
          <w:rFonts w:cstheme="minorHAnsi"/>
          <w:sz w:val="28"/>
          <w:szCs w:val="28"/>
        </w:rPr>
        <w:t xml:space="preserve"> provision (collaborative, distance learning and branch campus) which may also affect the overall relationships between </w:t>
      </w:r>
      <w:r w:rsidR="0031077B">
        <w:rPr>
          <w:rFonts w:cstheme="minorHAnsi"/>
          <w:sz w:val="28"/>
          <w:szCs w:val="28"/>
        </w:rPr>
        <w:t>onshore</w:t>
      </w:r>
      <w:r w:rsidR="00156332">
        <w:rPr>
          <w:rFonts w:cstheme="minorHAnsi"/>
          <w:sz w:val="28"/>
          <w:szCs w:val="28"/>
        </w:rPr>
        <w:t xml:space="preserve"> and </w:t>
      </w:r>
      <w:r w:rsidR="0031077B">
        <w:rPr>
          <w:rFonts w:cstheme="minorHAnsi"/>
          <w:sz w:val="28"/>
          <w:szCs w:val="28"/>
        </w:rPr>
        <w:t>offshore</w:t>
      </w:r>
      <w:r w:rsidR="00156332">
        <w:rPr>
          <w:rFonts w:cstheme="minorHAnsi"/>
          <w:sz w:val="28"/>
          <w:szCs w:val="28"/>
        </w:rPr>
        <w:t xml:space="preserve"> provision.</w:t>
      </w:r>
    </w:p>
    <w:p w14:paraId="4ACD5A5E" w14:textId="77777777" w:rsidR="004B7172" w:rsidRDefault="004B7172">
      <w:pPr>
        <w:spacing w:after="160" w:line="259" w:lineRule="auto"/>
        <w:rPr>
          <w:rFonts w:cstheme="minorHAnsi"/>
          <w:b/>
          <w:sz w:val="28"/>
          <w:szCs w:val="28"/>
        </w:rPr>
      </w:pPr>
      <w:r>
        <w:rPr>
          <w:rFonts w:cstheme="minorHAnsi"/>
          <w:b/>
          <w:sz w:val="28"/>
          <w:szCs w:val="28"/>
        </w:rPr>
        <w:br w:type="page"/>
      </w:r>
    </w:p>
    <w:p w14:paraId="05156816" w14:textId="6DED7C7B" w:rsidR="00054F26" w:rsidRPr="00054F26" w:rsidRDefault="00054F26" w:rsidP="000A31FC">
      <w:pPr>
        <w:jc w:val="both"/>
        <w:rPr>
          <w:rFonts w:cstheme="minorHAnsi"/>
          <w:b/>
          <w:sz w:val="28"/>
          <w:szCs w:val="28"/>
        </w:rPr>
      </w:pPr>
      <w:r w:rsidRPr="00054F26">
        <w:rPr>
          <w:rFonts w:cstheme="minorHAnsi"/>
          <w:b/>
          <w:sz w:val="28"/>
          <w:szCs w:val="28"/>
        </w:rPr>
        <w:lastRenderedPageBreak/>
        <w:t xml:space="preserve">2.2 </w:t>
      </w:r>
      <w:r w:rsidR="00D55ACD">
        <w:rPr>
          <w:rFonts w:cstheme="minorHAnsi"/>
          <w:b/>
          <w:sz w:val="28"/>
          <w:szCs w:val="28"/>
        </w:rPr>
        <w:t>COMPLEMENTARY RELATIONSHIPS</w:t>
      </w:r>
    </w:p>
    <w:p w14:paraId="4FAF7B91" w14:textId="45688934" w:rsidR="006A4703" w:rsidRPr="000A31FC" w:rsidRDefault="006A4703" w:rsidP="000A31FC">
      <w:pPr>
        <w:jc w:val="both"/>
        <w:rPr>
          <w:rFonts w:cstheme="minorHAnsi"/>
          <w:sz w:val="28"/>
          <w:szCs w:val="28"/>
        </w:rPr>
      </w:pPr>
      <w:r w:rsidRPr="000A31FC">
        <w:rPr>
          <w:rFonts w:cstheme="minorHAnsi"/>
          <w:sz w:val="28"/>
          <w:szCs w:val="28"/>
        </w:rPr>
        <w:t xml:space="preserve">Relatively little </w:t>
      </w:r>
      <w:r w:rsidR="001C795E">
        <w:rPr>
          <w:rFonts w:cstheme="minorHAnsi"/>
          <w:sz w:val="28"/>
          <w:szCs w:val="28"/>
        </w:rPr>
        <w:t xml:space="preserve">analytical </w:t>
      </w:r>
      <w:r w:rsidRPr="000A31FC">
        <w:rPr>
          <w:rFonts w:cstheme="minorHAnsi"/>
          <w:sz w:val="28"/>
          <w:szCs w:val="28"/>
        </w:rPr>
        <w:t xml:space="preserve">attention has been given to the existence of complementary relationships. Two types of complementarity are discussed in this article namely, provision externalities and joint-products. The most likely externalities arise from positive and negative branding effects. These can work one way or both ways. With regard to positive branding effects, demand for the </w:t>
      </w:r>
      <w:r w:rsidR="0031077B">
        <w:rPr>
          <w:rFonts w:cstheme="minorHAnsi"/>
          <w:sz w:val="28"/>
          <w:szCs w:val="28"/>
        </w:rPr>
        <w:t>offshore</w:t>
      </w:r>
      <w:r w:rsidRPr="000A31FC">
        <w:rPr>
          <w:rFonts w:cstheme="minorHAnsi"/>
          <w:sz w:val="28"/>
          <w:szCs w:val="28"/>
        </w:rPr>
        <w:t xml:space="preserve"> courses offered in a particular overseas country is, ceteris paribus, likely to be that greater the higher the reputation and status of the home university. At the same time, high quality provision in the </w:t>
      </w:r>
      <w:r w:rsidR="0031077B">
        <w:rPr>
          <w:rFonts w:cstheme="minorHAnsi"/>
          <w:sz w:val="28"/>
          <w:szCs w:val="28"/>
        </w:rPr>
        <w:t>offshore</w:t>
      </w:r>
      <w:r w:rsidRPr="000A31FC">
        <w:rPr>
          <w:rFonts w:cstheme="minorHAnsi"/>
          <w:sz w:val="28"/>
          <w:szCs w:val="28"/>
        </w:rPr>
        <w:t xml:space="preserve"> country could boost the numbers of overseas, </w:t>
      </w:r>
      <w:r w:rsidR="0031077B">
        <w:rPr>
          <w:rFonts w:cstheme="minorHAnsi"/>
          <w:sz w:val="28"/>
          <w:szCs w:val="28"/>
        </w:rPr>
        <w:t>onshore</w:t>
      </w:r>
      <w:r w:rsidRPr="000A31FC">
        <w:rPr>
          <w:rFonts w:cstheme="minorHAnsi"/>
          <w:sz w:val="28"/>
          <w:szCs w:val="28"/>
        </w:rPr>
        <w:t xml:space="preserve"> students from that country enrolling at the home university. Relationships of this complementary type are in Quadrant 2 in Figure 1. </w:t>
      </w:r>
      <w:r w:rsidR="00765E92">
        <w:rPr>
          <w:rFonts w:cstheme="minorHAnsi"/>
          <w:sz w:val="28"/>
          <w:szCs w:val="28"/>
        </w:rPr>
        <w:t>Conversely, br</w:t>
      </w:r>
      <w:r w:rsidRPr="000A31FC">
        <w:rPr>
          <w:rFonts w:cstheme="minorHAnsi"/>
          <w:sz w:val="28"/>
          <w:szCs w:val="28"/>
        </w:rPr>
        <w:t xml:space="preserve">anding effects could also be negative </w:t>
      </w:r>
      <w:r w:rsidR="00765E92">
        <w:rPr>
          <w:rFonts w:cstheme="minorHAnsi"/>
          <w:sz w:val="28"/>
          <w:szCs w:val="28"/>
        </w:rPr>
        <w:t xml:space="preserve">with low and declining reputation levels of </w:t>
      </w:r>
      <w:r w:rsidR="0031077B">
        <w:rPr>
          <w:rFonts w:cstheme="minorHAnsi"/>
          <w:sz w:val="28"/>
          <w:szCs w:val="28"/>
        </w:rPr>
        <w:t>offshore</w:t>
      </w:r>
      <w:r w:rsidR="00765E92">
        <w:rPr>
          <w:rFonts w:cstheme="minorHAnsi"/>
          <w:sz w:val="28"/>
          <w:szCs w:val="28"/>
        </w:rPr>
        <w:t xml:space="preserve"> courses offered by one or more universities from a particular overseas country leading to fewer students from that country attending these universities </w:t>
      </w:r>
      <w:r w:rsidR="009A70C8">
        <w:rPr>
          <w:rFonts w:cstheme="minorHAnsi"/>
          <w:sz w:val="28"/>
          <w:szCs w:val="28"/>
        </w:rPr>
        <w:t>(quadrant 3</w:t>
      </w:r>
      <w:r w:rsidRPr="000A31FC">
        <w:rPr>
          <w:rFonts w:cstheme="minorHAnsi"/>
          <w:sz w:val="28"/>
          <w:szCs w:val="28"/>
        </w:rPr>
        <w:t xml:space="preserve">). </w:t>
      </w:r>
    </w:p>
    <w:p w14:paraId="5318AA27" w14:textId="6C90402C" w:rsidR="00EA0C77" w:rsidRDefault="006A4703" w:rsidP="00054F26">
      <w:pPr>
        <w:jc w:val="both"/>
        <w:rPr>
          <w:rFonts w:cstheme="minorHAnsi"/>
          <w:sz w:val="28"/>
          <w:szCs w:val="28"/>
        </w:rPr>
      </w:pPr>
      <w:r w:rsidRPr="00054F26">
        <w:rPr>
          <w:rFonts w:cstheme="minorHAnsi"/>
          <w:sz w:val="28"/>
          <w:szCs w:val="28"/>
        </w:rPr>
        <w:t xml:space="preserve">The other major kind of complementary relationship is when </w:t>
      </w:r>
      <w:r w:rsidR="0031077B">
        <w:rPr>
          <w:rFonts w:cstheme="minorHAnsi"/>
          <w:sz w:val="28"/>
          <w:szCs w:val="28"/>
        </w:rPr>
        <w:t>offshore</w:t>
      </w:r>
      <w:r w:rsidRPr="00054F26">
        <w:rPr>
          <w:rFonts w:cstheme="minorHAnsi"/>
          <w:sz w:val="28"/>
          <w:szCs w:val="28"/>
        </w:rPr>
        <w:t xml:space="preserve"> and </w:t>
      </w:r>
      <w:r w:rsidR="0031077B">
        <w:rPr>
          <w:rFonts w:cstheme="minorHAnsi"/>
          <w:sz w:val="28"/>
          <w:szCs w:val="28"/>
        </w:rPr>
        <w:t>onshore</w:t>
      </w:r>
      <w:r w:rsidRPr="00054F26">
        <w:rPr>
          <w:rFonts w:cstheme="minorHAnsi"/>
          <w:sz w:val="28"/>
          <w:szCs w:val="28"/>
        </w:rPr>
        <w:t xml:space="preserve"> provision are offered as a joint-product. Articulation and progression courses where students begin their degree courses overseas and then complete them at the home university are the most common joint-products.</w:t>
      </w:r>
      <w:r w:rsidR="00EA0C77">
        <w:rPr>
          <w:rFonts w:cstheme="minorHAnsi"/>
          <w:sz w:val="28"/>
          <w:szCs w:val="28"/>
        </w:rPr>
        <w:t xml:space="preserve"> </w:t>
      </w:r>
      <w:r w:rsidR="00D55ACD">
        <w:rPr>
          <w:rFonts w:cstheme="minorHAnsi"/>
          <w:sz w:val="28"/>
          <w:szCs w:val="28"/>
        </w:rPr>
        <w:t>A report</w:t>
      </w:r>
      <w:r w:rsidR="00EA0C77">
        <w:rPr>
          <w:rFonts w:cstheme="minorHAnsi"/>
          <w:sz w:val="28"/>
          <w:szCs w:val="28"/>
        </w:rPr>
        <w:t xml:space="preserve"> by the UK Higher Education Council conclude that a one-third of </w:t>
      </w:r>
      <w:r w:rsidR="0031077B">
        <w:rPr>
          <w:rFonts w:cstheme="minorHAnsi"/>
          <w:sz w:val="28"/>
          <w:szCs w:val="28"/>
        </w:rPr>
        <w:t>onshore</w:t>
      </w:r>
      <w:r w:rsidR="00EA0C77">
        <w:rPr>
          <w:rFonts w:cstheme="minorHAnsi"/>
          <w:sz w:val="28"/>
          <w:szCs w:val="28"/>
        </w:rPr>
        <w:t xml:space="preserve"> overseas students in the UK first enrolled for these degree courses in their own country as part of </w:t>
      </w:r>
      <w:r w:rsidR="0031077B">
        <w:rPr>
          <w:rFonts w:cstheme="minorHAnsi"/>
          <w:sz w:val="28"/>
          <w:szCs w:val="28"/>
        </w:rPr>
        <w:t>offshore</w:t>
      </w:r>
      <w:r w:rsidR="00D55ACD">
        <w:rPr>
          <w:rFonts w:cstheme="minorHAnsi"/>
          <w:sz w:val="28"/>
          <w:szCs w:val="28"/>
        </w:rPr>
        <w:t xml:space="preserve"> provision (HEFCE, </w:t>
      </w:r>
      <w:r w:rsidR="00EA0C77">
        <w:rPr>
          <w:rFonts w:cstheme="minorHAnsi"/>
          <w:sz w:val="28"/>
          <w:szCs w:val="28"/>
        </w:rPr>
        <w:t xml:space="preserve">2015). </w:t>
      </w:r>
      <w:r w:rsidR="0031077B">
        <w:rPr>
          <w:rFonts w:cstheme="minorHAnsi"/>
          <w:sz w:val="28"/>
          <w:szCs w:val="28"/>
        </w:rPr>
        <w:t>However, a</w:t>
      </w:r>
      <w:r w:rsidR="00EA0C77">
        <w:rPr>
          <w:rFonts w:cstheme="minorHAnsi"/>
          <w:sz w:val="28"/>
          <w:szCs w:val="28"/>
        </w:rPr>
        <w:t>s will discussed later, this is likely</w:t>
      </w:r>
      <w:r w:rsidR="00E67709">
        <w:rPr>
          <w:rFonts w:cstheme="minorHAnsi"/>
          <w:sz w:val="28"/>
          <w:szCs w:val="28"/>
        </w:rPr>
        <w:t xml:space="preserve"> to be an </w:t>
      </w:r>
      <w:r w:rsidR="00EA0C77">
        <w:rPr>
          <w:rFonts w:cstheme="minorHAnsi"/>
          <w:sz w:val="28"/>
          <w:szCs w:val="28"/>
        </w:rPr>
        <w:t>over-estimation of the size of this group.</w:t>
      </w:r>
    </w:p>
    <w:p w14:paraId="5D8856C2" w14:textId="5D083007" w:rsidR="004F3E98" w:rsidRPr="00054F26" w:rsidRDefault="006A4703" w:rsidP="00054F26">
      <w:pPr>
        <w:jc w:val="both"/>
        <w:rPr>
          <w:rFonts w:cstheme="minorHAnsi"/>
          <w:sz w:val="28"/>
          <w:szCs w:val="28"/>
        </w:rPr>
      </w:pPr>
      <w:r w:rsidRPr="00054F26">
        <w:rPr>
          <w:rFonts w:cstheme="minorHAnsi"/>
          <w:sz w:val="28"/>
          <w:szCs w:val="28"/>
        </w:rPr>
        <w:t xml:space="preserve">   </w:t>
      </w:r>
    </w:p>
    <w:p w14:paraId="5CBB5D9A" w14:textId="02075C8B" w:rsidR="006B52B5" w:rsidRPr="004B7172" w:rsidRDefault="00943108" w:rsidP="007E1312">
      <w:pPr>
        <w:pStyle w:val="ListParagraph"/>
        <w:numPr>
          <w:ilvl w:val="0"/>
          <w:numId w:val="1"/>
        </w:numPr>
        <w:jc w:val="both"/>
        <w:rPr>
          <w:rFonts w:cstheme="minorHAnsi"/>
          <w:b/>
          <w:sz w:val="32"/>
          <w:szCs w:val="32"/>
        </w:rPr>
      </w:pPr>
      <w:r w:rsidRPr="004B7172">
        <w:rPr>
          <w:rFonts w:cstheme="minorHAnsi"/>
          <w:b/>
          <w:sz w:val="32"/>
          <w:szCs w:val="32"/>
        </w:rPr>
        <w:t>DATA AND METHODOLOGY</w:t>
      </w:r>
    </w:p>
    <w:p w14:paraId="3577C58A" w14:textId="1B02C818" w:rsidR="00C535A0" w:rsidRDefault="00C535A0" w:rsidP="006B52B5">
      <w:pPr>
        <w:pStyle w:val="ListParagraph"/>
        <w:jc w:val="both"/>
        <w:rPr>
          <w:rFonts w:cstheme="minorHAnsi"/>
          <w:sz w:val="28"/>
          <w:szCs w:val="28"/>
        </w:rPr>
      </w:pPr>
      <w:r w:rsidRPr="006B52B5">
        <w:rPr>
          <w:rFonts w:cstheme="minorHAnsi"/>
          <w:sz w:val="28"/>
          <w:szCs w:val="28"/>
        </w:rPr>
        <w:t xml:space="preserve"> </w:t>
      </w:r>
    </w:p>
    <w:p w14:paraId="45600634" w14:textId="77777777" w:rsidR="006B52B5" w:rsidRPr="006B52B5" w:rsidRDefault="006B52B5" w:rsidP="006B52B5">
      <w:pPr>
        <w:pStyle w:val="ListParagraph"/>
        <w:numPr>
          <w:ilvl w:val="1"/>
          <w:numId w:val="1"/>
        </w:numPr>
        <w:jc w:val="both"/>
        <w:rPr>
          <w:rFonts w:cstheme="minorHAnsi"/>
          <w:b/>
          <w:sz w:val="28"/>
          <w:szCs w:val="28"/>
        </w:rPr>
      </w:pPr>
      <w:r w:rsidRPr="006B52B5">
        <w:rPr>
          <w:rFonts w:cstheme="minorHAnsi"/>
          <w:b/>
          <w:sz w:val="28"/>
          <w:szCs w:val="28"/>
        </w:rPr>
        <w:t>DATA SOURCES</w:t>
      </w:r>
    </w:p>
    <w:p w14:paraId="52A423AE" w14:textId="50541E4B" w:rsidR="0058447A" w:rsidRDefault="006B52B5" w:rsidP="00C535A0">
      <w:pPr>
        <w:jc w:val="both"/>
        <w:rPr>
          <w:rFonts w:cstheme="minorHAnsi"/>
          <w:sz w:val="28"/>
          <w:szCs w:val="28"/>
        </w:rPr>
      </w:pPr>
      <w:r>
        <w:rPr>
          <w:rFonts w:cstheme="minorHAnsi"/>
          <w:sz w:val="28"/>
          <w:szCs w:val="28"/>
        </w:rPr>
        <w:t xml:space="preserve">The analysis in this paper </w:t>
      </w:r>
      <w:r w:rsidR="0001449E">
        <w:rPr>
          <w:rFonts w:cstheme="minorHAnsi"/>
          <w:sz w:val="28"/>
          <w:szCs w:val="28"/>
        </w:rPr>
        <w:t xml:space="preserve">mainly </w:t>
      </w:r>
      <w:r>
        <w:rPr>
          <w:rFonts w:cstheme="minorHAnsi"/>
          <w:sz w:val="28"/>
          <w:szCs w:val="28"/>
        </w:rPr>
        <w:t xml:space="preserve">relies on information on overseas student onshore and </w:t>
      </w:r>
      <w:r w:rsidR="0031077B">
        <w:rPr>
          <w:rFonts w:cstheme="minorHAnsi"/>
          <w:sz w:val="28"/>
          <w:szCs w:val="28"/>
        </w:rPr>
        <w:t>offshore</w:t>
      </w:r>
      <w:r>
        <w:rPr>
          <w:rFonts w:cstheme="minorHAnsi"/>
          <w:sz w:val="28"/>
          <w:szCs w:val="28"/>
        </w:rPr>
        <w:t xml:space="preserve"> enrolments submitted annually</w:t>
      </w:r>
      <w:r w:rsidR="00C31A86">
        <w:rPr>
          <w:rFonts w:cstheme="minorHAnsi"/>
          <w:sz w:val="28"/>
          <w:szCs w:val="28"/>
        </w:rPr>
        <w:t xml:space="preserve"> (as a legal requirement) </w:t>
      </w:r>
      <w:r>
        <w:rPr>
          <w:rFonts w:cstheme="minorHAnsi"/>
          <w:sz w:val="28"/>
          <w:szCs w:val="28"/>
        </w:rPr>
        <w:t xml:space="preserve">by every </w:t>
      </w:r>
      <w:r w:rsidR="0001449E">
        <w:rPr>
          <w:rFonts w:cstheme="minorHAnsi"/>
          <w:sz w:val="28"/>
          <w:szCs w:val="28"/>
        </w:rPr>
        <w:t xml:space="preserve">UK </w:t>
      </w:r>
      <w:r>
        <w:rPr>
          <w:rFonts w:cstheme="minorHAnsi"/>
          <w:sz w:val="28"/>
          <w:szCs w:val="28"/>
        </w:rPr>
        <w:t>university to the Higher Education Statistics Agency (HESA).  Detailed information on onshore overseas students ha</w:t>
      </w:r>
      <w:r w:rsidR="00C31A86">
        <w:rPr>
          <w:rFonts w:cstheme="minorHAnsi"/>
          <w:sz w:val="28"/>
          <w:szCs w:val="28"/>
        </w:rPr>
        <w:t>s been collected since the mid-</w:t>
      </w:r>
      <w:r>
        <w:rPr>
          <w:rFonts w:cstheme="minorHAnsi"/>
          <w:sz w:val="28"/>
          <w:szCs w:val="28"/>
        </w:rPr>
        <w:t xml:space="preserve">1990s. However, </w:t>
      </w:r>
      <w:r w:rsidR="00C535A0" w:rsidRPr="00F83903">
        <w:rPr>
          <w:rFonts w:cstheme="minorHAnsi"/>
          <w:sz w:val="28"/>
          <w:szCs w:val="28"/>
        </w:rPr>
        <w:t xml:space="preserve">HESA </w:t>
      </w:r>
      <w:r>
        <w:rPr>
          <w:rFonts w:cstheme="minorHAnsi"/>
          <w:sz w:val="28"/>
          <w:szCs w:val="28"/>
        </w:rPr>
        <w:t xml:space="preserve">only started to request </w:t>
      </w:r>
      <w:r w:rsidR="00C535A0" w:rsidRPr="00F83903">
        <w:rPr>
          <w:rFonts w:cstheme="minorHAnsi"/>
          <w:sz w:val="28"/>
          <w:szCs w:val="28"/>
        </w:rPr>
        <w:t xml:space="preserve">basic data on </w:t>
      </w:r>
      <w:r w:rsidR="0031077B">
        <w:rPr>
          <w:rFonts w:cstheme="minorHAnsi"/>
          <w:sz w:val="28"/>
          <w:szCs w:val="28"/>
        </w:rPr>
        <w:t>offshore</w:t>
      </w:r>
      <w:r w:rsidR="00C535A0" w:rsidRPr="00F83903">
        <w:rPr>
          <w:rFonts w:cstheme="minorHAnsi"/>
          <w:sz w:val="28"/>
          <w:szCs w:val="28"/>
        </w:rPr>
        <w:t xml:space="preserve"> </w:t>
      </w:r>
      <w:r>
        <w:rPr>
          <w:rFonts w:cstheme="minorHAnsi"/>
          <w:sz w:val="28"/>
          <w:szCs w:val="28"/>
        </w:rPr>
        <w:lastRenderedPageBreak/>
        <w:t xml:space="preserve">enrolments in </w:t>
      </w:r>
      <w:r w:rsidR="00C535A0" w:rsidRPr="00F83903">
        <w:rPr>
          <w:rFonts w:cstheme="minorHAnsi"/>
          <w:sz w:val="28"/>
          <w:szCs w:val="28"/>
        </w:rPr>
        <w:t>2007/2008. As part of this ‘Aggregat</w:t>
      </w:r>
      <w:r w:rsidR="00260DBC">
        <w:rPr>
          <w:rFonts w:cstheme="minorHAnsi"/>
          <w:sz w:val="28"/>
          <w:szCs w:val="28"/>
        </w:rPr>
        <w:t xml:space="preserve">e </w:t>
      </w:r>
      <w:r w:rsidR="0031077B">
        <w:rPr>
          <w:rFonts w:cstheme="minorHAnsi"/>
          <w:sz w:val="28"/>
          <w:szCs w:val="28"/>
        </w:rPr>
        <w:t>Offshore</w:t>
      </w:r>
      <w:r w:rsidR="00260DBC">
        <w:rPr>
          <w:rFonts w:cstheme="minorHAnsi"/>
          <w:sz w:val="28"/>
          <w:szCs w:val="28"/>
        </w:rPr>
        <w:t xml:space="preserve"> Record’ (AOR), each </w:t>
      </w:r>
      <w:r w:rsidR="00C535A0" w:rsidRPr="00F83903">
        <w:rPr>
          <w:rFonts w:cstheme="minorHAnsi"/>
          <w:sz w:val="28"/>
          <w:szCs w:val="28"/>
        </w:rPr>
        <w:t>UK university provide</w:t>
      </w:r>
      <w:r w:rsidR="00C31A86">
        <w:rPr>
          <w:rFonts w:cstheme="minorHAnsi"/>
          <w:sz w:val="28"/>
          <w:szCs w:val="28"/>
        </w:rPr>
        <w:t>s</w:t>
      </w:r>
      <w:r w:rsidR="00C535A0" w:rsidRPr="00F83903">
        <w:rPr>
          <w:rFonts w:cstheme="minorHAnsi"/>
          <w:sz w:val="28"/>
          <w:szCs w:val="28"/>
        </w:rPr>
        <w:t xml:space="preserve"> (annually) enrolment figures by type of </w:t>
      </w:r>
      <w:r w:rsidR="0031077B">
        <w:rPr>
          <w:rFonts w:cstheme="minorHAnsi"/>
          <w:sz w:val="28"/>
          <w:szCs w:val="28"/>
        </w:rPr>
        <w:t>offshore</w:t>
      </w:r>
      <w:r>
        <w:rPr>
          <w:rFonts w:cstheme="minorHAnsi"/>
          <w:sz w:val="28"/>
          <w:szCs w:val="28"/>
        </w:rPr>
        <w:t xml:space="preserve"> </w:t>
      </w:r>
      <w:r w:rsidR="00C535A0" w:rsidRPr="00F83903">
        <w:rPr>
          <w:rFonts w:cstheme="minorHAnsi"/>
          <w:sz w:val="28"/>
          <w:szCs w:val="28"/>
        </w:rPr>
        <w:t xml:space="preserve">provision and qualification level for every overseas country where it has </w:t>
      </w:r>
      <w:r w:rsidR="0031077B">
        <w:rPr>
          <w:rFonts w:cstheme="minorHAnsi"/>
          <w:sz w:val="28"/>
          <w:szCs w:val="28"/>
        </w:rPr>
        <w:t>offshore</w:t>
      </w:r>
      <w:r w:rsidR="00C535A0" w:rsidRPr="00F83903">
        <w:rPr>
          <w:rFonts w:cstheme="minorHAnsi"/>
          <w:sz w:val="28"/>
          <w:szCs w:val="28"/>
        </w:rPr>
        <w:t xml:space="preserve"> students</w:t>
      </w:r>
      <w:r>
        <w:rPr>
          <w:rFonts w:cstheme="minorHAnsi"/>
          <w:sz w:val="28"/>
          <w:szCs w:val="28"/>
        </w:rPr>
        <w:t>.</w:t>
      </w:r>
      <w:r w:rsidR="00C535A0" w:rsidRPr="00F83903">
        <w:rPr>
          <w:rFonts w:cstheme="minorHAnsi"/>
          <w:sz w:val="28"/>
          <w:szCs w:val="28"/>
        </w:rPr>
        <w:t xml:space="preserve">    </w:t>
      </w:r>
    </w:p>
    <w:p w14:paraId="549447E6" w14:textId="79EECC2B" w:rsidR="00E7354A" w:rsidRDefault="0058447A" w:rsidP="00C535A0">
      <w:pPr>
        <w:jc w:val="both"/>
        <w:rPr>
          <w:rFonts w:cstheme="minorHAnsi"/>
          <w:sz w:val="28"/>
          <w:szCs w:val="28"/>
        </w:rPr>
      </w:pPr>
      <w:r>
        <w:rPr>
          <w:rFonts w:cstheme="minorHAnsi"/>
          <w:sz w:val="28"/>
          <w:szCs w:val="28"/>
        </w:rPr>
        <w:t>B</w:t>
      </w:r>
      <w:r w:rsidR="00C535A0" w:rsidRPr="00F83903">
        <w:rPr>
          <w:rFonts w:cstheme="minorHAnsi"/>
          <w:sz w:val="28"/>
          <w:szCs w:val="28"/>
        </w:rPr>
        <w:t xml:space="preserve">espoke requests were made to HESA for the full AOR data set for every year since 2007/08 as well as information on the numbers of </w:t>
      </w:r>
      <w:r w:rsidR="001C795E">
        <w:rPr>
          <w:rFonts w:cstheme="minorHAnsi"/>
          <w:sz w:val="28"/>
          <w:szCs w:val="28"/>
        </w:rPr>
        <w:t xml:space="preserve">full-time </w:t>
      </w:r>
      <w:r w:rsidR="00C535A0" w:rsidRPr="00F83903">
        <w:rPr>
          <w:rFonts w:cstheme="minorHAnsi"/>
          <w:sz w:val="28"/>
          <w:szCs w:val="28"/>
        </w:rPr>
        <w:t xml:space="preserve">onshore overseas students enrolled </w:t>
      </w:r>
      <w:r w:rsidR="001C795E">
        <w:rPr>
          <w:rFonts w:cstheme="minorHAnsi"/>
          <w:sz w:val="28"/>
          <w:szCs w:val="28"/>
        </w:rPr>
        <w:t>a</w:t>
      </w:r>
      <w:r w:rsidR="00C535A0" w:rsidRPr="00F83903">
        <w:rPr>
          <w:rFonts w:cstheme="minorHAnsi"/>
          <w:sz w:val="28"/>
          <w:szCs w:val="28"/>
        </w:rPr>
        <w:t xml:space="preserve">t each UK university </w:t>
      </w:r>
      <w:r>
        <w:rPr>
          <w:rFonts w:cstheme="minorHAnsi"/>
          <w:sz w:val="28"/>
          <w:szCs w:val="28"/>
        </w:rPr>
        <w:t>broken down by country of domicile for three years</w:t>
      </w:r>
      <w:r w:rsidR="00C31A86">
        <w:rPr>
          <w:rFonts w:cstheme="minorHAnsi"/>
          <w:sz w:val="28"/>
          <w:szCs w:val="28"/>
        </w:rPr>
        <w:t>,</w:t>
      </w:r>
      <w:r>
        <w:rPr>
          <w:rFonts w:cstheme="minorHAnsi"/>
          <w:sz w:val="28"/>
          <w:szCs w:val="28"/>
        </w:rPr>
        <w:t xml:space="preserve"> 2011/12, 2013/14 and 2015/16</w:t>
      </w:r>
      <w:r>
        <w:rPr>
          <w:rStyle w:val="FootnoteReference"/>
          <w:rFonts w:cstheme="minorHAnsi"/>
          <w:sz w:val="28"/>
          <w:szCs w:val="28"/>
        </w:rPr>
        <w:footnoteReference w:id="1"/>
      </w:r>
      <w:r>
        <w:rPr>
          <w:rFonts w:cstheme="minorHAnsi"/>
          <w:sz w:val="28"/>
          <w:szCs w:val="28"/>
        </w:rPr>
        <w:t xml:space="preserve">. Information was also provided by HESA on the number of overseas onshore </w:t>
      </w:r>
      <w:r w:rsidR="00C535A0" w:rsidRPr="00F83903">
        <w:rPr>
          <w:rFonts w:cstheme="minorHAnsi"/>
          <w:sz w:val="28"/>
          <w:szCs w:val="28"/>
        </w:rPr>
        <w:t xml:space="preserve">students </w:t>
      </w:r>
      <w:r>
        <w:rPr>
          <w:rFonts w:cstheme="minorHAnsi"/>
          <w:sz w:val="28"/>
          <w:szCs w:val="28"/>
        </w:rPr>
        <w:t xml:space="preserve">who were studying in the UK in each of three years as part </w:t>
      </w:r>
      <w:r w:rsidR="00C535A0" w:rsidRPr="00F83903">
        <w:rPr>
          <w:rFonts w:cstheme="minorHAnsi"/>
          <w:sz w:val="28"/>
          <w:szCs w:val="28"/>
        </w:rPr>
        <w:t xml:space="preserve">of </w:t>
      </w:r>
      <w:r w:rsidR="0031077B">
        <w:rPr>
          <w:rFonts w:cstheme="minorHAnsi"/>
          <w:sz w:val="28"/>
          <w:szCs w:val="28"/>
        </w:rPr>
        <w:t>offshore</w:t>
      </w:r>
      <w:r>
        <w:rPr>
          <w:rFonts w:cstheme="minorHAnsi"/>
          <w:sz w:val="28"/>
          <w:szCs w:val="28"/>
        </w:rPr>
        <w:t xml:space="preserve"> </w:t>
      </w:r>
      <w:r w:rsidR="00C535A0" w:rsidRPr="00F83903">
        <w:rPr>
          <w:rFonts w:cstheme="minorHAnsi"/>
          <w:sz w:val="28"/>
          <w:szCs w:val="28"/>
        </w:rPr>
        <w:t>articulation/</w:t>
      </w:r>
      <w:r w:rsidR="00C535A0">
        <w:rPr>
          <w:rFonts w:cstheme="minorHAnsi"/>
          <w:sz w:val="28"/>
          <w:szCs w:val="28"/>
        </w:rPr>
        <w:t xml:space="preserve"> </w:t>
      </w:r>
      <w:r w:rsidR="00C535A0" w:rsidRPr="00F83903">
        <w:rPr>
          <w:rFonts w:cstheme="minorHAnsi"/>
          <w:sz w:val="28"/>
          <w:szCs w:val="28"/>
        </w:rPr>
        <w:t>progression/advanced arrangements with overseas partners</w:t>
      </w:r>
      <w:r w:rsidR="0036019A">
        <w:rPr>
          <w:rFonts w:cstheme="minorHAnsi"/>
          <w:sz w:val="28"/>
          <w:szCs w:val="28"/>
        </w:rPr>
        <w:t xml:space="preserve"> (see below)</w:t>
      </w:r>
      <w:r w:rsidR="00C535A0" w:rsidRPr="00F83903">
        <w:rPr>
          <w:rFonts w:cstheme="minorHAnsi"/>
          <w:sz w:val="28"/>
          <w:szCs w:val="28"/>
        </w:rPr>
        <w:t>.</w:t>
      </w:r>
    </w:p>
    <w:p w14:paraId="5D2BA936" w14:textId="0F39BF21" w:rsidR="00E7354A" w:rsidRPr="00F83903" w:rsidRDefault="00E7354A" w:rsidP="00E7354A">
      <w:pPr>
        <w:jc w:val="both"/>
        <w:rPr>
          <w:rFonts w:cstheme="minorHAnsi"/>
          <w:sz w:val="28"/>
          <w:szCs w:val="28"/>
        </w:rPr>
      </w:pPr>
      <w:r>
        <w:rPr>
          <w:rFonts w:cstheme="minorHAnsi"/>
          <w:sz w:val="28"/>
          <w:szCs w:val="28"/>
        </w:rPr>
        <w:t xml:space="preserve">With a few minor exceptions, enrolments of both onshore and </w:t>
      </w:r>
      <w:r w:rsidR="0031077B">
        <w:rPr>
          <w:rFonts w:cstheme="minorHAnsi"/>
          <w:sz w:val="28"/>
          <w:szCs w:val="28"/>
        </w:rPr>
        <w:t>offshore</w:t>
      </w:r>
      <w:r>
        <w:rPr>
          <w:rFonts w:cstheme="minorHAnsi"/>
          <w:sz w:val="28"/>
          <w:szCs w:val="28"/>
        </w:rPr>
        <w:t xml:space="preserve"> </w:t>
      </w:r>
      <w:r w:rsidRPr="00F83903">
        <w:rPr>
          <w:rFonts w:cstheme="minorHAnsi"/>
          <w:sz w:val="28"/>
          <w:szCs w:val="28"/>
        </w:rPr>
        <w:t xml:space="preserve">students appear to be accurately reported to HESA at both the individual university and country level.  </w:t>
      </w:r>
    </w:p>
    <w:p w14:paraId="532A200F" w14:textId="279EA08D" w:rsidR="00943108" w:rsidRPr="007E1312" w:rsidRDefault="007E1312" w:rsidP="007E1312">
      <w:pPr>
        <w:pStyle w:val="ListParagraph"/>
        <w:numPr>
          <w:ilvl w:val="1"/>
          <w:numId w:val="1"/>
        </w:numPr>
        <w:jc w:val="both"/>
        <w:rPr>
          <w:rFonts w:cstheme="minorHAnsi"/>
          <w:b/>
          <w:sz w:val="28"/>
          <w:szCs w:val="28"/>
        </w:rPr>
      </w:pPr>
      <w:r>
        <w:rPr>
          <w:rFonts w:cstheme="minorHAnsi"/>
          <w:b/>
          <w:sz w:val="28"/>
          <w:szCs w:val="28"/>
        </w:rPr>
        <w:t xml:space="preserve">TYPES OF </w:t>
      </w:r>
      <w:r w:rsidR="0031077B">
        <w:rPr>
          <w:rFonts w:cstheme="minorHAnsi"/>
          <w:b/>
          <w:sz w:val="28"/>
          <w:szCs w:val="28"/>
        </w:rPr>
        <w:t>OFFSHORE</w:t>
      </w:r>
      <w:r>
        <w:rPr>
          <w:rFonts w:cstheme="minorHAnsi"/>
          <w:b/>
          <w:sz w:val="28"/>
          <w:szCs w:val="28"/>
        </w:rPr>
        <w:t xml:space="preserve"> </w:t>
      </w:r>
      <w:r w:rsidR="0058447A" w:rsidRPr="007E1312">
        <w:rPr>
          <w:rFonts w:cstheme="minorHAnsi"/>
          <w:b/>
          <w:sz w:val="28"/>
          <w:szCs w:val="28"/>
        </w:rPr>
        <w:t xml:space="preserve">PROVISION </w:t>
      </w:r>
    </w:p>
    <w:p w14:paraId="057C2550" w14:textId="13F4246F" w:rsidR="0001449E" w:rsidRPr="0001449E" w:rsidRDefault="004B7172" w:rsidP="00C535A0">
      <w:pPr>
        <w:jc w:val="both"/>
        <w:rPr>
          <w:rFonts w:cstheme="minorHAnsi"/>
          <w:b/>
          <w:sz w:val="28"/>
          <w:szCs w:val="28"/>
        </w:rPr>
      </w:pPr>
      <w:r>
        <w:rPr>
          <w:rFonts w:cstheme="minorHAnsi"/>
          <w:b/>
          <w:sz w:val="28"/>
          <w:szCs w:val="28"/>
        </w:rPr>
        <w:t>3</w:t>
      </w:r>
      <w:r w:rsidR="0001449E" w:rsidRPr="0001449E">
        <w:rPr>
          <w:rFonts w:cstheme="minorHAnsi"/>
          <w:b/>
          <w:sz w:val="28"/>
          <w:szCs w:val="28"/>
        </w:rPr>
        <w:t xml:space="preserve">.2.1 HESA </w:t>
      </w:r>
      <w:r w:rsidR="0031077B">
        <w:rPr>
          <w:rFonts w:cstheme="minorHAnsi"/>
          <w:b/>
          <w:sz w:val="28"/>
          <w:szCs w:val="28"/>
        </w:rPr>
        <w:t>offshore</w:t>
      </w:r>
      <w:r w:rsidR="0001449E" w:rsidRPr="0001449E">
        <w:rPr>
          <w:rFonts w:cstheme="minorHAnsi"/>
          <w:b/>
          <w:sz w:val="28"/>
          <w:szCs w:val="28"/>
        </w:rPr>
        <w:t xml:space="preserve"> categories</w:t>
      </w:r>
    </w:p>
    <w:p w14:paraId="3EF818C2" w14:textId="174231CA" w:rsidR="00C535A0" w:rsidRPr="00F83903" w:rsidRDefault="00C535A0" w:rsidP="00C535A0">
      <w:pPr>
        <w:jc w:val="both"/>
        <w:rPr>
          <w:rFonts w:cstheme="minorHAnsi"/>
          <w:sz w:val="28"/>
          <w:szCs w:val="28"/>
        </w:rPr>
      </w:pPr>
      <w:r w:rsidRPr="00F83903">
        <w:rPr>
          <w:rFonts w:cstheme="minorHAnsi"/>
          <w:sz w:val="28"/>
          <w:szCs w:val="28"/>
        </w:rPr>
        <w:t xml:space="preserve">HESA classifies </w:t>
      </w:r>
      <w:r w:rsidR="0031077B">
        <w:rPr>
          <w:rFonts w:cstheme="minorHAnsi"/>
          <w:sz w:val="28"/>
          <w:szCs w:val="28"/>
        </w:rPr>
        <w:t>offshore</w:t>
      </w:r>
      <w:r w:rsidRPr="00F83903">
        <w:rPr>
          <w:rFonts w:cstheme="minorHAnsi"/>
          <w:sz w:val="28"/>
          <w:szCs w:val="28"/>
        </w:rPr>
        <w:t xml:space="preserve"> provision </w:t>
      </w:r>
      <w:r w:rsidR="0036019A">
        <w:rPr>
          <w:rFonts w:cstheme="minorHAnsi"/>
          <w:sz w:val="28"/>
          <w:szCs w:val="28"/>
        </w:rPr>
        <w:t xml:space="preserve">according to </w:t>
      </w:r>
      <w:r w:rsidRPr="00F83903">
        <w:rPr>
          <w:rFonts w:cstheme="minorHAnsi"/>
          <w:sz w:val="28"/>
          <w:szCs w:val="28"/>
        </w:rPr>
        <w:t>the following main categories:</w:t>
      </w:r>
    </w:p>
    <w:p w14:paraId="4EDAA4B1" w14:textId="77777777" w:rsidR="00C535A0" w:rsidRPr="00F83903" w:rsidRDefault="00C535A0" w:rsidP="00C535A0">
      <w:pPr>
        <w:pStyle w:val="ListParagraph"/>
        <w:numPr>
          <w:ilvl w:val="0"/>
          <w:numId w:val="2"/>
        </w:numPr>
        <w:jc w:val="both"/>
        <w:rPr>
          <w:rFonts w:cstheme="minorHAnsi"/>
          <w:sz w:val="28"/>
          <w:szCs w:val="28"/>
        </w:rPr>
      </w:pPr>
      <w:r w:rsidRPr="00F83903">
        <w:rPr>
          <w:rFonts w:cstheme="minorHAnsi"/>
          <w:sz w:val="28"/>
          <w:szCs w:val="28"/>
        </w:rPr>
        <w:t>Overseas branch campus (OBC) set up and wholly owned by a UK university (‘reporting provider’) and, as such, ‘it is seen as no different from any other campus of the provider’.</w:t>
      </w:r>
    </w:p>
    <w:p w14:paraId="34ECE874" w14:textId="38A2619E" w:rsidR="00C535A0" w:rsidRPr="00F83903" w:rsidRDefault="0036019A" w:rsidP="00C535A0">
      <w:pPr>
        <w:pStyle w:val="ListParagraph"/>
        <w:numPr>
          <w:ilvl w:val="0"/>
          <w:numId w:val="2"/>
        </w:numPr>
        <w:jc w:val="both"/>
        <w:rPr>
          <w:rFonts w:cstheme="minorHAnsi"/>
          <w:sz w:val="28"/>
          <w:szCs w:val="28"/>
        </w:rPr>
      </w:pPr>
      <w:r>
        <w:rPr>
          <w:rFonts w:cstheme="minorHAnsi"/>
          <w:sz w:val="28"/>
          <w:szCs w:val="28"/>
        </w:rPr>
        <w:t>Overseas d</w:t>
      </w:r>
      <w:r w:rsidR="00C535A0" w:rsidRPr="00F83903">
        <w:rPr>
          <w:rFonts w:cstheme="minorHAnsi"/>
          <w:sz w:val="28"/>
          <w:szCs w:val="28"/>
        </w:rPr>
        <w:t>istance, flexible or distributed learning (</w:t>
      </w:r>
      <w:r>
        <w:rPr>
          <w:rFonts w:cstheme="minorHAnsi"/>
          <w:sz w:val="28"/>
          <w:szCs w:val="28"/>
        </w:rPr>
        <w:t>O</w:t>
      </w:r>
      <w:r w:rsidR="00C535A0" w:rsidRPr="00F83903">
        <w:rPr>
          <w:rFonts w:cstheme="minorHAnsi"/>
          <w:sz w:val="28"/>
          <w:szCs w:val="28"/>
        </w:rPr>
        <w:t>DL) which ‘generally do not require the student to attend particular classes or events at particular times and particular locations’.</w:t>
      </w:r>
    </w:p>
    <w:p w14:paraId="7F9E6EEC" w14:textId="77777777" w:rsidR="00C535A0" w:rsidRPr="00F83903" w:rsidRDefault="00C535A0" w:rsidP="00C535A0">
      <w:pPr>
        <w:pStyle w:val="ListParagraph"/>
        <w:numPr>
          <w:ilvl w:val="0"/>
          <w:numId w:val="2"/>
        </w:numPr>
        <w:jc w:val="both"/>
        <w:rPr>
          <w:rFonts w:cstheme="minorHAnsi"/>
          <w:sz w:val="28"/>
          <w:szCs w:val="28"/>
        </w:rPr>
      </w:pPr>
      <w:r w:rsidRPr="00F83903">
        <w:rPr>
          <w:rFonts w:cstheme="minorHAnsi"/>
          <w:sz w:val="28"/>
          <w:szCs w:val="28"/>
        </w:rPr>
        <w:t>Overseas collaborative/franchised provision which denotes provision ‘leading to an award of an awarding provider delivered and/or assessed through an arrangement with an overseas partner organisation’.</w:t>
      </w:r>
    </w:p>
    <w:p w14:paraId="7C124A31" w14:textId="77777777" w:rsidR="00C535A0" w:rsidRPr="00F83903" w:rsidRDefault="00C535A0" w:rsidP="00C535A0">
      <w:pPr>
        <w:pStyle w:val="ListParagraph"/>
        <w:numPr>
          <w:ilvl w:val="0"/>
          <w:numId w:val="2"/>
        </w:numPr>
        <w:jc w:val="both"/>
        <w:rPr>
          <w:rFonts w:cstheme="minorHAnsi"/>
          <w:sz w:val="28"/>
          <w:szCs w:val="28"/>
        </w:rPr>
      </w:pPr>
      <w:r w:rsidRPr="00F83903">
        <w:rPr>
          <w:rFonts w:cstheme="minorHAnsi"/>
          <w:sz w:val="28"/>
          <w:szCs w:val="28"/>
        </w:rPr>
        <w:t>Students studying for an award of a UK university</w:t>
      </w:r>
      <w:r>
        <w:rPr>
          <w:rFonts w:cstheme="minorHAnsi"/>
          <w:sz w:val="28"/>
          <w:szCs w:val="28"/>
        </w:rPr>
        <w:t xml:space="preserve"> who are not registered with this </w:t>
      </w:r>
      <w:r w:rsidRPr="00F83903">
        <w:rPr>
          <w:rFonts w:cstheme="minorHAnsi"/>
          <w:sz w:val="28"/>
          <w:szCs w:val="28"/>
        </w:rPr>
        <w:t xml:space="preserve">university i.e. they are studying for an award at an overseas education/training institution that has been validated by the UK university. The main difference between franchised and validated degrees </w:t>
      </w:r>
      <w:r w:rsidRPr="00F83903">
        <w:rPr>
          <w:rFonts w:cstheme="minorHAnsi"/>
          <w:sz w:val="28"/>
          <w:szCs w:val="28"/>
        </w:rPr>
        <w:lastRenderedPageBreak/>
        <w:t xml:space="preserve">is that, for the latter type of degrees, the overseas partner does not follow the curriculum of the UK university. </w:t>
      </w:r>
    </w:p>
    <w:p w14:paraId="0C642200" w14:textId="7F88231B" w:rsidR="0001449E" w:rsidRDefault="004B7172" w:rsidP="00505BD6">
      <w:pPr>
        <w:jc w:val="both"/>
        <w:rPr>
          <w:rFonts w:cstheme="minorHAnsi"/>
          <w:sz w:val="28"/>
          <w:szCs w:val="28"/>
        </w:rPr>
      </w:pPr>
      <w:r>
        <w:rPr>
          <w:rFonts w:cstheme="minorHAnsi"/>
          <w:b/>
          <w:sz w:val="28"/>
          <w:szCs w:val="28"/>
        </w:rPr>
        <w:t>3</w:t>
      </w:r>
      <w:r w:rsidR="0001449E">
        <w:rPr>
          <w:rFonts w:cstheme="minorHAnsi"/>
          <w:b/>
          <w:sz w:val="28"/>
          <w:szCs w:val="28"/>
        </w:rPr>
        <w:t xml:space="preserve">.2.2 </w:t>
      </w:r>
      <w:r w:rsidR="00505BD6" w:rsidRPr="00E41C69">
        <w:rPr>
          <w:rFonts w:cstheme="minorHAnsi"/>
          <w:b/>
          <w:sz w:val="28"/>
          <w:szCs w:val="28"/>
        </w:rPr>
        <w:t>Articulation and progression</w:t>
      </w:r>
    </w:p>
    <w:p w14:paraId="55697065" w14:textId="257C7517" w:rsidR="00505BD6" w:rsidRPr="00E41C69" w:rsidRDefault="00505BD6" w:rsidP="00505BD6">
      <w:pPr>
        <w:jc w:val="both"/>
        <w:rPr>
          <w:rFonts w:cstheme="minorHAnsi"/>
          <w:sz w:val="28"/>
          <w:szCs w:val="28"/>
        </w:rPr>
      </w:pPr>
      <w:r w:rsidRPr="00E41C69">
        <w:rPr>
          <w:rFonts w:cstheme="minorHAnsi"/>
          <w:sz w:val="28"/>
          <w:szCs w:val="28"/>
        </w:rPr>
        <w:t xml:space="preserve">Articulation and progression courses </w:t>
      </w:r>
      <w:r>
        <w:rPr>
          <w:rFonts w:cstheme="minorHAnsi"/>
          <w:sz w:val="28"/>
          <w:szCs w:val="28"/>
        </w:rPr>
        <w:t>are an important su</w:t>
      </w:r>
      <w:r w:rsidR="0001449E">
        <w:rPr>
          <w:rFonts w:cstheme="minorHAnsi"/>
          <w:sz w:val="28"/>
          <w:szCs w:val="28"/>
        </w:rPr>
        <w:t>b-category of franchised course provision</w:t>
      </w:r>
      <w:r>
        <w:rPr>
          <w:rFonts w:cstheme="minorHAnsi"/>
          <w:sz w:val="28"/>
          <w:szCs w:val="28"/>
        </w:rPr>
        <w:t xml:space="preserve"> which </w:t>
      </w:r>
      <w:r w:rsidRPr="00E41C69">
        <w:rPr>
          <w:rFonts w:cstheme="minorHAnsi"/>
          <w:sz w:val="28"/>
          <w:szCs w:val="28"/>
        </w:rPr>
        <w:t>enable foreign students to enrol for the first one or two years of a UK university degree at an overseas partner and then complete their degree in the UK. These articulation arrangements grew rapidly in the 1990s when, especially in the aftermath of the 1998 Asian financial crisis, the Malaysian government could no longer afford to send what were large numbers of students to study full</w:t>
      </w:r>
      <w:r w:rsidR="0036019A">
        <w:rPr>
          <w:rFonts w:cstheme="minorHAnsi"/>
          <w:sz w:val="28"/>
          <w:szCs w:val="28"/>
        </w:rPr>
        <w:t>-</w:t>
      </w:r>
      <w:r w:rsidRPr="00E41C69">
        <w:rPr>
          <w:rFonts w:cstheme="minorHAnsi"/>
          <w:sz w:val="28"/>
          <w:szCs w:val="28"/>
        </w:rPr>
        <w:t xml:space="preserve">time at UK universities. </w:t>
      </w:r>
      <w:r w:rsidR="0036019A">
        <w:rPr>
          <w:rFonts w:cstheme="minorHAnsi"/>
          <w:sz w:val="28"/>
          <w:szCs w:val="28"/>
        </w:rPr>
        <w:t>Faced with this situation, m</w:t>
      </w:r>
      <w:r w:rsidRPr="00E41C69">
        <w:rPr>
          <w:rFonts w:cstheme="minorHAnsi"/>
          <w:sz w:val="28"/>
          <w:szCs w:val="28"/>
        </w:rPr>
        <w:t>ainly private</w:t>
      </w:r>
      <w:r w:rsidR="0036019A">
        <w:rPr>
          <w:rFonts w:cstheme="minorHAnsi"/>
          <w:sz w:val="28"/>
          <w:szCs w:val="28"/>
        </w:rPr>
        <w:t>/not-for-profit</w:t>
      </w:r>
      <w:r w:rsidRPr="00E41C69">
        <w:rPr>
          <w:rFonts w:cstheme="minorHAnsi"/>
          <w:sz w:val="28"/>
          <w:szCs w:val="28"/>
        </w:rPr>
        <w:t xml:space="preserve"> Malaysian universities stepped in and managed to negotiate articulation agreements with British universities, especially those which had become heavily reliant on Malaysian students.</w:t>
      </w:r>
      <w:r>
        <w:rPr>
          <w:rFonts w:cstheme="minorHAnsi"/>
          <w:sz w:val="28"/>
          <w:szCs w:val="28"/>
        </w:rPr>
        <w:t xml:space="preserve"> </w:t>
      </w:r>
    </w:p>
    <w:p w14:paraId="154D5291" w14:textId="77777777" w:rsidR="00505BD6" w:rsidRDefault="00505BD6" w:rsidP="00505BD6">
      <w:pPr>
        <w:jc w:val="both"/>
        <w:rPr>
          <w:rFonts w:cstheme="minorHAnsi"/>
          <w:sz w:val="28"/>
          <w:szCs w:val="28"/>
        </w:rPr>
      </w:pPr>
      <w:r w:rsidRPr="00E41C69">
        <w:rPr>
          <w:rFonts w:cstheme="minorHAnsi"/>
          <w:sz w:val="28"/>
          <w:szCs w:val="28"/>
        </w:rPr>
        <w:t xml:space="preserve">Information on overseas students studying in the UK as part of articulation and progression arrangements has been included in the HESA Individual Student Record since 2011/12. However, for reasons that are not clearly clear, the total reported numbers of articulation students of around 2,700 in </w:t>
      </w:r>
      <w:r>
        <w:rPr>
          <w:rFonts w:cstheme="minorHAnsi"/>
          <w:sz w:val="28"/>
          <w:szCs w:val="28"/>
        </w:rPr>
        <w:t xml:space="preserve">2013/14 and </w:t>
      </w:r>
      <w:r w:rsidRPr="00E41C69">
        <w:rPr>
          <w:rFonts w:cstheme="minorHAnsi"/>
          <w:sz w:val="28"/>
          <w:szCs w:val="28"/>
        </w:rPr>
        <w:t>2016/17 appear to be serious underestimates with many universities providing nil returns. As part of this study, therefore, all universities were requested (under the Freedom of Information Act) to furnish this information. Adjusting for the 13 universities who refused (for commercial reasons) or could not provide this information as well as the 34 universities which did not respond at all (despite being legally required to do so), the total number of non-EU overseas articulation students in the UK was in the region of 22,000</w:t>
      </w:r>
      <w:r>
        <w:rPr>
          <w:rFonts w:cstheme="minorHAnsi"/>
          <w:sz w:val="28"/>
          <w:szCs w:val="28"/>
        </w:rPr>
        <w:t xml:space="preserve"> in 2016/17.</w:t>
      </w:r>
    </w:p>
    <w:p w14:paraId="0DF50A82" w14:textId="386ADFB8" w:rsidR="00AB4E03" w:rsidRPr="0001449E" w:rsidRDefault="004B7172" w:rsidP="00505BD6">
      <w:pPr>
        <w:jc w:val="both"/>
        <w:rPr>
          <w:rFonts w:cstheme="minorHAnsi"/>
          <w:b/>
          <w:sz w:val="28"/>
          <w:szCs w:val="28"/>
        </w:rPr>
      </w:pPr>
      <w:r>
        <w:rPr>
          <w:rFonts w:cstheme="minorHAnsi"/>
          <w:b/>
          <w:sz w:val="28"/>
          <w:szCs w:val="28"/>
        </w:rPr>
        <w:t>3</w:t>
      </w:r>
      <w:r w:rsidR="00AB4E03" w:rsidRPr="0001449E">
        <w:rPr>
          <w:rFonts w:cstheme="minorHAnsi"/>
          <w:b/>
          <w:sz w:val="28"/>
          <w:szCs w:val="28"/>
        </w:rPr>
        <w:t>.3 UNIVERSITY CLASSIFICATION</w:t>
      </w:r>
    </w:p>
    <w:p w14:paraId="7406924B" w14:textId="6EC1D83D" w:rsidR="00C31A86" w:rsidRDefault="0036019A" w:rsidP="00C31A86">
      <w:pPr>
        <w:jc w:val="both"/>
        <w:rPr>
          <w:rFonts w:cstheme="minorHAnsi"/>
          <w:sz w:val="28"/>
          <w:szCs w:val="28"/>
        </w:rPr>
      </w:pPr>
      <w:r>
        <w:rPr>
          <w:rFonts w:cstheme="minorHAnsi"/>
          <w:sz w:val="28"/>
          <w:szCs w:val="28"/>
        </w:rPr>
        <w:t xml:space="preserve">For the purposes of this study, </w:t>
      </w:r>
      <w:r w:rsidR="00C31A86">
        <w:rPr>
          <w:rFonts w:cstheme="minorHAnsi"/>
          <w:sz w:val="28"/>
          <w:szCs w:val="28"/>
        </w:rPr>
        <w:t xml:space="preserve">UK universities have been categorised according to the following four historical groups: ancient (established pre-1800), redbrick (1800-1945), plate-glass (1946-1991) and ex-polytechnics and teacher training colleges (post-1991). While there are other university categorisations (Russell, </w:t>
      </w:r>
      <w:r w:rsidR="00C31A86">
        <w:rPr>
          <w:rFonts w:cstheme="minorHAnsi"/>
          <w:sz w:val="28"/>
          <w:szCs w:val="28"/>
        </w:rPr>
        <w:lastRenderedPageBreak/>
        <w:t>Alliance etc.), this simple fourfold grouping is the most appropriate for the purposes of this review</w:t>
      </w:r>
      <w:r w:rsidR="00DF22E1">
        <w:rPr>
          <w:rStyle w:val="FootnoteReference"/>
          <w:rFonts w:cstheme="minorHAnsi"/>
          <w:sz w:val="28"/>
          <w:szCs w:val="28"/>
        </w:rPr>
        <w:footnoteReference w:id="2"/>
      </w:r>
      <w:r w:rsidR="00C31A86">
        <w:rPr>
          <w:rFonts w:cstheme="minorHAnsi"/>
          <w:sz w:val="28"/>
          <w:szCs w:val="28"/>
        </w:rPr>
        <w:t>.</w:t>
      </w:r>
    </w:p>
    <w:p w14:paraId="01F524DE" w14:textId="77777777" w:rsidR="00D55ACD" w:rsidRDefault="00D55ACD" w:rsidP="000E41E9">
      <w:pPr>
        <w:jc w:val="both"/>
        <w:rPr>
          <w:rFonts w:cstheme="minorHAnsi"/>
          <w:b/>
          <w:sz w:val="32"/>
          <w:szCs w:val="32"/>
        </w:rPr>
      </w:pPr>
    </w:p>
    <w:p w14:paraId="672E9553" w14:textId="08EC6678" w:rsidR="00375262" w:rsidRPr="000E41E9" w:rsidRDefault="004B7172" w:rsidP="000E41E9">
      <w:pPr>
        <w:jc w:val="both"/>
        <w:rPr>
          <w:rFonts w:cstheme="minorHAnsi"/>
          <w:sz w:val="28"/>
          <w:szCs w:val="28"/>
        </w:rPr>
      </w:pPr>
      <w:r>
        <w:rPr>
          <w:rFonts w:cstheme="minorHAnsi"/>
          <w:b/>
          <w:sz w:val="32"/>
          <w:szCs w:val="32"/>
        </w:rPr>
        <w:t>4</w:t>
      </w:r>
      <w:r w:rsidR="000E41E9">
        <w:rPr>
          <w:rFonts w:cstheme="minorHAnsi"/>
          <w:b/>
          <w:sz w:val="32"/>
          <w:szCs w:val="32"/>
        </w:rPr>
        <w:t>.</w:t>
      </w:r>
      <w:r w:rsidR="0029080C">
        <w:rPr>
          <w:rFonts w:cstheme="minorHAnsi"/>
          <w:b/>
          <w:sz w:val="32"/>
          <w:szCs w:val="32"/>
        </w:rPr>
        <w:t xml:space="preserve"> </w:t>
      </w:r>
      <w:r w:rsidR="000E41E9" w:rsidRPr="000E41E9">
        <w:rPr>
          <w:rFonts w:cstheme="minorHAnsi"/>
          <w:b/>
          <w:sz w:val="32"/>
          <w:szCs w:val="32"/>
        </w:rPr>
        <w:t>OVERSEAS STUDENT ENROLMENTS: AN OVERVIEW</w:t>
      </w:r>
    </w:p>
    <w:p w14:paraId="0BD7FBE9" w14:textId="286392D5" w:rsidR="00F621CF" w:rsidRPr="00F621CF" w:rsidRDefault="004B7172" w:rsidP="00F621CF">
      <w:pPr>
        <w:jc w:val="both"/>
        <w:rPr>
          <w:rFonts w:cstheme="minorHAnsi"/>
          <w:b/>
          <w:sz w:val="28"/>
          <w:szCs w:val="28"/>
        </w:rPr>
      </w:pPr>
      <w:r>
        <w:rPr>
          <w:rFonts w:cstheme="minorHAnsi"/>
          <w:b/>
          <w:sz w:val="28"/>
          <w:szCs w:val="28"/>
        </w:rPr>
        <w:t>4</w:t>
      </w:r>
      <w:r w:rsidR="00F621CF" w:rsidRPr="00F621CF">
        <w:rPr>
          <w:rFonts w:cstheme="minorHAnsi"/>
          <w:b/>
          <w:sz w:val="28"/>
          <w:szCs w:val="28"/>
        </w:rPr>
        <w:t xml:space="preserve">.1 </w:t>
      </w:r>
      <w:r w:rsidR="000E41E9">
        <w:rPr>
          <w:rFonts w:cstheme="minorHAnsi"/>
          <w:b/>
          <w:sz w:val="28"/>
          <w:szCs w:val="28"/>
        </w:rPr>
        <w:t>ONSHORE OVERSEAS STUDENTS</w:t>
      </w:r>
    </w:p>
    <w:p w14:paraId="3DA727A4" w14:textId="37E2A7D7" w:rsidR="00775377" w:rsidRDefault="00B43615" w:rsidP="00F621CF">
      <w:pPr>
        <w:jc w:val="both"/>
        <w:rPr>
          <w:rFonts w:cstheme="minorHAnsi"/>
          <w:sz w:val="28"/>
          <w:szCs w:val="28"/>
        </w:rPr>
      </w:pPr>
      <w:r w:rsidRPr="00F621CF">
        <w:rPr>
          <w:rFonts w:cstheme="minorHAnsi"/>
          <w:sz w:val="28"/>
          <w:szCs w:val="28"/>
        </w:rPr>
        <w:t xml:space="preserve">Onshore overseas student enrolments at </w:t>
      </w:r>
      <w:r w:rsidR="00F621CF" w:rsidRPr="00F621CF">
        <w:rPr>
          <w:rFonts w:cstheme="minorHAnsi"/>
          <w:sz w:val="28"/>
          <w:szCs w:val="28"/>
        </w:rPr>
        <w:t xml:space="preserve">British </w:t>
      </w:r>
      <w:r w:rsidRPr="00F621CF">
        <w:rPr>
          <w:rFonts w:cstheme="minorHAnsi"/>
          <w:sz w:val="28"/>
          <w:szCs w:val="28"/>
        </w:rPr>
        <w:t xml:space="preserve">universities have </w:t>
      </w:r>
      <w:r w:rsidR="00C31A86" w:rsidRPr="00F621CF">
        <w:rPr>
          <w:rFonts w:cstheme="minorHAnsi"/>
          <w:sz w:val="28"/>
          <w:szCs w:val="28"/>
        </w:rPr>
        <w:t xml:space="preserve">more than </w:t>
      </w:r>
      <w:r w:rsidRPr="00F621CF">
        <w:rPr>
          <w:rFonts w:cstheme="minorHAnsi"/>
          <w:sz w:val="28"/>
          <w:szCs w:val="28"/>
        </w:rPr>
        <w:t xml:space="preserve">doubled </w:t>
      </w:r>
      <w:r w:rsidR="00CD36E6" w:rsidRPr="00F621CF">
        <w:rPr>
          <w:rFonts w:cstheme="minorHAnsi"/>
          <w:sz w:val="28"/>
          <w:szCs w:val="28"/>
        </w:rPr>
        <w:t xml:space="preserve">since the mid-1990s </w:t>
      </w:r>
      <w:r w:rsidRPr="00F621CF">
        <w:rPr>
          <w:rFonts w:cstheme="minorHAnsi"/>
          <w:sz w:val="28"/>
          <w:szCs w:val="28"/>
        </w:rPr>
        <w:t>– from 198,000 in 1996/</w:t>
      </w:r>
      <w:r w:rsidR="00C31A86" w:rsidRPr="00F621CF">
        <w:rPr>
          <w:rFonts w:cstheme="minorHAnsi"/>
          <w:sz w:val="28"/>
          <w:szCs w:val="28"/>
        </w:rPr>
        <w:t>7 to 458</w:t>
      </w:r>
      <w:r w:rsidRPr="00F621CF">
        <w:rPr>
          <w:rFonts w:cstheme="minorHAnsi"/>
          <w:sz w:val="28"/>
          <w:szCs w:val="28"/>
        </w:rPr>
        <w:t>,</w:t>
      </w:r>
      <w:r w:rsidR="004F6AC2" w:rsidRPr="00F621CF">
        <w:rPr>
          <w:rFonts w:cstheme="minorHAnsi"/>
          <w:sz w:val="28"/>
          <w:szCs w:val="28"/>
        </w:rPr>
        <w:t>000</w:t>
      </w:r>
      <w:r w:rsidR="00C31A86" w:rsidRPr="00F621CF">
        <w:rPr>
          <w:rFonts w:cstheme="minorHAnsi"/>
          <w:sz w:val="28"/>
          <w:szCs w:val="28"/>
        </w:rPr>
        <w:t xml:space="preserve"> in 2017/18</w:t>
      </w:r>
      <w:r w:rsidRPr="00F621CF">
        <w:rPr>
          <w:rFonts w:cstheme="minorHAnsi"/>
          <w:sz w:val="28"/>
          <w:szCs w:val="28"/>
        </w:rPr>
        <w:t>. Slightly more than 80% of this increase is accounted for by overseas students</w:t>
      </w:r>
      <w:r w:rsidR="0001449E">
        <w:rPr>
          <w:rFonts w:cstheme="minorHAnsi"/>
          <w:sz w:val="28"/>
          <w:szCs w:val="28"/>
        </w:rPr>
        <w:t xml:space="preserve"> from countries outside the European Union</w:t>
      </w:r>
      <w:r w:rsidRPr="00F621CF">
        <w:rPr>
          <w:rFonts w:cstheme="minorHAnsi"/>
          <w:sz w:val="28"/>
          <w:szCs w:val="28"/>
        </w:rPr>
        <w:t>. Despite concerted efforts to increase overseas student enrolments</w:t>
      </w:r>
      <w:r w:rsidR="000F4DFD">
        <w:rPr>
          <w:rFonts w:cstheme="minorHAnsi"/>
          <w:sz w:val="28"/>
          <w:szCs w:val="28"/>
        </w:rPr>
        <w:t xml:space="preserve"> in the UK itself</w:t>
      </w:r>
      <w:r w:rsidRPr="00F621CF">
        <w:rPr>
          <w:rFonts w:cstheme="minorHAnsi"/>
          <w:sz w:val="28"/>
          <w:szCs w:val="28"/>
        </w:rPr>
        <w:t xml:space="preserve">, the overall numbers of both EU and non-EU students have remained fairly constant since 2010/11. </w:t>
      </w:r>
    </w:p>
    <w:p w14:paraId="6CEAC9EB" w14:textId="0E3792A3" w:rsidR="00CD36E6" w:rsidRPr="004B7172" w:rsidRDefault="004B7172" w:rsidP="004B7172">
      <w:pPr>
        <w:jc w:val="both"/>
        <w:rPr>
          <w:rFonts w:cstheme="minorHAnsi"/>
          <w:b/>
          <w:sz w:val="28"/>
          <w:szCs w:val="28"/>
        </w:rPr>
      </w:pPr>
      <w:r>
        <w:rPr>
          <w:rFonts w:cstheme="minorHAnsi"/>
          <w:b/>
          <w:sz w:val="28"/>
          <w:szCs w:val="28"/>
        </w:rPr>
        <w:t>4.2</w:t>
      </w:r>
      <w:r w:rsidR="000E41E9" w:rsidRPr="004B7172">
        <w:rPr>
          <w:rFonts w:cstheme="minorHAnsi"/>
          <w:b/>
          <w:sz w:val="28"/>
          <w:szCs w:val="28"/>
        </w:rPr>
        <w:t xml:space="preserve"> </w:t>
      </w:r>
      <w:r w:rsidR="0031077B">
        <w:rPr>
          <w:rFonts w:cstheme="minorHAnsi"/>
          <w:b/>
          <w:sz w:val="28"/>
          <w:szCs w:val="28"/>
        </w:rPr>
        <w:t>OFFSHORE</w:t>
      </w:r>
      <w:r w:rsidR="000E41E9" w:rsidRPr="004B7172">
        <w:rPr>
          <w:rFonts w:cstheme="minorHAnsi"/>
          <w:b/>
          <w:sz w:val="28"/>
          <w:szCs w:val="28"/>
        </w:rPr>
        <w:t xml:space="preserve"> OVERSEAS STUDENTS</w:t>
      </w:r>
      <w:r w:rsidR="00F621CF" w:rsidRPr="004B7172">
        <w:rPr>
          <w:rFonts w:cstheme="minorHAnsi"/>
          <w:b/>
          <w:sz w:val="28"/>
          <w:szCs w:val="28"/>
        </w:rPr>
        <w:t xml:space="preserve"> </w:t>
      </w:r>
      <w:r w:rsidR="00CD36E6" w:rsidRPr="004B7172">
        <w:rPr>
          <w:rFonts w:cstheme="minorHAnsi"/>
          <w:b/>
          <w:sz w:val="28"/>
          <w:szCs w:val="28"/>
        </w:rPr>
        <w:t xml:space="preserve"> </w:t>
      </w:r>
      <w:r w:rsidR="00B43615" w:rsidRPr="004B7172">
        <w:rPr>
          <w:rFonts w:cstheme="minorHAnsi"/>
          <w:b/>
          <w:sz w:val="28"/>
          <w:szCs w:val="28"/>
        </w:rPr>
        <w:t xml:space="preserve"> </w:t>
      </w:r>
    </w:p>
    <w:p w14:paraId="01820364" w14:textId="7A2373C3" w:rsidR="007911E2" w:rsidRDefault="007911E2" w:rsidP="00F621CF">
      <w:pPr>
        <w:jc w:val="both"/>
        <w:rPr>
          <w:rFonts w:cstheme="minorHAnsi"/>
          <w:sz w:val="28"/>
          <w:szCs w:val="28"/>
        </w:rPr>
      </w:pPr>
      <w:r>
        <w:rPr>
          <w:rFonts w:cstheme="minorHAnsi"/>
          <w:sz w:val="28"/>
          <w:szCs w:val="28"/>
        </w:rPr>
        <w:t xml:space="preserve">Since the mid-1980s, </w:t>
      </w:r>
      <w:r w:rsidR="0031077B">
        <w:rPr>
          <w:rFonts w:cstheme="minorHAnsi"/>
          <w:sz w:val="28"/>
          <w:szCs w:val="28"/>
        </w:rPr>
        <w:t>offshore</w:t>
      </w:r>
      <w:r w:rsidR="00B43615" w:rsidRPr="00CD36E6">
        <w:rPr>
          <w:rFonts w:cstheme="minorHAnsi"/>
          <w:sz w:val="28"/>
          <w:szCs w:val="28"/>
        </w:rPr>
        <w:t xml:space="preserve"> overseas student enrolments have </w:t>
      </w:r>
      <w:r w:rsidR="00F621CF">
        <w:rPr>
          <w:rFonts w:cstheme="minorHAnsi"/>
          <w:sz w:val="28"/>
          <w:szCs w:val="28"/>
        </w:rPr>
        <w:t xml:space="preserve">also </w:t>
      </w:r>
      <w:r w:rsidR="00B43615" w:rsidRPr="00CD36E6">
        <w:rPr>
          <w:rFonts w:cstheme="minorHAnsi"/>
          <w:sz w:val="28"/>
          <w:szCs w:val="28"/>
        </w:rPr>
        <w:t xml:space="preserve">grown impressively - from </w:t>
      </w:r>
      <w:r w:rsidR="0036019A">
        <w:rPr>
          <w:rFonts w:cstheme="minorHAnsi"/>
          <w:sz w:val="28"/>
          <w:szCs w:val="28"/>
        </w:rPr>
        <w:t>an estimated 50,000 in the mid-</w:t>
      </w:r>
      <w:r w:rsidR="00B43615" w:rsidRPr="00CD36E6">
        <w:rPr>
          <w:rFonts w:cstheme="minorHAnsi"/>
          <w:sz w:val="28"/>
          <w:szCs w:val="28"/>
        </w:rPr>
        <w:t xml:space="preserve">1980s (almost all of which were </w:t>
      </w:r>
      <w:r w:rsidR="0036019A">
        <w:rPr>
          <w:rFonts w:cstheme="minorHAnsi"/>
          <w:sz w:val="28"/>
          <w:szCs w:val="28"/>
        </w:rPr>
        <w:t xml:space="preserve">overseas </w:t>
      </w:r>
      <w:r w:rsidR="00B43615" w:rsidRPr="00CD36E6">
        <w:rPr>
          <w:rFonts w:cstheme="minorHAnsi"/>
          <w:sz w:val="28"/>
          <w:szCs w:val="28"/>
        </w:rPr>
        <w:t>distance learners) to an est</w:t>
      </w:r>
      <w:r w:rsidR="006B0462">
        <w:rPr>
          <w:rFonts w:cstheme="minorHAnsi"/>
          <w:sz w:val="28"/>
          <w:szCs w:val="28"/>
        </w:rPr>
        <w:t xml:space="preserve">imated 140,000 in 1996-97 </w:t>
      </w:r>
      <w:r w:rsidR="0036019A">
        <w:rPr>
          <w:rFonts w:cstheme="minorHAnsi"/>
          <w:sz w:val="28"/>
          <w:szCs w:val="28"/>
        </w:rPr>
        <w:t xml:space="preserve">and </w:t>
      </w:r>
      <w:r w:rsidR="006B0462">
        <w:rPr>
          <w:rFonts w:cstheme="minorHAnsi"/>
          <w:sz w:val="28"/>
          <w:szCs w:val="28"/>
        </w:rPr>
        <w:t>402</w:t>
      </w:r>
      <w:r w:rsidR="004F6AC2">
        <w:rPr>
          <w:rFonts w:cstheme="minorHAnsi"/>
          <w:sz w:val="28"/>
          <w:szCs w:val="28"/>
        </w:rPr>
        <w:t>,000 in 2017/18</w:t>
      </w:r>
      <w:r w:rsidR="00B43615" w:rsidRPr="00CD36E6">
        <w:rPr>
          <w:rFonts w:cstheme="minorHAnsi"/>
          <w:sz w:val="28"/>
          <w:szCs w:val="28"/>
        </w:rPr>
        <w:t xml:space="preserve">, a six-fold increase. </w:t>
      </w:r>
      <w:r w:rsidR="000E41E9">
        <w:rPr>
          <w:rFonts w:cstheme="minorHAnsi"/>
          <w:sz w:val="28"/>
          <w:szCs w:val="28"/>
        </w:rPr>
        <w:t xml:space="preserve">However, the rate of growth in these </w:t>
      </w:r>
      <w:r w:rsidR="0031077B">
        <w:rPr>
          <w:rFonts w:cstheme="minorHAnsi"/>
          <w:sz w:val="28"/>
          <w:szCs w:val="28"/>
        </w:rPr>
        <w:t>offshore</w:t>
      </w:r>
      <w:r w:rsidR="000E41E9">
        <w:rPr>
          <w:rFonts w:cstheme="minorHAnsi"/>
          <w:sz w:val="28"/>
          <w:szCs w:val="28"/>
        </w:rPr>
        <w:t xml:space="preserve"> enrolments has declined markedly since 2013/14</w:t>
      </w:r>
      <w:r w:rsidR="006B09CE">
        <w:rPr>
          <w:rFonts w:cstheme="minorHAnsi"/>
          <w:sz w:val="28"/>
          <w:szCs w:val="28"/>
        </w:rPr>
        <w:t xml:space="preserve"> (see Author</w:t>
      </w:r>
      <w:r w:rsidR="0036019A">
        <w:rPr>
          <w:rFonts w:cstheme="minorHAnsi"/>
          <w:sz w:val="28"/>
          <w:szCs w:val="28"/>
        </w:rPr>
        <w:t>, 2019</w:t>
      </w:r>
      <w:r w:rsidR="006B09CE">
        <w:rPr>
          <w:rFonts w:cstheme="minorHAnsi"/>
          <w:sz w:val="28"/>
          <w:szCs w:val="28"/>
        </w:rPr>
        <w:t>a</w:t>
      </w:r>
      <w:r w:rsidR="0036019A">
        <w:rPr>
          <w:rFonts w:cstheme="minorHAnsi"/>
          <w:sz w:val="28"/>
          <w:szCs w:val="28"/>
        </w:rPr>
        <w:t>)</w:t>
      </w:r>
      <w:r w:rsidR="000E41E9">
        <w:rPr>
          <w:rFonts w:cstheme="minorHAnsi"/>
          <w:sz w:val="28"/>
          <w:szCs w:val="28"/>
        </w:rPr>
        <w:t xml:space="preserve">. </w:t>
      </w:r>
    </w:p>
    <w:p w14:paraId="44C18111" w14:textId="1E7C77B8" w:rsidR="00505BD6" w:rsidRDefault="000E41E9" w:rsidP="00505BD6">
      <w:pPr>
        <w:jc w:val="both"/>
        <w:rPr>
          <w:rFonts w:cstheme="minorHAnsi"/>
          <w:sz w:val="28"/>
          <w:szCs w:val="28"/>
        </w:rPr>
      </w:pPr>
      <w:r>
        <w:rPr>
          <w:rFonts w:cstheme="minorHAnsi"/>
          <w:sz w:val="28"/>
          <w:szCs w:val="28"/>
        </w:rPr>
        <w:t xml:space="preserve">Figure </w:t>
      </w:r>
      <w:r w:rsidR="009A70C8">
        <w:rPr>
          <w:rFonts w:cstheme="minorHAnsi"/>
          <w:sz w:val="28"/>
          <w:szCs w:val="28"/>
        </w:rPr>
        <w:t>2</w:t>
      </w:r>
      <w:r>
        <w:rPr>
          <w:rFonts w:cstheme="minorHAnsi"/>
          <w:sz w:val="28"/>
          <w:szCs w:val="28"/>
        </w:rPr>
        <w:t xml:space="preserve"> shows the </w:t>
      </w:r>
      <w:r w:rsidR="00DF59F8" w:rsidRPr="00E41C69">
        <w:rPr>
          <w:rFonts w:cstheme="minorHAnsi"/>
          <w:sz w:val="28"/>
          <w:szCs w:val="28"/>
        </w:rPr>
        <w:t>enrolment</w:t>
      </w:r>
      <w:r>
        <w:rPr>
          <w:rFonts w:cstheme="minorHAnsi"/>
          <w:sz w:val="28"/>
          <w:szCs w:val="28"/>
        </w:rPr>
        <w:t xml:space="preserve"> totals</w:t>
      </w:r>
      <w:r w:rsidR="00DF59F8" w:rsidRPr="00E41C69">
        <w:rPr>
          <w:rFonts w:cstheme="minorHAnsi"/>
          <w:sz w:val="28"/>
          <w:szCs w:val="28"/>
        </w:rPr>
        <w:t xml:space="preserve"> for each </w:t>
      </w:r>
      <w:r>
        <w:rPr>
          <w:rFonts w:cstheme="minorHAnsi"/>
          <w:sz w:val="28"/>
          <w:szCs w:val="28"/>
        </w:rPr>
        <w:t xml:space="preserve">type </w:t>
      </w:r>
      <w:r w:rsidR="00DF59F8" w:rsidRPr="00E41C69">
        <w:rPr>
          <w:rFonts w:cstheme="minorHAnsi"/>
          <w:sz w:val="28"/>
          <w:szCs w:val="28"/>
        </w:rPr>
        <w:t xml:space="preserve">of </w:t>
      </w:r>
      <w:r w:rsidR="0031077B">
        <w:rPr>
          <w:rFonts w:cstheme="minorHAnsi"/>
          <w:sz w:val="28"/>
          <w:szCs w:val="28"/>
        </w:rPr>
        <w:t>offshore</w:t>
      </w:r>
      <w:r w:rsidR="00DF59F8" w:rsidRPr="00E41C69">
        <w:rPr>
          <w:rFonts w:cstheme="minorHAnsi"/>
          <w:sz w:val="28"/>
          <w:szCs w:val="28"/>
        </w:rPr>
        <w:t xml:space="preserve"> provision up to 2</w:t>
      </w:r>
      <w:r>
        <w:rPr>
          <w:rFonts w:cstheme="minorHAnsi"/>
          <w:sz w:val="28"/>
          <w:szCs w:val="28"/>
        </w:rPr>
        <w:t>016/17</w:t>
      </w:r>
      <w:r w:rsidR="00DF59F8" w:rsidRPr="00E41C69">
        <w:rPr>
          <w:rFonts w:cstheme="minorHAnsi"/>
          <w:sz w:val="28"/>
          <w:szCs w:val="28"/>
        </w:rPr>
        <w:t>.</w:t>
      </w:r>
      <w:r w:rsidR="00DF59F8">
        <w:rPr>
          <w:rFonts w:cstheme="minorHAnsi"/>
          <w:sz w:val="28"/>
          <w:szCs w:val="28"/>
        </w:rPr>
        <w:t xml:space="preserve"> </w:t>
      </w:r>
      <w:r w:rsidR="0031077B">
        <w:rPr>
          <w:rFonts w:cstheme="minorHAnsi"/>
          <w:sz w:val="28"/>
          <w:szCs w:val="28"/>
        </w:rPr>
        <w:t>Offshore</w:t>
      </w:r>
      <w:r w:rsidR="00DF59F8" w:rsidRPr="00E41C69">
        <w:rPr>
          <w:rFonts w:cstheme="minorHAnsi"/>
          <w:sz w:val="28"/>
          <w:szCs w:val="28"/>
        </w:rPr>
        <w:t xml:space="preserve"> franchised course provision (including collaborative courses) increased appreciably and at a steady ra</w:t>
      </w:r>
      <w:r w:rsidR="00DF59F8">
        <w:rPr>
          <w:rFonts w:cstheme="minorHAnsi"/>
          <w:sz w:val="28"/>
          <w:szCs w:val="28"/>
        </w:rPr>
        <w:t>te from 60,000 in 2007/08 to 267,000 students in 2017/18</w:t>
      </w:r>
      <w:r w:rsidR="00DF59F8" w:rsidRPr="00E41C69">
        <w:rPr>
          <w:rFonts w:cstheme="minorHAnsi"/>
          <w:sz w:val="28"/>
          <w:szCs w:val="28"/>
        </w:rPr>
        <w:t>. Up to 2011/12, validated course enrolments grew even more rapidly but have barely increased since then.</w:t>
      </w:r>
      <w:r w:rsidR="00DF59F8">
        <w:rPr>
          <w:rFonts w:cstheme="minorHAnsi"/>
          <w:sz w:val="28"/>
          <w:szCs w:val="28"/>
        </w:rPr>
        <w:t xml:space="preserve"> </w:t>
      </w:r>
      <w:r>
        <w:rPr>
          <w:rFonts w:cstheme="minorHAnsi"/>
          <w:sz w:val="28"/>
          <w:szCs w:val="28"/>
        </w:rPr>
        <w:t>Ov</w:t>
      </w:r>
      <w:r w:rsidR="00DF59F8" w:rsidRPr="00E41C69">
        <w:rPr>
          <w:rFonts w:cstheme="minorHAnsi"/>
          <w:sz w:val="28"/>
          <w:szCs w:val="28"/>
        </w:rPr>
        <w:t xml:space="preserve">erseas distance learning enrolments at UK universities </w:t>
      </w:r>
      <w:r w:rsidR="000F4DFD">
        <w:rPr>
          <w:rFonts w:cstheme="minorHAnsi"/>
          <w:sz w:val="28"/>
          <w:szCs w:val="28"/>
        </w:rPr>
        <w:t xml:space="preserve">only </w:t>
      </w:r>
      <w:r w:rsidR="00DF59F8" w:rsidRPr="00E41C69">
        <w:rPr>
          <w:rFonts w:cstheme="minorHAnsi"/>
          <w:sz w:val="28"/>
          <w:szCs w:val="28"/>
        </w:rPr>
        <w:t>increased from 100,000 in 2007/08 to 121,000 in 2012/13 and</w:t>
      </w:r>
      <w:r w:rsidR="000F4DFD">
        <w:rPr>
          <w:rFonts w:cstheme="minorHAnsi"/>
          <w:sz w:val="28"/>
          <w:szCs w:val="28"/>
        </w:rPr>
        <w:t xml:space="preserve"> actually </w:t>
      </w:r>
      <w:r w:rsidR="00DF59F8">
        <w:rPr>
          <w:rFonts w:cstheme="minorHAnsi"/>
          <w:sz w:val="28"/>
          <w:szCs w:val="28"/>
        </w:rPr>
        <w:t>declined to 107,000 in 2017/18</w:t>
      </w:r>
      <w:r w:rsidR="00DF59F8" w:rsidRPr="00E41C69">
        <w:rPr>
          <w:rFonts w:cstheme="minorHAnsi"/>
          <w:sz w:val="28"/>
          <w:szCs w:val="28"/>
        </w:rPr>
        <w:t xml:space="preserve">. The overall share of ODL enrolments in total </w:t>
      </w:r>
      <w:r w:rsidR="0031077B">
        <w:rPr>
          <w:rFonts w:cstheme="minorHAnsi"/>
          <w:sz w:val="28"/>
          <w:szCs w:val="28"/>
        </w:rPr>
        <w:t>offshore</w:t>
      </w:r>
      <w:r w:rsidR="00DF59F8" w:rsidRPr="00E41C69">
        <w:rPr>
          <w:rFonts w:cstheme="minorHAnsi"/>
          <w:sz w:val="28"/>
          <w:szCs w:val="28"/>
        </w:rPr>
        <w:t xml:space="preserve"> provision fell from 51% in 2007/08 to </w:t>
      </w:r>
      <w:r w:rsidR="00DF59F8" w:rsidRPr="00E41C69">
        <w:rPr>
          <w:rFonts w:cstheme="minorHAnsi"/>
          <w:sz w:val="28"/>
          <w:szCs w:val="28"/>
        </w:rPr>
        <w:lastRenderedPageBreak/>
        <w:t xml:space="preserve">just </w:t>
      </w:r>
      <w:r w:rsidR="00DF59F8">
        <w:rPr>
          <w:rFonts w:cstheme="minorHAnsi"/>
          <w:sz w:val="28"/>
          <w:szCs w:val="28"/>
        </w:rPr>
        <w:t>27% in 2017/18</w:t>
      </w:r>
      <w:r w:rsidR="00DF59F8" w:rsidRPr="00E41C69">
        <w:rPr>
          <w:rFonts w:cstheme="minorHAnsi"/>
          <w:sz w:val="28"/>
          <w:szCs w:val="28"/>
        </w:rPr>
        <w:t>.</w:t>
      </w:r>
      <w:r w:rsidR="00DF59F8">
        <w:rPr>
          <w:rFonts w:cstheme="minorHAnsi"/>
          <w:sz w:val="28"/>
          <w:szCs w:val="28"/>
        </w:rPr>
        <w:t xml:space="preserve"> </w:t>
      </w:r>
      <w:r>
        <w:rPr>
          <w:rFonts w:cstheme="minorHAnsi"/>
          <w:sz w:val="28"/>
          <w:szCs w:val="28"/>
        </w:rPr>
        <w:t>Finally, e</w:t>
      </w:r>
      <w:r w:rsidR="00DF59F8">
        <w:rPr>
          <w:rFonts w:cstheme="minorHAnsi"/>
          <w:sz w:val="28"/>
          <w:szCs w:val="28"/>
        </w:rPr>
        <w:t xml:space="preserve">nrolments at </w:t>
      </w:r>
      <w:r>
        <w:rPr>
          <w:rFonts w:cstheme="minorHAnsi"/>
          <w:sz w:val="28"/>
          <w:szCs w:val="28"/>
        </w:rPr>
        <w:t xml:space="preserve">the </w:t>
      </w:r>
      <w:r w:rsidR="00DF59F8" w:rsidRPr="00DF59F8">
        <w:rPr>
          <w:rFonts w:cstheme="minorHAnsi"/>
          <w:sz w:val="28"/>
          <w:szCs w:val="28"/>
        </w:rPr>
        <w:t>overseas branch campuses</w:t>
      </w:r>
      <w:r w:rsidR="00DF59F8">
        <w:rPr>
          <w:rFonts w:cstheme="minorHAnsi"/>
          <w:b/>
          <w:sz w:val="28"/>
          <w:szCs w:val="28"/>
        </w:rPr>
        <w:t xml:space="preserve"> </w:t>
      </w:r>
      <w:r w:rsidR="00DF59F8" w:rsidRPr="00DF59F8">
        <w:rPr>
          <w:rFonts w:cstheme="minorHAnsi"/>
          <w:sz w:val="28"/>
          <w:szCs w:val="28"/>
        </w:rPr>
        <w:t>of</w:t>
      </w:r>
      <w:r w:rsidR="00DF59F8" w:rsidRPr="00E41C69">
        <w:rPr>
          <w:rFonts w:cstheme="minorHAnsi"/>
          <w:sz w:val="28"/>
          <w:szCs w:val="28"/>
        </w:rPr>
        <w:t xml:space="preserve"> UK un</w:t>
      </w:r>
      <w:r w:rsidR="00DF59F8">
        <w:rPr>
          <w:rFonts w:cstheme="minorHAnsi"/>
          <w:sz w:val="28"/>
          <w:szCs w:val="28"/>
        </w:rPr>
        <w:t xml:space="preserve">iversities were only </w:t>
      </w:r>
      <w:r w:rsidR="00E058B3">
        <w:rPr>
          <w:rFonts w:cstheme="minorHAnsi"/>
          <w:sz w:val="28"/>
          <w:szCs w:val="28"/>
        </w:rPr>
        <w:t>26,000 in 2017/18, just 7</w:t>
      </w:r>
      <w:r w:rsidR="00DF59F8" w:rsidRPr="00E41C69">
        <w:rPr>
          <w:rFonts w:cstheme="minorHAnsi"/>
          <w:sz w:val="28"/>
          <w:szCs w:val="28"/>
        </w:rPr>
        <w:t xml:space="preserve">% of </w:t>
      </w:r>
      <w:r w:rsidR="00DF59F8">
        <w:rPr>
          <w:rFonts w:cstheme="minorHAnsi"/>
          <w:sz w:val="28"/>
          <w:szCs w:val="28"/>
        </w:rPr>
        <w:t xml:space="preserve">total </w:t>
      </w:r>
      <w:r w:rsidR="0031077B">
        <w:rPr>
          <w:rFonts w:cstheme="minorHAnsi"/>
          <w:sz w:val="28"/>
          <w:szCs w:val="28"/>
        </w:rPr>
        <w:t>offshore</w:t>
      </w:r>
      <w:r w:rsidR="00DF59F8">
        <w:rPr>
          <w:rFonts w:cstheme="minorHAnsi"/>
          <w:sz w:val="28"/>
          <w:szCs w:val="28"/>
        </w:rPr>
        <w:t xml:space="preserve"> provision. </w:t>
      </w:r>
      <w:r w:rsidR="00DF59F8" w:rsidRPr="00E41C69">
        <w:rPr>
          <w:rFonts w:cstheme="minorHAnsi"/>
          <w:sz w:val="28"/>
          <w:szCs w:val="28"/>
        </w:rPr>
        <w:t xml:space="preserve">  </w:t>
      </w:r>
    </w:p>
    <w:p w14:paraId="056F6D80" w14:textId="676D8376" w:rsidR="00505BD6" w:rsidRPr="004B7172" w:rsidRDefault="004B7172" w:rsidP="004B7172">
      <w:pPr>
        <w:jc w:val="both"/>
        <w:rPr>
          <w:rFonts w:cstheme="minorHAnsi"/>
          <w:b/>
          <w:sz w:val="28"/>
          <w:szCs w:val="28"/>
        </w:rPr>
      </w:pPr>
      <w:r>
        <w:rPr>
          <w:rFonts w:cstheme="minorHAnsi"/>
          <w:b/>
          <w:sz w:val="28"/>
          <w:szCs w:val="28"/>
        </w:rPr>
        <w:t>4.3</w:t>
      </w:r>
      <w:r w:rsidR="00BF760E" w:rsidRPr="004B7172">
        <w:rPr>
          <w:rFonts w:cstheme="minorHAnsi"/>
          <w:b/>
          <w:sz w:val="28"/>
          <w:szCs w:val="28"/>
        </w:rPr>
        <w:t xml:space="preserve"> </w:t>
      </w:r>
      <w:r>
        <w:rPr>
          <w:rFonts w:cstheme="minorHAnsi"/>
          <w:b/>
          <w:sz w:val="28"/>
          <w:szCs w:val="28"/>
        </w:rPr>
        <w:t xml:space="preserve">THE </w:t>
      </w:r>
      <w:r w:rsidR="00505BD6" w:rsidRPr="004B7172">
        <w:rPr>
          <w:rFonts w:cstheme="minorHAnsi"/>
          <w:b/>
          <w:sz w:val="28"/>
          <w:szCs w:val="28"/>
        </w:rPr>
        <w:t>INTERNATIONALISATION</w:t>
      </w:r>
      <w:r>
        <w:rPr>
          <w:rFonts w:cstheme="minorHAnsi"/>
          <w:b/>
          <w:sz w:val="28"/>
          <w:szCs w:val="28"/>
        </w:rPr>
        <w:t xml:space="preserve"> OF HIGHER EDUCATION PROVISION</w:t>
      </w:r>
    </w:p>
    <w:p w14:paraId="72921403" w14:textId="2158F522" w:rsidR="006B09CE" w:rsidRDefault="006B09CE" w:rsidP="006B09CE">
      <w:pPr>
        <w:jc w:val="both"/>
        <w:rPr>
          <w:rFonts w:cstheme="minorHAnsi"/>
          <w:sz w:val="28"/>
          <w:szCs w:val="28"/>
        </w:rPr>
      </w:pPr>
      <w:r w:rsidRPr="006B09CE">
        <w:rPr>
          <w:rFonts w:cstheme="minorHAnsi"/>
          <w:sz w:val="28"/>
          <w:szCs w:val="28"/>
        </w:rPr>
        <w:t xml:space="preserve">The overall share of onshore and </w:t>
      </w:r>
      <w:r w:rsidR="0031077B">
        <w:rPr>
          <w:rFonts w:cstheme="minorHAnsi"/>
          <w:sz w:val="28"/>
          <w:szCs w:val="28"/>
        </w:rPr>
        <w:t>offshore</w:t>
      </w:r>
      <w:r w:rsidRPr="006B09CE">
        <w:rPr>
          <w:rFonts w:cstheme="minorHAnsi"/>
          <w:sz w:val="28"/>
          <w:szCs w:val="28"/>
        </w:rPr>
        <w:t xml:space="preserve"> overseas students </w:t>
      </w:r>
      <w:r w:rsidR="0031077B">
        <w:rPr>
          <w:rFonts w:cstheme="minorHAnsi"/>
          <w:sz w:val="28"/>
          <w:szCs w:val="28"/>
        </w:rPr>
        <w:t xml:space="preserve">enrolled at UK universities </w:t>
      </w:r>
      <w:r w:rsidRPr="006B09CE">
        <w:rPr>
          <w:rFonts w:cstheme="minorHAnsi"/>
          <w:sz w:val="28"/>
          <w:szCs w:val="28"/>
        </w:rPr>
        <w:t xml:space="preserve">has almost doubled during the last 20 years - from 17% in 1996/97 to 31% in 2016/17. With </w:t>
      </w:r>
      <w:r>
        <w:rPr>
          <w:rFonts w:cstheme="minorHAnsi"/>
          <w:sz w:val="28"/>
          <w:szCs w:val="28"/>
        </w:rPr>
        <w:t>overseas</w:t>
      </w:r>
      <w:r w:rsidRPr="006B09CE">
        <w:rPr>
          <w:rFonts w:cstheme="minorHAnsi"/>
          <w:sz w:val="28"/>
          <w:szCs w:val="28"/>
        </w:rPr>
        <w:t xml:space="preserve"> students comprising almost one-third of all students studying for UK university degrees, this would appear to be a significant level of internationalisation of education provision. Whereas onshore and </w:t>
      </w:r>
      <w:r w:rsidR="0031077B">
        <w:rPr>
          <w:rFonts w:cstheme="minorHAnsi"/>
          <w:sz w:val="28"/>
          <w:szCs w:val="28"/>
        </w:rPr>
        <w:t>offshore</w:t>
      </w:r>
      <w:r w:rsidRPr="006B09CE">
        <w:rPr>
          <w:rFonts w:cstheme="minorHAnsi"/>
          <w:sz w:val="28"/>
          <w:szCs w:val="28"/>
        </w:rPr>
        <w:t xml:space="preserve"> enrolment shares accounted for 10% and 7% of all students enrolled on university courses in 1996/97, this had narrowed to 16% and 15% respectively in 2016/17.</w:t>
      </w:r>
    </w:p>
    <w:p w14:paraId="66229114" w14:textId="77777777" w:rsidR="00D55ACD" w:rsidRPr="006B09CE" w:rsidRDefault="00D55ACD" w:rsidP="006B09CE">
      <w:pPr>
        <w:jc w:val="both"/>
        <w:rPr>
          <w:rFonts w:cstheme="minorHAnsi"/>
          <w:sz w:val="28"/>
          <w:szCs w:val="28"/>
        </w:rPr>
      </w:pPr>
    </w:p>
    <w:p w14:paraId="62B773B6" w14:textId="532C8948" w:rsidR="002B7943" w:rsidRPr="004B7172" w:rsidRDefault="002B7943" w:rsidP="004B7172">
      <w:pPr>
        <w:pStyle w:val="ListParagraph"/>
        <w:numPr>
          <w:ilvl w:val="0"/>
          <w:numId w:val="19"/>
        </w:numPr>
        <w:jc w:val="both"/>
        <w:rPr>
          <w:rFonts w:cstheme="minorHAnsi"/>
          <w:sz w:val="28"/>
          <w:szCs w:val="28"/>
        </w:rPr>
      </w:pPr>
      <w:r w:rsidRPr="004B7172">
        <w:rPr>
          <w:rFonts w:cstheme="minorHAnsi"/>
          <w:b/>
          <w:sz w:val="32"/>
          <w:szCs w:val="32"/>
        </w:rPr>
        <w:t>PROVISION PATTERNS</w:t>
      </w:r>
    </w:p>
    <w:p w14:paraId="687F3B34" w14:textId="7C66520C" w:rsidR="004B7172" w:rsidRDefault="007A5E22" w:rsidP="004B7172">
      <w:pPr>
        <w:jc w:val="both"/>
        <w:rPr>
          <w:rFonts w:cstheme="minorHAnsi"/>
          <w:sz w:val="28"/>
          <w:szCs w:val="28"/>
        </w:rPr>
      </w:pPr>
      <w:r w:rsidRPr="007A5E22">
        <w:rPr>
          <w:rFonts w:cstheme="minorHAnsi"/>
          <w:sz w:val="28"/>
          <w:szCs w:val="28"/>
        </w:rPr>
        <w:t xml:space="preserve">The following discussion examines </w:t>
      </w:r>
      <w:r w:rsidR="00AB4E03">
        <w:rPr>
          <w:rFonts w:cstheme="minorHAnsi"/>
          <w:sz w:val="28"/>
          <w:szCs w:val="28"/>
        </w:rPr>
        <w:t xml:space="preserve">four </w:t>
      </w:r>
      <w:r w:rsidRPr="007A5E22">
        <w:rPr>
          <w:rFonts w:cstheme="minorHAnsi"/>
          <w:sz w:val="28"/>
          <w:szCs w:val="28"/>
        </w:rPr>
        <w:t>typ</w:t>
      </w:r>
      <w:r w:rsidR="00505BD6">
        <w:rPr>
          <w:rFonts w:cstheme="minorHAnsi"/>
          <w:sz w:val="28"/>
          <w:szCs w:val="28"/>
        </w:rPr>
        <w:t xml:space="preserve">es of provision patterns namely overall </w:t>
      </w:r>
      <w:r w:rsidRPr="007A5E22">
        <w:rPr>
          <w:rFonts w:cstheme="minorHAnsi"/>
          <w:sz w:val="28"/>
          <w:szCs w:val="28"/>
        </w:rPr>
        <w:t xml:space="preserve">onshore and </w:t>
      </w:r>
      <w:r w:rsidR="0031077B">
        <w:rPr>
          <w:rFonts w:cstheme="minorHAnsi"/>
          <w:sz w:val="28"/>
          <w:szCs w:val="28"/>
        </w:rPr>
        <w:t>offshore</w:t>
      </w:r>
      <w:r w:rsidRPr="007A5E22">
        <w:rPr>
          <w:rFonts w:cstheme="minorHAnsi"/>
          <w:sz w:val="28"/>
          <w:szCs w:val="28"/>
        </w:rPr>
        <w:t xml:space="preserve"> enrolment shares, </w:t>
      </w:r>
      <w:r w:rsidR="00A2411E">
        <w:rPr>
          <w:rFonts w:cstheme="minorHAnsi"/>
          <w:sz w:val="28"/>
          <w:szCs w:val="28"/>
        </w:rPr>
        <w:t xml:space="preserve">enrolment growth rates, </w:t>
      </w:r>
      <w:r w:rsidR="00AB4E03">
        <w:rPr>
          <w:rFonts w:cstheme="minorHAnsi"/>
          <w:sz w:val="28"/>
          <w:szCs w:val="28"/>
        </w:rPr>
        <w:t xml:space="preserve">university </w:t>
      </w:r>
      <w:r w:rsidR="0065652E">
        <w:rPr>
          <w:rFonts w:cstheme="minorHAnsi"/>
          <w:sz w:val="28"/>
          <w:szCs w:val="28"/>
        </w:rPr>
        <w:t xml:space="preserve">classification </w:t>
      </w:r>
      <w:r w:rsidR="00AB4E03">
        <w:rPr>
          <w:rFonts w:cstheme="minorHAnsi"/>
          <w:sz w:val="28"/>
          <w:szCs w:val="28"/>
        </w:rPr>
        <w:t xml:space="preserve">and ranking, and </w:t>
      </w:r>
      <w:r w:rsidR="00A2411E">
        <w:rPr>
          <w:rFonts w:cstheme="minorHAnsi"/>
          <w:sz w:val="28"/>
          <w:szCs w:val="28"/>
        </w:rPr>
        <w:t>worldwide regional enrolments</w:t>
      </w:r>
      <w:r w:rsidR="0065652E">
        <w:rPr>
          <w:rFonts w:cstheme="minorHAnsi"/>
          <w:sz w:val="28"/>
          <w:szCs w:val="28"/>
        </w:rPr>
        <w:t>.</w:t>
      </w:r>
    </w:p>
    <w:p w14:paraId="1BEE33AC" w14:textId="77EAA4A5" w:rsidR="005E1DD4" w:rsidRDefault="004B7172" w:rsidP="004B7172">
      <w:pPr>
        <w:jc w:val="both"/>
        <w:rPr>
          <w:rFonts w:cstheme="minorHAnsi"/>
          <w:b/>
          <w:sz w:val="28"/>
          <w:szCs w:val="28"/>
        </w:rPr>
      </w:pPr>
      <w:r>
        <w:rPr>
          <w:rFonts w:cstheme="minorHAnsi"/>
          <w:b/>
          <w:sz w:val="28"/>
          <w:szCs w:val="28"/>
        </w:rPr>
        <w:t>5</w:t>
      </w:r>
      <w:r w:rsidR="00A2411E">
        <w:rPr>
          <w:rFonts w:cstheme="minorHAnsi"/>
          <w:b/>
          <w:sz w:val="28"/>
          <w:szCs w:val="28"/>
        </w:rPr>
        <w:t>.1 ENROLMENT SHARES</w:t>
      </w:r>
    </w:p>
    <w:p w14:paraId="1C4118F1" w14:textId="632E675D" w:rsidR="005E1DD4" w:rsidRDefault="005E1DD4" w:rsidP="005E1DD4">
      <w:pPr>
        <w:jc w:val="both"/>
        <w:rPr>
          <w:rFonts w:cstheme="minorHAnsi"/>
          <w:sz w:val="28"/>
          <w:szCs w:val="28"/>
        </w:rPr>
      </w:pPr>
      <w:r w:rsidRPr="003F67EF">
        <w:rPr>
          <w:rFonts w:cstheme="minorHAnsi"/>
          <w:sz w:val="28"/>
          <w:szCs w:val="28"/>
        </w:rPr>
        <w:t xml:space="preserve">The </w:t>
      </w:r>
      <w:r w:rsidR="000F4DFD">
        <w:rPr>
          <w:rFonts w:cstheme="minorHAnsi"/>
          <w:sz w:val="28"/>
          <w:szCs w:val="28"/>
        </w:rPr>
        <w:t>overall share</w:t>
      </w:r>
      <w:r w:rsidRPr="003F67EF">
        <w:rPr>
          <w:rFonts w:cstheme="minorHAnsi"/>
          <w:sz w:val="28"/>
          <w:szCs w:val="28"/>
        </w:rPr>
        <w:t xml:space="preserve"> of onshore and </w:t>
      </w:r>
      <w:r w:rsidR="0031077B">
        <w:rPr>
          <w:rFonts w:cstheme="minorHAnsi"/>
          <w:sz w:val="28"/>
          <w:szCs w:val="28"/>
        </w:rPr>
        <w:t>offshore</w:t>
      </w:r>
      <w:r w:rsidRPr="003F67EF">
        <w:rPr>
          <w:rFonts w:cstheme="minorHAnsi"/>
          <w:sz w:val="28"/>
          <w:szCs w:val="28"/>
        </w:rPr>
        <w:t xml:space="preserve"> overseas students expressed as a percentage of UK</w:t>
      </w:r>
      <w:r w:rsidR="000F4DFD">
        <w:rPr>
          <w:rFonts w:cstheme="minorHAnsi"/>
          <w:sz w:val="28"/>
          <w:szCs w:val="28"/>
        </w:rPr>
        <w:t>-domicile</w:t>
      </w:r>
      <w:r w:rsidRPr="003F67EF">
        <w:rPr>
          <w:rFonts w:cstheme="minorHAnsi"/>
          <w:sz w:val="28"/>
          <w:szCs w:val="28"/>
        </w:rPr>
        <w:t xml:space="preserve"> enrolments are summarised for all UK universities </w:t>
      </w:r>
      <w:r w:rsidR="0065652E">
        <w:rPr>
          <w:rFonts w:cstheme="minorHAnsi"/>
          <w:sz w:val="28"/>
          <w:szCs w:val="28"/>
        </w:rPr>
        <w:t>in Table 1</w:t>
      </w:r>
      <w:r w:rsidRPr="003F67EF">
        <w:rPr>
          <w:rFonts w:cstheme="minorHAnsi"/>
          <w:sz w:val="28"/>
          <w:szCs w:val="28"/>
        </w:rPr>
        <w:t xml:space="preserve"> according to three levels </w:t>
      </w:r>
      <w:r w:rsidR="000F4DFD">
        <w:rPr>
          <w:rFonts w:cstheme="minorHAnsi"/>
          <w:sz w:val="28"/>
          <w:szCs w:val="28"/>
        </w:rPr>
        <w:t>‘</w:t>
      </w:r>
      <w:r w:rsidRPr="003F67EF">
        <w:rPr>
          <w:rFonts w:cstheme="minorHAnsi"/>
          <w:sz w:val="28"/>
          <w:szCs w:val="28"/>
        </w:rPr>
        <w:t>high</w:t>
      </w:r>
      <w:r w:rsidR="000F4DFD">
        <w:rPr>
          <w:rFonts w:cstheme="minorHAnsi"/>
          <w:sz w:val="28"/>
          <w:szCs w:val="28"/>
        </w:rPr>
        <w:t>’</w:t>
      </w:r>
      <w:r w:rsidRPr="003F67EF">
        <w:rPr>
          <w:rFonts w:cstheme="minorHAnsi"/>
          <w:sz w:val="28"/>
          <w:szCs w:val="28"/>
        </w:rPr>
        <w:t xml:space="preserve"> (&gt;30%), </w:t>
      </w:r>
      <w:r w:rsidR="000F4DFD">
        <w:rPr>
          <w:rFonts w:cstheme="minorHAnsi"/>
          <w:sz w:val="28"/>
          <w:szCs w:val="28"/>
        </w:rPr>
        <w:t>‘</w:t>
      </w:r>
      <w:r w:rsidRPr="003F67EF">
        <w:rPr>
          <w:rFonts w:cstheme="minorHAnsi"/>
          <w:sz w:val="28"/>
          <w:szCs w:val="28"/>
        </w:rPr>
        <w:t>medium</w:t>
      </w:r>
      <w:r w:rsidR="000F4DFD">
        <w:rPr>
          <w:rFonts w:cstheme="minorHAnsi"/>
          <w:sz w:val="28"/>
          <w:szCs w:val="28"/>
        </w:rPr>
        <w:t>’</w:t>
      </w:r>
      <w:r w:rsidRPr="003F67EF">
        <w:rPr>
          <w:rFonts w:cstheme="minorHAnsi"/>
          <w:sz w:val="28"/>
          <w:szCs w:val="28"/>
        </w:rPr>
        <w:t xml:space="preserve"> (10-30%) and </w:t>
      </w:r>
      <w:r w:rsidR="000F4DFD">
        <w:rPr>
          <w:rFonts w:cstheme="minorHAnsi"/>
          <w:sz w:val="28"/>
          <w:szCs w:val="28"/>
        </w:rPr>
        <w:t>‘</w:t>
      </w:r>
      <w:r w:rsidRPr="003F67EF">
        <w:rPr>
          <w:rFonts w:cstheme="minorHAnsi"/>
          <w:sz w:val="28"/>
          <w:szCs w:val="28"/>
        </w:rPr>
        <w:t>low</w:t>
      </w:r>
      <w:r w:rsidR="000F4DFD">
        <w:rPr>
          <w:rFonts w:cstheme="minorHAnsi"/>
          <w:sz w:val="28"/>
          <w:szCs w:val="28"/>
        </w:rPr>
        <w:t>’</w:t>
      </w:r>
      <w:r w:rsidRPr="003F67EF">
        <w:rPr>
          <w:rFonts w:cstheme="minorHAnsi"/>
          <w:sz w:val="28"/>
          <w:szCs w:val="28"/>
        </w:rPr>
        <w:t xml:space="preserve"> (&lt;10%). With no disaggregation of the university population, there appear to be no obvious strong correlations, either negative or positive, between the shares of each group of overseas student among UK universities. However, the university scatter plots of the shares of onshore and </w:t>
      </w:r>
      <w:r w:rsidR="0031077B">
        <w:rPr>
          <w:rFonts w:cstheme="minorHAnsi"/>
          <w:sz w:val="28"/>
          <w:szCs w:val="28"/>
        </w:rPr>
        <w:t>offshore</w:t>
      </w:r>
      <w:r w:rsidRPr="003F67EF">
        <w:rPr>
          <w:rFonts w:cstheme="minorHAnsi"/>
          <w:sz w:val="28"/>
          <w:szCs w:val="28"/>
        </w:rPr>
        <w:t xml:space="preserve"> overseas students do show some, albeit weak, discernible patterns (see figure</w:t>
      </w:r>
      <w:r w:rsidR="009A70C8">
        <w:rPr>
          <w:rFonts w:cstheme="minorHAnsi"/>
          <w:sz w:val="28"/>
          <w:szCs w:val="28"/>
        </w:rPr>
        <w:t xml:space="preserve"> 3</w:t>
      </w:r>
      <w:r w:rsidRPr="003F67EF">
        <w:rPr>
          <w:rFonts w:cstheme="minorHAnsi"/>
          <w:sz w:val="28"/>
          <w:szCs w:val="28"/>
        </w:rPr>
        <w:t xml:space="preserve">). </w:t>
      </w:r>
      <w:r w:rsidR="000F4DFD">
        <w:rPr>
          <w:rFonts w:cstheme="minorHAnsi"/>
          <w:sz w:val="28"/>
          <w:szCs w:val="28"/>
        </w:rPr>
        <w:t>T</w:t>
      </w:r>
      <w:r w:rsidR="00452D9F">
        <w:rPr>
          <w:rFonts w:cstheme="minorHAnsi"/>
          <w:sz w:val="28"/>
          <w:szCs w:val="28"/>
        </w:rPr>
        <w:t>hree distinct c</w:t>
      </w:r>
      <w:r w:rsidRPr="003F67EF">
        <w:rPr>
          <w:rFonts w:cstheme="minorHAnsi"/>
          <w:sz w:val="28"/>
          <w:szCs w:val="28"/>
        </w:rPr>
        <w:t>luster</w:t>
      </w:r>
      <w:r w:rsidR="00452D9F">
        <w:rPr>
          <w:rFonts w:cstheme="minorHAnsi"/>
          <w:sz w:val="28"/>
          <w:szCs w:val="28"/>
        </w:rPr>
        <w:t>s</w:t>
      </w:r>
      <w:r w:rsidRPr="003F67EF">
        <w:rPr>
          <w:rFonts w:cstheme="minorHAnsi"/>
          <w:sz w:val="28"/>
          <w:szCs w:val="28"/>
        </w:rPr>
        <w:t xml:space="preserve"> </w:t>
      </w:r>
      <w:r w:rsidR="00452D9F">
        <w:rPr>
          <w:rFonts w:cstheme="minorHAnsi"/>
          <w:sz w:val="28"/>
          <w:szCs w:val="28"/>
        </w:rPr>
        <w:t xml:space="preserve">of universities </w:t>
      </w:r>
      <w:r w:rsidR="000F4DFD">
        <w:rPr>
          <w:rFonts w:cstheme="minorHAnsi"/>
          <w:sz w:val="28"/>
          <w:szCs w:val="28"/>
        </w:rPr>
        <w:t>are observable, namely,</w:t>
      </w:r>
      <w:r w:rsidR="00452D9F">
        <w:rPr>
          <w:rFonts w:cstheme="minorHAnsi"/>
          <w:sz w:val="28"/>
          <w:szCs w:val="28"/>
        </w:rPr>
        <w:t xml:space="preserve"> (i) </w:t>
      </w:r>
      <w:r w:rsidR="000F4DFD">
        <w:rPr>
          <w:rFonts w:cstheme="minorHAnsi"/>
          <w:sz w:val="28"/>
          <w:szCs w:val="28"/>
        </w:rPr>
        <w:t xml:space="preserve">those with </w:t>
      </w:r>
      <w:r w:rsidRPr="003F67EF">
        <w:rPr>
          <w:rFonts w:cstheme="minorHAnsi"/>
          <w:sz w:val="28"/>
          <w:szCs w:val="28"/>
        </w:rPr>
        <w:t xml:space="preserve">a high ratio of onshore to </w:t>
      </w:r>
      <w:r w:rsidR="0031077B">
        <w:rPr>
          <w:rFonts w:cstheme="minorHAnsi"/>
          <w:sz w:val="28"/>
          <w:szCs w:val="28"/>
        </w:rPr>
        <w:t>offshore</w:t>
      </w:r>
      <w:r w:rsidRPr="003F67EF">
        <w:rPr>
          <w:rFonts w:cstheme="minorHAnsi"/>
          <w:sz w:val="28"/>
          <w:szCs w:val="28"/>
        </w:rPr>
        <w:t xml:space="preserve"> overseas students</w:t>
      </w:r>
      <w:r w:rsidR="00452D9F">
        <w:rPr>
          <w:rFonts w:cstheme="minorHAnsi"/>
          <w:sz w:val="28"/>
          <w:szCs w:val="28"/>
        </w:rPr>
        <w:t xml:space="preserve">; (ii) </w:t>
      </w:r>
      <w:r w:rsidR="000F4DFD">
        <w:rPr>
          <w:rFonts w:cstheme="minorHAnsi"/>
          <w:sz w:val="28"/>
          <w:szCs w:val="28"/>
        </w:rPr>
        <w:t xml:space="preserve">those with </w:t>
      </w:r>
      <w:r w:rsidR="00452D9F">
        <w:rPr>
          <w:rFonts w:cstheme="minorHAnsi"/>
          <w:sz w:val="28"/>
          <w:szCs w:val="28"/>
        </w:rPr>
        <w:t>a m</w:t>
      </w:r>
      <w:r w:rsidRPr="003F67EF">
        <w:rPr>
          <w:rFonts w:cstheme="minorHAnsi"/>
          <w:sz w:val="28"/>
          <w:szCs w:val="28"/>
        </w:rPr>
        <w:t xml:space="preserve">ore balanced shares of onshore and </w:t>
      </w:r>
      <w:r w:rsidR="0031077B">
        <w:rPr>
          <w:rFonts w:cstheme="minorHAnsi"/>
          <w:sz w:val="28"/>
          <w:szCs w:val="28"/>
        </w:rPr>
        <w:t>offshore</w:t>
      </w:r>
      <w:r w:rsidRPr="003F67EF">
        <w:rPr>
          <w:rFonts w:cstheme="minorHAnsi"/>
          <w:sz w:val="28"/>
          <w:szCs w:val="28"/>
        </w:rPr>
        <w:t xml:space="preserve"> overseas students</w:t>
      </w:r>
      <w:r w:rsidR="00452D9F">
        <w:rPr>
          <w:rFonts w:cstheme="minorHAnsi"/>
          <w:sz w:val="28"/>
          <w:szCs w:val="28"/>
        </w:rPr>
        <w:t>; and (ii</w:t>
      </w:r>
      <w:r w:rsidR="000F4DFD">
        <w:rPr>
          <w:rFonts w:cstheme="minorHAnsi"/>
          <w:sz w:val="28"/>
          <w:szCs w:val="28"/>
        </w:rPr>
        <w:t>i</w:t>
      </w:r>
      <w:r w:rsidR="00452D9F">
        <w:rPr>
          <w:rFonts w:cstheme="minorHAnsi"/>
          <w:sz w:val="28"/>
          <w:szCs w:val="28"/>
        </w:rPr>
        <w:t xml:space="preserve">) </w:t>
      </w:r>
      <w:r w:rsidR="000F4DFD">
        <w:rPr>
          <w:rFonts w:cstheme="minorHAnsi"/>
          <w:sz w:val="28"/>
          <w:szCs w:val="28"/>
        </w:rPr>
        <w:t xml:space="preserve">those with </w:t>
      </w:r>
      <w:r w:rsidRPr="003F67EF">
        <w:rPr>
          <w:rFonts w:cstheme="minorHAnsi"/>
          <w:sz w:val="28"/>
          <w:szCs w:val="28"/>
        </w:rPr>
        <w:t xml:space="preserve">a high ratio of </w:t>
      </w:r>
      <w:r w:rsidR="0031077B">
        <w:rPr>
          <w:rFonts w:cstheme="minorHAnsi"/>
          <w:sz w:val="28"/>
          <w:szCs w:val="28"/>
        </w:rPr>
        <w:t>offshore</w:t>
      </w:r>
      <w:r w:rsidRPr="003F67EF">
        <w:rPr>
          <w:rFonts w:cstheme="minorHAnsi"/>
          <w:sz w:val="28"/>
          <w:szCs w:val="28"/>
        </w:rPr>
        <w:t xml:space="preserve"> to onshore overseas students. However, the university scatter plots of </w:t>
      </w:r>
      <w:r w:rsidRPr="003F67EF">
        <w:rPr>
          <w:rFonts w:cstheme="minorHAnsi"/>
          <w:sz w:val="28"/>
          <w:szCs w:val="28"/>
        </w:rPr>
        <w:lastRenderedPageBreak/>
        <w:t xml:space="preserve">the annual </w:t>
      </w:r>
      <w:r w:rsidR="0065652E">
        <w:rPr>
          <w:rFonts w:cstheme="minorHAnsi"/>
          <w:sz w:val="28"/>
          <w:szCs w:val="28"/>
        </w:rPr>
        <w:t xml:space="preserve">average </w:t>
      </w:r>
      <w:r w:rsidRPr="003F67EF">
        <w:rPr>
          <w:rFonts w:cstheme="minorHAnsi"/>
          <w:sz w:val="28"/>
          <w:szCs w:val="28"/>
        </w:rPr>
        <w:t xml:space="preserve">rates of growth for onshore and </w:t>
      </w:r>
      <w:r w:rsidR="0031077B">
        <w:rPr>
          <w:rFonts w:cstheme="minorHAnsi"/>
          <w:sz w:val="28"/>
          <w:szCs w:val="28"/>
        </w:rPr>
        <w:t>offshore</w:t>
      </w:r>
      <w:r w:rsidRPr="003F67EF">
        <w:rPr>
          <w:rFonts w:cstheme="minorHAnsi"/>
          <w:sz w:val="28"/>
          <w:szCs w:val="28"/>
        </w:rPr>
        <w:t xml:space="preserve"> overseas students between 2007/08 and 2015/16 reveal no obv</w:t>
      </w:r>
      <w:r>
        <w:rPr>
          <w:rFonts w:cstheme="minorHAnsi"/>
          <w:sz w:val="28"/>
          <w:szCs w:val="28"/>
        </w:rPr>
        <w:t>ious relationships</w:t>
      </w:r>
      <w:r>
        <w:rPr>
          <w:rStyle w:val="FootnoteReference"/>
          <w:rFonts w:cstheme="minorHAnsi"/>
          <w:sz w:val="28"/>
          <w:szCs w:val="28"/>
        </w:rPr>
        <w:footnoteReference w:id="3"/>
      </w:r>
      <w:r w:rsidRPr="003F67EF">
        <w:rPr>
          <w:rFonts w:cstheme="minorHAnsi"/>
          <w:sz w:val="28"/>
          <w:szCs w:val="28"/>
        </w:rPr>
        <w:t>.</w:t>
      </w:r>
    </w:p>
    <w:p w14:paraId="0C67A56E" w14:textId="4EEE3BFB" w:rsidR="00AB4E03" w:rsidRDefault="004B7172" w:rsidP="00AB4E03">
      <w:pPr>
        <w:jc w:val="both"/>
        <w:rPr>
          <w:rFonts w:cstheme="minorHAnsi"/>
          <w:sz w:val="28"/>
          <w:szCs w:val="28"/>
        </w:rPr>
      </w:pPr>
      <w:r>
        <w:rPr>
          <w:rFonts w:cstheme="minorHAnsi"/>
          <w:b/>
          <w:sz w:val="28"/>
          <w:szCs w:val="28"/>
        </w:rPr>
        <w:t>5</w:t>
      </w:r>
      <w:r w:rsidR="008C49AE">
        <w:rPr>
          <w:rFonts w:cstheme="minorHAnsi"/>
          <w:b/>
          <w:sz w:val="28"/>
          <w:szCs w:val="28"/>
        </w:rPr>
        <w:t xml:space="preserve">.2 </w:t>
      </w:r>
      <w:r w:rsidR="00AB4E03">
        <w:rPr>
          <w:rFonts w:cstheme="minorHAnsi"/>
          <w:b/>
          <w:sz w:val="28"/>
          <w:szCs w:val="28"/>
        </w:rPr>
        <w:t xml:space="preserve">ENROLMENT GROWTH </w:t>
      </w:r>
    </w:p>
    <w:p w14:paraId="55D94222" w14:textId="6C029143" w:rsidR="00AB4E03" w:rsidRDefault="0065652E" w:rsidP="00AB4E03">
      <w:pPr>
        <w:jc w:val="both"/>
        <w:rPr>
          <w:rFonts w:cstheme="minorHAnsi"/>
          <w:sz w:val="28"/>
          <w:szCs w:val="28"/>
        </w:rPr>
      </w:pPr>
      <w:r>
        <w:rPr>
          <w:rFonts w:cstheme="minorHAnsi"/>
          <w:sz w:val="28"/>
          <w:szCs w:val="28"/>
        </w:rPr>
        <w:t>Table 2</w:t>
      </w:r>
      <w:r w:rsidR="00AB4E03" w:rsidRPr="003F67EF">
        <w:rPr>
          <w:rFonts w:cstheme="minorHAnsi"/>
          <w:sz w:val="28"/>
          <w:szCs w:val="28"/>
        </w:rPr>
        <w:t xml:space="preserve"> shows the onshore and </w:t>
      </w:r>
      <w:r w:rsidR="0031077B">
        <w:rPr>
          <w:rFonts w:cstheme="minorHAnsi"/>
          <w:sz w:val="28"/>
          <w:szCs w:val="28"/>
        </w:rPr>
        <w:t>offshore</w:t>
      </w:r>
      <w:r w:rsidR="00AB4E03" w:rsidRPr="003F67EF">
        <w:rPr>
          <w:rFonts w:cstheme="minorHAnsi"/>
          <w:sz w:val="28"/>
          <w:szCs w:val="28"/>
        </w:rPr>
        <w:t xml:space="preserve"> growth patterns of overseas students for the period 2007/08 to 2015/16. ‘</w:t>
      </w:r>
      <w:r w:rsidR="00AB4E03">
        <w:rPr>
          <w:rFonts w:cstheme="minorHAnsi"/>
          <w:sz w:val="28"/>
          <w:szCs w:val="28"/>
        </w:rPr>
        <w:t>Strong</w:t>
      </w:r>
      <w:r w:rsidR="00AB4E03" w:rsidRPr="003F67EF">
        <w:rPr>
          <w:rFonts w:cstheme="minorHAnsi"/>
          <w:sz w:val="28"/>
          <w:szCs w:val="28"/>
        </w:rPr>
        <w:t xml:space="preserve"> growth’ for both groups is defined as averaging three percent per annum and ‘</w:t>
      </w:r>
      <w:r w:rsidR="00AB4E03">
        <w:rPr>
          <w:rFonts w:cstheme="minorHAnsi"/>
          <w:sz w:val="28"/>
          <w:szCs w:val="28"/>
        </w:rPr>
        <w:t>weak</w:t>
      </w:r>
      <w:r w:rsidR="00AB4E03" w:rsidRPr="003F67EF">
        <w:rPr>
          <w:rFonts w:cstheme="minorHAnsi"/>
          <w:sz w:val="28"/>
          <w:szCs w:val="28"/>
        </w:rPr>
        <w:t xml:space="preserve"> growth’ less than three percent per annum. Universities have been </w:t>
      </w:r>
      <w:r w:rsidR="000F4DFD">
        <w:rPr>
          <w:rFonts w:cstheme="minorHAnsi"/>
          <w:sz w:val="28"/>
          <w:szCs w:val="28"/>
        </w:rPr>
        <w:t xml:space="preserve">further </w:t>
      </w:r>
      <w:r w:rsidR="00AB4E03" w:rsidRPr="003F67EF">
        <w:rPr>
          <w:rFonts w:cstheme="minorHAnsi"/>
          <w:sz w:val="28"/>
          <w:szCs w:val="28"/>
        </w:rPr>
        <w:t xml:space="preserve">sub-divided in two groups, those with average annual rates of growth of UK students greater than one percent (positive UK growth) and those with less than one percent (negative/stagnant </w:t>
      </w:r>
      <w:r>
        <w:rPr>
          <w:rFonts w:cstheme="minorHAnsi"/>
          <w:sz w:val="28"/>
          <w:szCs w:val="28"/>
        </w:rPr>
        <w:t xml:space="preserve">UK </w:t>
      </w:r>
      <w:r w:rsidR="00AB4E03" w:rsidRPr="003F67EF">
        <w:rPr>
          <w:rFonts w:cstheme="minorHAnsi"/>
          <w:sz w:val="28"/>
          <w:szCs w:val="28"/>
        </w:rPr>
        <w:t xml:space="preserve">growth). Almost exactly one-half of both universities sub-groups managed to </w:t>
      </w:r>
      <w:r w:rsidRPr="003F67EF">
        <w:rPr>
          <w:rFonts w:cstheme="minorHAnsi"/>
          <w:sz w:val="28"/>
          <w:szCs w:val="28"/>
        </w:rPr>
        <w:t xml:space="preserve">achieve strong positive </w:t>
      </w:r>
      <w:r>
        <w:rPr>
          <w:rFonts w:cstheme="minorHAnsi"/>
          <w:sz w:val="28"/>
          <w:szCs w:val="28"/>
        </w:rPr>
        <w:t>growth rates</w:t>
      </w:r>
      <w:r w:rsidRPr="003F67EF">
        <w:rPr>
          <w:rFonts w:cstheme="minorHAnsi"/>
          <w:sz w:val="28"/>
          <w:szCs w:val="28"/>
        </w:rPr>
        <w:t xml:space="preserve"> </w:t>
      </w:r>
      <w:r w:rsidR="00AB4E03" w:rsidRPr="003F67EF">
        <w:rPr>
          <w:rFonts w:cstheme="minorHAnsi"/>
          <w:sz w:val="28"/>
          <w:szCs w:val="28"/>
        </w:rPr>
        <w:t>in attracting the high-status, high-revenue onshore overseas students. This is despite the fact that universities with lower UK student growth rates should, ceteris paribus, have a stronger incentive to recruit overseas students to the UK. However, their capacity to do so may be less.</w:t>
      </w:r>
    </w:p>
    <w:p w14:paraId="0ACAF496" w14:textId="1DA4B5F9" w:rsidR="00AB4E03" w:rsidRPr="003F67EF" w:rsidRDefault="00AB4E03" w:rsidP="00AB4E03">
      <w:pPr>
        <w:jc w:val="both"/>
        <w:rPr>
          <w:rFonts w:cstheme="minorHAnsi"/>
          <w:sz w:val="28"/>
          <w:szCs w:val="28"/>
        </w:rPr>
      </w:pPr>
      <w:r w:rsidRPr="003F67EF">
        <w:rPr>
          <w:rFonts w:cstheme="minorHAnsi"/>
          <w:sz w:val="28"/>
          <w:szCs w:val="28"/>
        </w:rPr>
        <w:t xml:space="preserve">Taken as a whole, three-quarters of universities achieved strong growth rates for </w:t>
      </w:r>
      <w:r w:rsidR="0031077B">
        <w:rPr>
          <w:rFonts w:cstheme="minorHAnsi"/>
          <w:sz w:val="28"/>
          <w:szCs w:val="28"/>
        </w:rPr>
        <w:t>offshore</w:t>
      </w:r>
      <w:r w:rsidRPr="003F67EF">
        <w:rPr>
          <w:rFonts w:cstheme="minorHAnsi"/>
          <w:sz w:val="28"/>
          <w:szCs w:val="28"/>
        </w:rPr>
        <w:t xml:space="preserve"> </w:t>
      </w:r>
      <w:r w:rsidR="000F4DFD">
        <w:rPr>
          <w:rFonts w:cstheme="minorHAnsi"/>
          <w:sz w:val="28"/>
          <w:szCs w:val="28"/>
        </w:rPr>
        <w:t xml:space="preserve">overseas </w:t>
      </w:r>
      <w:r w:rsidRPr="003F67EF">
        <w:rPr>
          <w:rFonts w:cstheme="minorHAnsi"/>
          <w:sz w:val="28"/>
          <w:szCs w:val="28"/>
        </w:rPr>
        <w:t xml:space="preserve">students. This is perhaps not unexpected given how much easier it is to increase </w:t>
      </w:r>
      <w:r w:rsidR="0031077B">
        <w:rPr>
          <w:rFonts w:cstheme="minorHAnsi"/>
          <w:sz w:val="28"/>
          <w:szCs w:val="28"/>
        </w:rPr>
        <w:t>offshore</w:t>
      </w:r>
      <w:r w:rsidRPr="003F67EF">
        <w:rPr>
          <w:rFonts w:cstheme="minorHAnsi"/>
          <w:sz w:val="28"/>
          <w:szCs w:val="28"/>
        </w:rPr>
        <w:t xml:space="preserve"> than onshore overseas st</w:t>
      </w:r>
      <w:r w:rsidR="0065652E">
        <w:rPr>
          <w:rFonts w:cstheme="minorHAnsi"/>
          <w:sz w:val="28"/>
          <w:szCs w:val="28"/>
        </w:rPr>
        <w:t>udent enrolments. Interestingly</w:t>
      </w:r>
      <w:r w:rsidRPr="003F67EF">
        <w:rPr>
          <w:rFonts w:cstheme="minorHAnsi"/>
          <w:sz w:val="28"/>
          <w:szCs w:val="28"/>
        </w:rPr>
        <w:t xml:space="preserve"> though, 86% of the universities with positive growth in UK students had high </w:t>
      </w:r>
      <w:r w:rsidR="0031077B">
        <w:rPr>
          <w:rFonts w:cstheme="minorHAnsi"/>
          <w:sz w:val="28"/>
          <w:szCs w:val="28"/>
        </w:rPr>
        <w:t>offshore</w:t>
      </w:r>
      <w:r w:rsidRPr="003F67EF">
        <w:rPr>
          <w:rFonts w:cstheme="minorHAnsi"/>
          <w:sz w:val="28"/>
          <w:szCs w:val="28"/>
        </w:rPr>
        <w:t xml:space="preserve"> growth rates compared to 70% for those universities with negative or stagnant UK student growth. However, with so few universities in the high UK student growth group, caution needs to be exercised in making comparisons between the two groups.      </w:t>
      </w:r>
    </w:p>
    <w:p w14:paraId="2715D6FD" w14:textId="58332348" w:rsidR="00AB4E03" w:rsidRPr="003F67EF" w:rsidRDefault="00AB4E03" w:rsidP="00AB4E03">
      <w:pPr>
        <w:jc w:val="both"/>
        <w:rPr>
          <w:rFonts w:cstheme="minorHAnsi"/>
          <w:sz w:val="28"/>
          <w:szCs w:val="28"/>
        </w:rPr>
      </w:pPr>
      <w:r w:rsidRPr="003F67EF">
        <w:rPr>
          <w:rFonts w:cstheme="minorHAnsi"/>
          <w:sz w:val="28"/>
          <w:szCs w:val="28"/>
        </w:rPr>
        <w:t xml:space="preserve">Onshore and </w:t>
      </w:r>
      <w:r w:rsidR="0031077B">
        <w:rPr>
          <w:rFonts w:cstheme="minorHAnsi"/>
          <w:sz w:val="28"/>
          <w:szCs w:val="28"/>
        </w:rPr>
        <w:t>offshore</w:t>
      </w:r>
      <w:r w:rsidRPr="003F67EF">
        <w:rPr>
          <w:rFonts w:cstheme="minorHAnsi"/>
          <w:sz w:val="28"/>
          <w:szCs w:val="28"/>
        </w:rPr>
        <w:t xml:space="preserve"> growth rates </w:t>
      </w:r>
      <w:r w:rsidR="00140984">
        <w:rPr>
          <w:rFonts w:cstheme="minorHAnsi"/>
          <w:sz w:val="28"/>
          <w:szCs w:val="28"/>
        </w:rPr>
        <w:t xml:space="preserve">for overseas students </w:t>
      </w:r>
      <w:r w:rsidRPr="003F67EF">
        <w:rPr>
          <w:rFonts w:cstheme="minorHAnsi"/>
          <w:sz w:val="28"/>
          <w:szCs w:val="28"/>
        </w:rPr>
        <w:t>were both low at around 15% of universities in both UK</w:t>
      </w:r>
      <w:r w:rsidR="00140984">
        <w:rPr>
          <w:rFonts w:cstheme="minorHAnsi"/>
          <w:sz w:val="28"/>
          <w:szCs w:val="28"/>
        </w:rPr>
        <w:t>-domicile</w:t>
      </w:r>
      <w:r w:rsidRPr="003F67EF">
        <w:rPr>
          <w:rFonts w:cstheme="minorHAnsi"/>
          <w:sz w:val="28"/>
          <w:szCs w:val="28"/>
        </w:rPr>
        <w:t xml:space="preserve"> growth groups of universities. For those universities with positive UK student growth rates this is not totally unexpected, but, given the incentives facing all universities to expand enro</w:t>
      </w:r>
      <w:r>
        <w:rPr>
          <w:rFonts w:cstheme="minorHAnsi"/>
          <w:sz w:val="28"/>
          <w:szCs w:val="28"/>
        </w:rPr>
        <w:t>lments, it would appear that tho</w:t>
      </w:r>
      <w:r w:rsidRPr="003F67EF">
        <w:rPr>
          <w:rFonts w:cstheme="minorHAnsi"/>
          <w:sz w:val="28"/>
          <w:szCs w:val="28"/>
        </w:rPr>
        <w:t>se universities with negative/stagnant UK growth rates (most of which a</w:t>
      </w:r>
      <w:r>
        <w:rPr>
          <w:rFonts w:cstheme="minorHAnsi"/>
          <w:sz w:val="28"/>
          <w:szCs w:val="28"/>
        </w:rPr>
        <w:t xml:space="preserve">re ex-polytechnics) have </w:t>
      </w:r>
      <w:r w:rsidRPr="003F67EF">
        <w:rPr>
          <w:rFonts w:cstheme="minorHAnsi"/>
          <w:sz w:val="28"/>
          <w:szCs w:val="28"/>
        </w:rPr>
        <w:t xml:space="preserve">been unable to increase </w:t>
      </w:r>
      <w:r>
        <w:rPr>
          <w:rFonts w:cstheme="minorHAnsi"/>
          <w:sz w:val="28"/>
          <w:szCs w:val="28"/>
        </w:rPr>
        <w:t xml:space="preserve">significantly </w:t>
      </w:r>
      <w:r w:rsidRPr="003F67EF">
        <w:rPr>
          <w:rFonts w:cstheme="minorHAnsi"/>
          <w:sz w:val="28"/>
          <w:szCs w:val="28"/>
        </w:rPr>
        <w:t>their overseas student numbers.</w:t>
      </w:r>
    </w:p>
    <w:p w14:paraId="0BE5801B" w14:textId="158DDC91" w:rsidR="00AB4E03" w:rsidRDefault="00AB4E03" w:rsidP="00AB4E03">
      <w:pPr>
        <w:jc w:val="both"/>
        <w:rPr>
          <w:rFonts w:cstheme="minorHAnsi"/>
          <w:sz w:val="28"/>
          <w:szCs w:val="28"/>
        </w:rPr>
      </w:pPr>
      <w:r w:rsidRPr="003F67EF">
        <w:rPr>
          <w:rFonts w:cstheme="minorHAnsi"/>
          <w:sz w:val="28"/>
          <w:szCs w:val="28"/>
        </w:rPr>
        <w:lastRenderedPageBreak/>
        <w:t xml:space="preserve">The redbrick universities have been considerably more successful in expanding both onshore and </w:t>
      </w:r>
      <w:r w:rsidR="0031077B">
        <w:rPr>
          <w:rFonts w:cstheme="minorHAnsi"/>
          <w:sz w:val="28"/>
          <w:szCs w:val="28"/>
        </w:rPr>
        <w:t>offshore</w:t>
      </w:r>
      <w:r>
        <w:rPr>
          <w:rFonts w:cstheme="minorHAnsi"/>
          <w:sz w:val="28"/>
          <w:szCs w:val="28"/>
        </w:rPr>
        <w:t xml:space="preserve"> overseas students (see </w:t>
      </w:r>
      <w:r w:rsidRPr="003F67EF">
        <w:rPr>
          <w:rFonts w:cstheme="minorHAnsi"/>
          <w:sz w:val="28"/>
          <w:szCs w:val="28"/>
        </w:rPr>
        <w:t xml:space="preserve">table </w:t>
      </w:r>
      <w:r w:rsidR="0065652E">
        <w:rPr>
          <w:rFonts w:cstheme="minorHAnsi"/>
          <w:sz w:val="28"/>
          <w:szCs w:val="28"/>
        </w:rPr>
        <w:t>3</w:t>
      </w:r>
      <w:r>
        <w:rPr>
          <w:rFonts w:cstheme="minorHAnsi"/>
          <w:sz w:val="28"/>
          <w:szCs w:val="28"/>
        </w:rPr>
        <w:t>)</w:t>
      </w:r>
      <w:r w:rsidRPr="003F67EF">
        <w:rPr>
          <w:rFonts w:cstheme="minorHAnsi"/>
          <w:sz w:val="28"/>
          <w:szCs w:val="28"/>
        </w:rPr>
        <w:t>. Over half of the red bricks had high growth rates for both groups compared to only around one-quarter for the plate glass and ex-polytechnic universities. Whereas over two-thirds of the redbrick universities achieved high onshore overseas student growth rates, only slightly more than one-third of the polytechnics were this successful with the plate glass universities occupying an intermediate position.</w:t>
      </w:r>
    </w:p>
    <w:p w14:paraId="5BD943D0" w14:textId="60544937" w:rsidR="00AB4E03" w:rsidRPr="003F67EF" w:rsidRDefault="00AB4E03" w:rsidP="00AB4E03">
      <w:pPr>
        <w:jc w:val="both"/>
        <w:rPr>
          <w:rFonts w:cstheme="minorHAnsi"/>
          <w:sz w:val="28"/>
          <w:szCs w:val="28"/>
        </w:rPr>
      </w:pPr>
      <w:r w:rsidRPr="003F67EF">
        <w:rPr>
          <w:rFonts w:cstheme="minorHAnsi"/>
          <w:sz w:val="28"/>
          <w:szCs w:val="28"/>
        </w:rPr>
        <w:t>Scatter plot and simple OLS regression analysis also confirm</w:t>
      </w:r>
      <w:r>
        <w:rPr>
          <w:rFonts w:cstheme="minorHAnsi"/>
          <w:sz w:val="28"/>
          <w:szCs w:val="28"/>
        </w:rPr>
        <w:t>s</w:t>
      </w:r>
      <w:r w:rsidRPr="003F67EF">
        <w:rPr>
          <w:rFonts w:cstheme="minorHAnsi"/>
          <w:sz w:val="28"/>
          <w:szCs w:val="28"/>
        </w:rPr>
        <w:t xml:space="preserve"> that there are no obvious statistically significant correlations between, on the one hand, onshore and </w:t>
      </w:r>
      <w:r w:rsidR="0031077B">
        <w:rPr>
          <w:rFonts w:cstheme="minorHAnsi"/>
          <w:sz w:val="28"/>
          <w:szCs w:val="28"/>
        </w:rPr>
        <w:t>offshore</w:t>
      </w:r>
      <w:r w:rsidRPr="003F67EF">
        <w:rPr>
          <w:rFonts w:cstheme="minorHAnsi"/>
          <w:sz w:val="28"/>
          <w:szCs w:val="28"/>
        </w:rPr>
        <w:t xml:space="preserve"> rates of growth and UK enrolment growth, on the other.</w:t>
      </w:r>
    </w:p>
    <w:p w14:paraId="3EF13DB4" w14:textId="42A982E8" w:rsidR="00AB4E03" w:rsidRPr="00AB4E03" w:rsidRDefault="004B7172" w:rsidP="00AB4E03">
      <w:pPr>
        <w:tabs>
          <w:tab w:val="left" w:pos="5304"/>
        </w:tabs>
        <w:jc w:val="both"/>
        <w:rPr>
          <w:rFonts w:cstheme="minorHAnsi"/>
          <w:b/>
          <w:sz w:val="28"/>
          <w:szCs w:val="28"/>
        </w:rPr>
      </w:pPr>
      <w:r>
        <w:rPr>
          <w:rFonts w:cstheme="minorHAnsi"/>
          <w:b/>
          <w:sz w:val="28"/>
          <w:szCs w:val="28"/>
        </w:rPr>
        <w:t>5</w:t>
      </w:r>
      <w:r w:rsidR="00AB4E03">
        <w:rPr>
          <w:rFonts w:cstheme="minorHAnsi"/>
          <w:b/>
          <w:sz w:val="28"/>
          <w:szCs w:val="28"/>
        </w:rPr>
        <w:t>.3</w:t>
      </w:r>
      <w:r w:rsidR="00AB4E03" w:rsidRPr="00AB4E03">
        <w:rPr>
          <w:rFonts w:cstheme="minorHAnsi"/>
          <w:b/>
          <w:sz w:val="28"/>
          <w:szCs w:val="28"/>
        </w:rPr>
        <w:t xml:space="preserve"> UNIVERSITY TYPE AND RANKING</w:t>
      </w:r>
    </w:p>
    <w:p w14:paraId="5C226C2F" w14:textId="6548C277" w:rsidR="005E1DD4" w:rsidRPr="003F67EF" w:rsidRDefault="005E1DD4" w:rsidP="005E1DD4">
      <w:pPr>
        <w:jc w:val="both"/>
        <w:rPr>
          <w:rFonts w:cstheme="minorHAnsi"/>
          <w:sz w:val="28"/>
          <w:szCs w:val="28"/>
        </w:rPr>
      </w:pPr>
      <w:r w:rsidRPr="003F67EF">
        <w:rPr>
          <w:rFonts w:cstheme="minorHAnsi"/>
          <w:sz w:val="28"/>
          <w:szCs w:val="28"/>
        </w:rPr>
        <w:t xml:space="preserve">Breaking down UK universities into the four main historic categories shows more clearly that 80% </w:t>
      </w:r>
      <w:r>
        <w:rPr>
          <w:rFonts w:cstheme="minorHAnsi"/>
          <w:sz w:val="28"/>
          <w:szCs w:val="28"/>
        </w:rPr>
        <w:t xml:space="preserve">of </w:t>
      </w:r>
      <w:r w:rsidRPr="003F67EF">
        <w:rPr>
          <w:rFonts w:cstheme="minorHAnsi"/>
          <w:sz w:val="28"/>
          <w:szCs w:val="28"/>
        </w:rPr>
        <w:t>ancient and redbric</w:t>
      </w:r>
      <w:r w:rsidR="007541CF">
        <w:rPr>
          <w:rFonts w:cstheme="minorHAnsi"/>
          <w:sz w:val="28"/>
          <w:szCs w:val="28"/>
        </w:rPr>
        <w:t>k universities and 54% of plate-</w:t>
      </w:r>
      <w:r w:rsidRPr="003F67EF">
        <w:rPr>
          <w:rFonts w:cstheme="minorHAnsi"/>
          <w:sz w:val="28"/>
          <w:szCs w:val="28"/>
        </w:rPr>
        <w:t xml:space="preserve">glass universities have high-medium shares of onshore overseas students but low shares of </w:t>
      </w:r>
      <w:r w:rsidR="0031077B">
        <w:rPr>
          <w:rFonts w:cstheme="minorHAnsi"/>
          <w:sz w:val="28"/>
          <w:szCs w:val="28"/>
        </w:rPr>
        <w:t>offshore</w:t>
      </w:r>
      <w:r w:rsidRPr="003F67EF">
        <w:rPr>
          <w:rFonts w:cstheme="minorHAnsi"/>
          <w:sz w:val="28"/>
          <w:szCs w:val="28"/>
        </w:rPr>
        <w:t xml:space="preserve"> overseas students. By contrast, nearly half of the ex-polytechnic universities have high-medium shares of </w:t>
      </w:r>
      <w:r w:rsidR="0031077B">
        <w:rPr>
          <w:rFonts w:cstheme="minorHAnsi"/>
          <w:sz w:val="28"/>
          <w:szCs w:val="28"/>
        </w:rPr>
        <w:t>offshore</w:t>
      </w:r>
      <w:r w:rsidRPr="003F67EF">
        <w:rPr>
          <w:rFonts w:cstheme="minorHAnsi"/>
          <w:sz w:val="28"/>
          <w:szCs w:val="28"/>
        </w:rPr>
        <w:t xml:space="preserve"> students but 38% have low shares of onshore overseas students</w:t>
      </w:r>
      <w:r w:rsidR="008A0D31">
        <w:rPr>
          <w:rFonts w:cstheme="minorHAnsi"/>
          <w:sz w:val="28"/>
          <w:szCs w:val="28"/>
        </w:rPr>
        <w:t xml:space="preserve"> (see table 4)</w:t>
      </w:r>
      <w:r w:rsidRPr="003F67EF">
        <w:rPr>
          <w:rFonts w:cstheme="minorHAnsi"/>
          <w:sz w:val="28"/>
          <w:szCs w:val="28"/>
        </w:rPr>
        <w:t>.</w:t>
      </w:r>
    </w:p>
    <w:p w14:paraId="2F9D1D18" w14:textId="146A4226" w:rsidR="005E1DD4" w:rsidRDefault="005E1DD4" w:rsidP="005E1DD4">
      <w:pPr>
        <w:jc w:val="both"/>
        <w:rPr>
          <w:rFonts w:cstheme="minorHAnsi"/>
          <w:sz w:val="28"/>
          <w:szCs w:val="28"/>
        </w:rPr>
      </w:pPr>
      <w:r w:rsidRPr="003F67EF">
        <w:rPr>
          <w:rFonts w:cstheme="minorHAnsi"/>
          <w:sz w:val="28"/>
          <w:szCs w:val="28"/>
        </w:rPr>
        <w:t xml:space="preserve">Analysing these relationships based on university rankings shows any even more clear-cut pattern especially with regard to onshore </w:t>
      </w:r>
      <w:r w:rsidR="009A70C8">
        <w:rPr>
          <w:rFonts w:cstheme="minorHAnsi"/>
          <w:sz w:val="28"/>
          <w:szCs w:val="28"/>
        </w:rPr>
        <w:t>overseas students (see figure 4</w:t>
      </w:r>
      <w:r w:rsidRPr="003F67EF">
        <w:rPr>
          <w:rFonts w:cstheme="minorHAnsi"/>
          <w:sz w:val="28"/>
          <w:szCs w:val="28"/>
        </w:rPr>
        <w:t xml:space="preserve">). </w:t>
      </w:r>
      <w:r w:rsidR="008A0D31">
        <w:rPr>
          <w:rFonts w:cstheme="minorHAnsi"/>
          <w:sz w:val="28"/>
          <w:szCs w:val="28"/>
        </w:rPr>
        <w:t>G</w:t>
      </w:r>
      <w:r>
        <w:rPr>
          <w:rFonts w:cstheme="minorHAnsi"/>
          <w:sz w:val="28"/>
          <w:szCs w:val="28"/>
        </w:rPr>
        <w:t>enerally speaking,</w:t>
      </w:r>
      <w:r w:rsidRPr="003F67EF">
        <w:rPr>
          <w:rFonts w:cstheme="minorHAnsi"/>
          <w:sz w:val="28"/>
          <w:szCs w:val="28"/>
        </w:rPr>
        <w:t xml:space="preserve"> the higher the ranking of a university</w:t>
      </w:r>
      <w:r>
        <w:rPr>
          <w:rFonts w:cstheme="minorHAnsi"/>
          <w:sz w:val="28"/>
          <w:szCs w:val="28"/>
        </w:rPr>
        <w:t>,</w:t>
      </w:r>
      <w:r w:rsidRPr="003F67EF">
        <w:rPr>
          <w:rFonts w:cstheme="minorHAnsi"/>
          <w:sz w:val="28"/>
          <w:szCs w:val="28"/>
        </w:rPr>
        <w:t xml:space="preserve"> the greater</w:t>
      </w:r>
      <w:r>
        <w:rPr>
          <w:rFonts w:cstheme="minorHAnsi"/>
          <w:sz w:val="28"/>
          <w:szCs w:val="28"/>
        </w:rPr>
        <w:t xml:space="preserve"> </w:t>
      </w:r>
      <w:r w:rsidRPr="003F67EF">
        <w:rPr>
          <w:rFonts w:cstheme="minorHAnsi"/>
          <w:sz w:val="28"/>
          <w:szCs w:val="28"/>
        </w:rPr>
        <w:t xml:space="preserve">the share of onshore overseas student and the lower the share of </w:t>
      </w:r>
      <w:r w:rsidR="0031077B">
        <w:rPr>
          <w:rFonts w:cstheme="minorHAnsi"/>
          <w:sz w:val="28"/>
          <w:szCs w:val="28"/>
        </w:rPr>
        <w:t>offshore</w:t>
      </w:r>
      <w:r w:rsidRPr="003F67EF">
        <w:rPr>
          <w:rFonts w:cstheme="minorHAnsi"/>
          <w:sz w:val="28"/>
          <w:szCs w:val="28"/>
        </w:rPr>
        <w:t xml:space="preserve"> overseas students and vice versa. This statistical correlation becomes even stronger if the relatively few (outlier), higher status universities that are heavily involved in </w:t>
      </w:r>
      <w:r w:rsidR="0031077B">
        <w:rPr>
          <w:rFonts w:cstheme="minorHAnsi"/>
          <w:sz w:val="28"/>
          <w:szCs w:val="28"/>
        </w:rPr>
        <w:t>offshore</w:t>
      </w:r>
      <w:r w:rsidRPr="003F67EF">
        <w:rPr>
          <w:rFonts w:cstheme="minorHAnsi"/>
          <w:sz w:val="28"/>
          <w:szCs w:val="28"/>
        </w:rPr>
        <w:t xml:space="preserve"> provision, most notably Liverpool, London and Nottingham, are removed.</w:t>
      </w:r>
    </w:p>
    <w:p w14:paraId="413B2B99" w14:textId="743C15CE" w:rsidR="006B09CE" w:rsidRDefault="004B7172" w:rsidP="006B09CE">
      <w:pPr>
        <w:jc w:val="both"/>
        <w:rPr>
          <w:rFonts w:cstheme="minorHAnsi"/>
          <w:sz w:val="28"/>
          <w:szCs w:val="28"/>
        </w:rPr>
      </w:pPr>
      <w:r>
        <w:rPr>
          <w:rFonts w:cstheme="minorHAnsi"/>
          <w:b/>
          <w:sz w:val="28"/>
          <w:szCs w:val="28"/>
        </w:rPr>
        <w:t>5</w:t>
      </w:r>
      <w:r w:rsidR="006B09CE">
        <w:rPr>
          <w:rFonts w:cstheme="minorHAnsi"/>
          <w:b/>
          <w:sz w:val="28"/>
          <w:szCs w:val="28"/>
        </w:rPr>
        <w:t>.4 GLOBAL REGIONAL PATTERNS</w:t>
      </w:r>
    </w:p>
    <w:p w14:paraId="16046081" w14:textId="68A2AA9F" w:rsidR="006B09CE" w:rsidRPr="003F67EF" w:rsidRDefault="009A70C8" w:rsidP="006B09CE">
      <w:pPr>
        <w:jc w:val="both"/>
        <w:rPr>
          <w:rFonts w:cstheme="minorHAnsi"/>
          <w:sz w:val="28"/>
          <w:szCs w:val="28"/>
        </w:rPr>
      </w:pPr>
      <w:r>
        <w:rPr>
          <w:rFonts w:cstheme="minorHAnsi"/>
          <w:sz w:val="28"/>
          <w:szCs w:val="28"/>
        </w:rPr>
        <w:t>Figure 5</w:t>
      </w:r>
      <w:r w:rsidR="006B09CE">
        <w:rPr>
          <w:rFonts w:cstheme="minorHAnsi"/>
          <w:sz w:val="28"/>
          <w:szCs w:val="28"/>
        </w:rPr>
        <w:t xml:space="preserve"> </w:t>
      </w:r>
      <w:r w:rsidR="006B09CE" w:rsidRPr="003F67EF">
        <w:rPr>
          <w:rFonts w:cstheme="minorHAnsi"/>
          <w:sz w:val="28"/>
          <w:szCs w:val="28"/>
        </w:rPr>
        <w:t xml:space="preserve">shows the absolute changes in onshore and </w:t>
      </w:r>
      <w:r w:rsidR="0031077B">
        <w:rPr>
          <w:rFonts w:cstheme="minorHAnsi"/>
          <w:sz w:val="28"/>
          <w:szCs w:val="28"/>
        </w:rPr>
        <w:t>offshore</w:t>
      </w:r>
      <w:r w:rsidR="006B09CE" w:rsidRPr="003F67EF">
        <w:rPr>
          <w:rFonts w:cstheme="minorHAnsi"/>
          <w:sz w:val="28"/>
          <w:szCs w:val="28"/>
        </w:rPr>
        <w:t xml:space="preserve"> overseas student enrolments between 20007/08 and 2015/16 by major geographical region. The scatter plot</w:t>
      </w:r>
      <w:r w:rsidR="006B09CE">
        <w:rPr>
          <w:rFonts w:cstheme="minorHAnsi"/>
          <w:sz w:val="28"/>
          <w:szCs w:val="28"/>
        </w:rPr>
        <w:t>s</w:t>
      </w:r>
      <w:r w:rsidR="006B09CE" w:rsidRPr="003F67EF">
        <w:rPr>
          <w:rFonts w:cstheme="minorHAnsi"/>
          <w:sz w:val="28"/>
          <w:szCs w:val="28"/>
        </w:rPr>
        <w:t xml:space="preserve"> showing these changes for each country also broadly supports th</w:t>
      </w:r>
      <w:r w:rsidR="006B09CE">
        <w:rPr>
          <w:rFonts w:cstheme="minorHAnsi"/>
          <w:sz w:val="28"/>
          <w:szCs w:val="28"/>
        </w:rPr>
        <w:t>e changes at the regional level</w:t>
      </w:r>
      <w:r w:rsidR="006B09CE" w:rsidRPr="003F67EF">
        <w:rPr>
          <w:rFonts w:cstheme="minorHAnsi"/>
          <w:sz w:val="28"/>
          <w:szCs w:val="28"/>
        </w:rPr>
        <w:t xml:space="preserve">. </w:t>
      </w:r>
    </w:p>
    <w:p w14:paraId="40F6F920" w14:textId="452D7796" w:rsidR="006B09CE" w:rsidRDefault="006B09CE" w:rsidP="006B09CE">
      <w:pPr>
        <w:jc w:val="both"/>
        <w:rPr>
          <w:rFonts w:cstheme="minorHAnsi"/>
          <w:sz w:val="28"/>
          <w:szCs w:val="28"/>
        </w:rPr>
      </w:pPr>
      <w:r w:rsidRPr="003F67EF">
        <w:rPr>
          <w:rFonts w:cstheme="minorHAnsi"/>
          <w:sz w:val="28"/>
          <w:szCs w:val="28"/>
        </w:rPr>
        <w:t xml:space="preserve">In three regions, Western Europe, Americas, Australasia and Pacific and East and South-East Asia, enrolments increases have been roughly the same for both </w:t>
      </w:r>
      <w:r w:rsidRPr="003F67EF">
        <w:rPr>
          <w:rFonts w:cstheme="minorHAnsi"/>
          <w:sz w:val="28"/>
          <w:szCs w:val="28"/>
        </w:rPr>
        <w:lastRenderedPageBreak/>
        <w:t xml:space="preserve">groups. Enrolment growth has been particularly impressive in the latter region which is a reflection of the </w:t>
      </w:r>
      <w:r>
        <w:rPr>
          <w:rFonts w:cstheme="minorHAnsi"/>
          <w:sz w:val="28"/>
          <w:szCs w:val="28"/>
        </w:rPr>
        <w:t xml:space="preserve">size, </w:t>
      </w:r>
      <w:r w:rsidRPr="003F67EF">
        <w:rPr>
          <w:rFonts w:cstheme="minorHAnsi"/>
          <w:sz w:val="28"/>
          <w:szCs w:val="28"/>
        </w:rPr>
        <w:t>openness and dynamism of</w:t>
      </w:r>
      <w:r>
        <w:rPr>
          <w:rFonts w:cstheme="minorHAnsi"/>
          <w:sz w:val="28"/>
          <w:szCs w:val="28"/>
        </w:rPr>
        <w:t xml:space="preserve"> their higher education sectors</w:t>
      </w:r>
      <w:r w:rsidRPr="003F67EF">
        <w:rPr>
          <w:rFonts w:cstheme="minorHAnsi"/>
          <w:sz w:val="28"/>
          <w:szCs w:val="28"/>
        </w:rPr>
        <w:t xml:space="preserve">. </w:t>
      </w:r>
      <w:r w:rsidR="0031077B">
        <w:rPr>
          <w:rFonts w:cstheme="minorHAnsi"/>
          <w:sz w:val="28"/>
          <w:szCs w:val="28"/>
        </w:rPr>
        <w:t>Offshore</w:t>
      </w:r>
      <w:r w:rsidRPr="003F67EF">
        <w:rPr>
          <w:rFonts w:cstheme="minorHAnsi"/>
          <w:sz w:val="28"/>
          <w:szCs w:val="28"/>
        </w:rPr>
        <w:t xml:space="preserve"> enrolments in the Middle East have been </w:t>
      </w:r>
      <w:r>
        <w:rPr>
          <w:rFonts w:cstheme="minorHAnsi"/>
          <w:sz w:val="28"/>
          <w:szCs w:val="28"/>
        </w:rPr>
        <w:t xml:space="preserve">markedly </w:t>
      </w:r>
      <w:r w:rsidRPr="003F67EF">
        <w:rPr>
          <w:rFonts w:cstheme="minorHAnsi"/>
          <w:sz w:val="28"/>
          <w:szCs w:val="28"/>
        </w:rPr>
        <w:t>higher than onsh</w:t>
      </w:r>
      <w:r>
        <w:rPr>
          <w:rFonts w:cstheme="minorHAnsi"/>
          <w:sz w:val="28"/>
          <w:szCs w:val="28"/>
        </w:rPr>
        <w:t>ore overseas student enrolments.</w:t>
      </w:r>
      <w:r w:rsidRPr="003F67EF">
        <w:rPr>
          <w:rFonts w:cstheme="minorHAnsi"/>
          <w:sz w:val="28"/>
          <w:szCs w:val="28"/>
        </w:rPr>
        <w:t xml:space="preserve"> </w:t>
      </w:r>
      <w:r>
        <w:rPr>
          <w:rFonts w:cstheme="minorHAnsi"/>
          <w:sz w:val="28"/>
          <w:szCs w:val="28"/>
        </w:rPr>
        <w:t xml:space="preserve">By contrast, </w:t>
      </w:r>
      <w:r w:rsidR="0031077B">
        <w:rPr>
          <w:rFonts w:cstheme="minorHAnsi"/>
          <w:sz w:val="28"/>
          <w:szCs w:val="28"/>
        </w:rPr>
        <w:t>offshore</w:t>
      </w:r>
      <w:r w:rsidRPr="003F67EF">
        <w:rPr>
          <w:rFonts w:cstheme="minorHAnsi"/>
          <w:sz w:val="28"/>
          <w:szCs w:val="28"/>
        </w:rPr>
        <w:t xml:space="preserve"> enrolments have fallen in Eastern Europe. In sub-Saharan Africa and South Asia, the numbers of onshore overseas students in the UK have declined (quite substantially from South Asia) while the numbers of </w:t>
      </w:r>
      <w:r w:rsidR="0031077B">
        <w:rPr>
          <w:rFonts w:cstheme="minorHAnsi"/>
          <w:sz w:val="28"/>
          <w:szCs w:val="28"/>
        </w:rPr>
        <w:t>offshore</w:t>
      </w:r>
      <w:r w:rsidRPr="003F67EF">
        <w:rPr>
          <w:rFonts w:cstheme="minorHAnsi"/>
          <w:sz w:val="28"/>
          <w:szCs w:val="28"/>
        </w:rPr>
        <w:t xml:space="preserve"> students have risen substantially. </w:t>
      </w:r>
    </w:p>
    <w:p w14:paraId="6754F4AB" w14:textId="77777777" w:rsidR="006B09CE" w:rsidRPr="003F67EF" w:rsidRDefault="006B09CE" w:rsidP="005E1DD4">
      <w:pPr>
        <w:jc w:val="both"/>
        <w:rPr>
          <w:rFonts w:cstheme="minorHAnsi"/>
          <w:sz w:val="28"/>
          <w:szCs w:val="28"/>
        </w:rPr>
      </w:pPr>
    </w:p>
    <w:p w14:paraId="3971E947" w14:textId="2617429D" w:rsidR="005E1DD4" w:rsidRDefault="005E1DD4" w:rsidP="005E1DD4">
      <w:pPr>
        <w:jc w:val="both"/>
        <w:rPr>
          <w:rFonts w:cstheme="minorHAnsi"/>
          <w:b/>
          <w:sz w:val="28"/>
          <w:szCs w:val="28"/>
        </w:rPr>
      </w:pPr>
    </w:p>
    <w:p w14:paraId="620F0E2D" w14:textId="77777777" w:rsidR="005E1DD4" w:rsidRDefault="005E1DD4" w:rsidP="005E1DD4">
      <w:pPr>
        <w:sectPr w:rsidR="005E1DD4" w:rsidSect="00CD36E6">
          <w:footerReference w:type="default" r:id="rId8"/>
          <w:pgSz w:w="11906" w:h="16838"/>
          <w:pgMar w:top="1440" w:right="1440" w:bottom="1440" w:left="1440" w:header="708" w:footer="708" w:gutter="0"/>
          <w:cols w:space="708"/>
          <w:docGrid w:linePitch="360"/>
        </w:sectPr>
      </w:pPr>
      <w:r>
        <w:br w:type="page"/>
      </w:r>
    </w:p>
    <w:p w14:paraId="769FB5D4" w14:textId="77777777" w:rsidR="005E1DD4" w:rsidRDefault="005E1DD4" w:rsidP="005E1DD4"/>
    <w:p w14:paraId="680F6BEA" w14:textId="77777777" w:rsidR="005E1DD4" w:rsidRDefault="005E1DD4" w:rsidP="005E1DD4"/>
    <w:p w14:paraId="32ABF169" w14:textId="77777777" w:rsidR="005E1DD4" w:rsidRDefault="005E1DD4" w:rsidP="005E1DD4"/>
    <w:p w14:paraId="09591739" w14:textId="77777777" w:rsidR="005E1DD4" w:rsidRDefault="005E1DD4" w:rsidP="005E1DD4"/>
    <w:tbl>
      <w:tblPr>
        <w:tblW w:w="13513" w:type="dxa"/>
        <w:tblLook w:val="04A0" w:firstRow="1" w:lastRow="0" w:firstColumn="1" w:lastColumn="0" w:noHBand="0" w:noVBand="1"/>
      </w:tblPr>
      <w:tblGrid>
        <w:gridCol w:w="1190"/>
        <w:gridCol w:w="1364"/>
        <w:gridCol w:w="1017"/>
        <w:gridCol w:w="1364"/>
        <w:gridCol w:w="1272"/>
        <w:gridCol w:w="1017"/>
        <w:gridCol w:w="1364"/>
        <w:gridCol w:w="1272"/>
        <w:gridCol w:w="1017"/>
        <w:gridCol w:w="1364"/>
        <w:gridCol w:w="1272"/>
      </w:tblGrid>
      <w:tr w:rsidR="005E1DD4" w:rsidRPr="0083015C" w14:paraId="607A1FE6" w14:textId="77777777" w:rsidTr="00272545">
        <w:trPr>
          <w:trHeight w:val="247"/>
        </w:trPr>
        <w:tc>
          <w:tcPr>
            <w:tcW w:w="13513" w:type="dxa"/>
            <w:gridSpan w:val="11"/>
            <w:tcBorders>
              <w:top w:val="nil"/>
              <w:left w:val="nil"/>
              <w:bottom w:val="nil"/>
              <w:right w:val="nil"/>
            </w:tcBorders>
            <w:shd w:val="clear" w:color="auto" w:fill="auto"/>
            <w:noWrap/>
            <w:vAlign w:val="bottom"/>
            <w:hideMark/>
          </w:tcPr>
          <w:p w14:paraId="39DCA386" w14:textId="5F9E456E" w:rsidR="005E1DD4" w:rsidRPr="0083015C" w:rsidRDefault="008A0D31" w:rsidP="00272545">
            <w:pPr>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Table 4</w:t>
            </w:r>
            <w:r w:rsidR="005E1DD4" w:rsidRPr="0083015C">
              <w:rPr>
                <w:rFonts w:ascii="Calibri" w:eastAsia="Times New Roman" w:hAnsi="Calibri" w:cs="Calibri"/>
                <w:b/>
                <w:bCs/>
                <w:color w:val="5F735C"/>
                <w:lang w:eastAsia="en-GB"/>
              </w:rPr>
              <w:t xml:space="preserve">:  High, medium and low levels of onshore and </w:t>
            </w:r>
            <w:r w:rsidR="0031077B">
              <w:rPr>
                <w:rFonts w:ascii="Calibri" w:eastAsia="Times New Roman" w:hAnsi="Calibri" w:cs="Calibri"/>
                <w:b/>
                <w:bCs/>
                <w:color w:val="5F735C"/>
                <w:lang w:eastAsia="en-GB"/>
              </w:rPr>
              <w:t>offshore</w:t>
            </w:r>
            <w:r w:rsidR="005E1DD4" w:rsidRPr="0083015C">
              <w:rPr>
                <w:rFonts w:ascii="Calibri" w:eastAsia="Times New Roman" w:hAnsi="Calibri" w:cs="Calibri"/>
                <w:b/>
                <w:bCs/>
                <w:color w:val="5F735C"/>
                <w:lang w:eastAsia="en-GB"/>
              </w:rPr>
              <w:t xml:space="preserve"> overseas student enrolments among ancient/redbrick, plate</w:t>
            </w:r>
            <w:r w:rsidR="005E1DD4">
              <w:rPr>
                <w:rFonts w:ascii="Calibri" w:eastAsia="Times New Roman" w:hAnsi="Calibri" w:cs="Calibri"/>
                <w:b/>
                <w:bCs/>
                <w:color w:val="5F735C"/>
                <w:lang w:eastAsia="en-GB"/>
              </w:rPr>
              <w:t xml:space="preserve"> </w:t>
            </w:r>
            <w:r w:rsidR="005E1DD4" w:rsidRPr="0083015C">
              <w:rPr>
                <w:rFonts w:ascii="Calibri" w:eastAsia="Times New Roman" w:hAnsi="Calibri" w:cs="Calibri"/>
                <w:b/>
                <w:bCs/>
                <w:color w:val="5F735C"/>
                <w:lang w:eastAsia="en-GB"/>
              </w:rPr>
              <w:t xml:space="preserve">glass and </w:t>
            </w:r>
          </w:p>
        </w:tc>
      </w:tr>
      <w:tr w:rsidR="005E1DD4" w:rsidRPr="0083015C" w14:paraId="30FF9A67" w14:textId="77777777" w:rsidTr="00272545">
        <w:trPr>
          <w:trHeight w:val="247"/>
        </w:trPr>
        <w:tc>
          <w:tcPr>
            <w:tcW w:w="6207" w:type="dxa"/>
            <w:gridSpan w:val="5"/>
            <w:tcBorders>
              <w:top w:val="nil"/>
              <w:left w:val="nil"/>
              <w:bottom w:val="nil"/>
              <w:right w:val="nil"/>
            </w:tcBorders>
            <w:shd w:val="clear" w:color="auto" w:fill="auto"/>
            <w:noWrap/>
            <w:vAlign w:val="bottom"/>
            <w:hideMark/>
          </w:tcPr>
          <w:p w14:paraId="48269AB0" w14:textId="77777777" w:rsidR="005E1DD4" w:rsidRPr="0083015C" w:rsidRDefault="005E1DD4" w:rsidP="00272545">
            <w:pPr>
              <w:spacing w:after="0" w:line="240" w:lineRule="auto"/>
              <w:rPr>
                <w:rFonts w:ascii="Calibri" w:eastAsia="Times New Roman" w:hAnsi="Calibri" w:cs="Calibri"/>
                <w:b/>
                <w:bCs/>
                <w:color w:val="5F735C"/>
                <w:lang w:eastAsia="en-GB"/>
              </w:rPr>
            </w:pPr>
            <w:r w:rsidRPr="0083015C">
              <w:rPr>
                <w:rFonts w:ascii="Calibri" w:eastAsia="Times New Roman" w:hAnsi="Calibri" w:cs="Calibri"/>
                <w:b/>
                <w:bCs/>
                <w:color w:val="5F735C"/>
                <w:lang w:eastAsia="en-GB"/>
              </w:rPr>
              <w:t>ex-polytechnic universities, 2015/16 (rounded percentages)</w:t>
            </w:r>
          </w:p>
        </w:tc>
        <w:tc>
          <w:tcPr>
            <w:tcW w:w="1017" w:type="dxa"/>
            <w:tcBorders>
              <w:top w:val="nil"/>
              <w:left w:val="nil"/>
              <w:bottom w:val="nil"/>
              <w:right w:val="nil"/>
            </w:tcBorders>
            <w:shd w:val="clear" w:color="auto" w:fill="auto"/>
            <w:noWrap/>
            <w:vAlign w:val="bottom"/>
            <w:hideMark/>
          </w:tcPr>
          <w:p w14:paraId="0C092D81" w14:textId="77777777" w:rsidR="005E1DD4" w:rsidRPr="0083015C" w:rsidRDefault="005E1DD4" w:rsidP="00272545">
            <w:pPr>
              <w:spacing w:after="0" w:line="240" w:lineRule="auto"/>
              <w:rPr>
                <w:rFonts w:ascii="Calibri" w:eastAsia="Times New Roman" w:hAnsi="Calibri" w:cs="Calibri"/>
                <w:b/>
                <w:bCs/>
                <w:color w:val="5F735C"/>
                <w:lang w:eastAsia="en-GB"/>
              </w:rPr>
            </w:pPr>
          </w:p>
        </w:tc>
        <w:tc>
          <w:tcPr>
            <w:tcW w:w="1364" w:type="dxa"/>
            <w:tcBorders>
              <w:top w:val="nil"/>
              <w:left w:val="nil"/>
              <w:bottom w:val="nil"/>
              <w:right w:val="nil"/>
            </w:tcBorders>
            <w:shd w:val="clear" w:color="auto" w:fill="auto"/>
            <w:noWrap/>
            <w:vAlign w:val="bottom"/>
            <w:hideMark/>
          </w:tcPr>
          <w:p w14:paraId="57235FFD" w14:textId="77777777" w:rsidR="005E1DD4" w:rsidRPr="0083015C" w:rsidRDefault="005E1DD4" w:rsidP="00272545">
            <w:pPr>
              <w:spacing w:after="0" w:line="240" w:lineRule="auto"/>
              <w:rPr>
                <w:rFonts w:ascii="Times New Roman" w:eastAsia="Times New Roman" w:hAnsi="Times New Roman" w:cs="Times New Roman"/>
                <w:sz w:val="20"/>
                <w:szCs w:val="20"/>
                <w:lang w:eastAsia="en-GB"/>
              </w:rPr>
            </w:pPr>
          </w:p>
        </w:tc>
        <w:tc>
          <w:tcPr>
            <w:tcW w:w="1272" w:type="dxa"/>
            <w:tcBorders>
              <w:top w:val="nil"/>
              <w:left w:val="nil"/>
              <w:bottom w:val="nil"/>
              <w:right w:val="nil"/>
            </w:tcBorders>
            <w:shd w:val="clear" w:color="auto" w:fill="auto"/>
            <w:noWrap/>
            <w:vAlign w:val="bottom"/>
            <w:hideMark/>
          </w:tcPr>
          <w:p w14:paraId="03265A9C" w14:textId="77777777" w:rsidR="005E1DD4" w:rsidRPr="0083015C" w:rsidRDefault="005E1DD4" w:rsidP="00272545">
            <w:pPr>
              <w:spacing w:after="0" w:line="240" w:lineRule="auto"/>
              <w:rPr>
                <w:rFonts w:ascii="Times New Roman" w:eastAsia="Times New Roman" w:hAnsi="Times New Roman" w:cs="Times New Roman"/>
                <w:sz w:val="20"/>
                <w:szCs w:val="20"/>
                <w:lang w:eastAsia="en-GB"/>
              </w:rPr>
            </w:pPr>
          </w:p>
        </w:tc>
        <w:tc>
          <w:tcPr>
            <w:tcW w:w="1017" w:type="dxa"/>
            <w:tcBorders>
              <w:top w:val="nil"/>
              <w:left w:val="nil"/>
              <w:bottom w:val="nil"/>
              <w:right w:val="nil"/>
            </w:tcBorders>
            <w:shd w:val="clear" w:color="auto" w:fill="auto"/>
            <w:noWrap/>
            <w:vAlign w:val="bottom"/>
            <w:hideMark/>
          </w:tcPr>
          <w:p w14:paraId="716EC326" w14:textId="77777777" w:rsidR="005E1DD4" w:rsidRPr="0083015C" w:rsidRDefault="005E1DD4" w:rsidP="00272545">
            <w:pPr>
              <w:spacing w:after="0" w:line="240" w:lineRule="auto"/>
              <w:rPr>
                <w:rFonts w:ascii="Times New Roman" w:eastAsia="Times New Roman" w:hAnsi="Times New Roman" w:cs="Times New Roman"/>
                <w:sz w:val="20"/>
                <w:szCs w:val="20"/>
                <w:lang w:eastAsia="en-GB"/>
              </w:rPr>
            </w:pPr>
          </w:p>
        </w:tc>
        <w:tc>
          <w:tcPr>
            <w:tcW w:w="1364" w:type="dxa"/>
            <w:tcBorders>
              <w:top w:val="nil"/>
              <w:left w:val="nil"/>
              <w:bottom w:val="nil"/>
              <w:right w:val="nil"/>
            </w:tcBorders>
            <w:shd w:val="clear" w:color="auto" w:fill="auto"/>
            <w:noWrap/>
            <w:vAlign w:val="bottom"/>
            <w:hideMark/>
          </w:tcPr>
          <w:p w14:paraId="414176A7" w14:textId="77777777" w:rsidR="005E1DD4" w:rsidRPr="0083015C" w:rsidRDefault="005E1DD4" w:rsidP="00272545">
            <w:pPr>
              <w:spacing w:after="0" w:line="240" w:lineRule="auto"/>
              <w:rPr>
                <w:rFonts w:ascii="Times New Roman" w:eastAsia="Times New Roman" w:hAnsi="Times New Roman" w:cs="Times New Roman"/>
                <w:sz w:val="20"/>
                <w:szCs w:val="20"/>
                <w:lang w:eastAsia="en-GB"/>
              </w:rPr>
            </w:pPr>
          </w:p>
        </w:tc>
        <w:tc>
          <w:tcPr>
            <w:tcW w:w="1272" w:type="dxa"/>
            <w:tcBorders>
              <w:top w:val="nil"/>
              <w:left w:val="nil"/>
              <w:bottom w:val="nil"/>
              <w:right w:val="nil"/>
            </w:tcBorders>
            <w:shd w:val="clear" w:color="auto" w:fill="auto"/>
            <w:noWrap/>
            <w:vAlign w:val="bottom"/>
            <w:hideMark/>
          </w:tcPr>
          <w:p w14:paraId="0771BA2A" w14:textId="77777777" w:rsidR="005E1DD4" w:rsidRPr="0083015C" w:rsidRDefault="005E1DD4" w:rsidP="00272545">
            <w:pPr>
              <w:spacing w:after="0" w:line="240" w:lineRule="auto"/>
              <w:rPr>
                <w:rFonts w:ascii="Times New Roman" w:eastAsia="Times New Roman" w:hAnsi="Times New Roman" w:cs="Times New Roman"/>
                <w:sz w:val="20"/>
                <w:szCs w:val="20"/>
                <w:lang w:eastAsia="en-GB"/>
              </w:rPr>
            </w:pPr>
          </w:p>
        </w:tc>
      </w:tr>
      <w:tr w:rsidR="005E1DD4" w:rsidRPr="0083015C" w14:paraId="60C1A2C8" w14:textId="77777777" w:rsidTr="00272545">
        <w:trPr>
          <w:trHeight w:val="247"/>
        </w:trPr>
        <w:tc>
          <w:tcPr>
            <w:tcW w:w="1190" w:type="dxa"/>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58D31D49"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1364" w:type="dxa"/>
            <w:tcBorders>
              <w:top w:val="single" w:sz="4" w:space="0" w:color="FFFFFF"/>
              <w:left w:val="nil"/>
              <w:bottom w:val="single" w:sz="4" w:space="0" w:color="FFFFFF"/>
              <w:right w:val="single" w:sz="4" w:space="0" w:color="FFFFFF"/>
            </w:tcBorders>
            <w:shd w:val="clear" w:color="000000" w:fill="49723B"/>
            <w:noWrap/>
            <w:vAlign w:val="bottom"/>
            <w:hideMark/>
          </w:tcPr>
          <w:p w14:paraId="36175861"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10959" w:type="dxa"/>
            <w:gridSpan w:val="9"/>
            <w:tcBorders>
              <w:top w:val="single" w:sz="4" w:space="0" w:color="FFFFFF"/>
              <w:left w:val="nil"/>
              <w:bottom w:val="single" w:sz="4" w:space="0" w:color="FFFFFF"/>
              <w:right w:val="single" w:sz="4" w:space="0" w:color="FFFFFF"/>
            </w:tcBorders>
            <w:shd w:val="clear" w:color="000000" w:fill="49723B"/>
            <w:noWrap/>
            <w:vAlign w:val="bottom"/>
            <w:hideMark/>
          </w:tcPr>
          <w:p w14:paraId="38A6596E"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ON</w:t>
            </w:r>
            <w:r w:rsidRPr="0083015C">
              <w:rPr>
                <w:rFonts w:ascii="Calibri" w:eastAsia="Times New Roman" w:hAnsi="Calibri" w:cs="Calibri"/>
                <w:b/>
                <w:bCs/>
                <w:color w:val="FFFFFF"/>
                <w:lang w:eastAsia="en-GB"/>
              </w:rPr>
              <w:t>SHORE</w:t>
            </w:r>
          </w:p>
        </w:tc>
      </w:tr>
      <w:tr w:rsidR="005E1DD4" w:rsidRPr="0083015C" w14:paraId="3F8D64EA" w14:textId="77777777" w:rsidTr="00272545">
        <w:trPr>
          <w:trHeight w:val="247"/>
        </w:trPr>
        <w:tc>
          <w:tcPr>
            <w:tcW w:w="1190" w:type="dxa"/>
            <w:tcBorders>
              <w:top w:val="nil"/>
              <w:left w:val="single" w:sz="4" w:space="0" w:color="FFFFFF"/>
              <w:bottom w:val="single" w:sz="4" w:space="0" w:color="FFFFFF"/>
              <w:right w:val="single" w:sz="4" w:space="0" w:color="FFFFFF"/>
            </w:tcBorders>
            <w:shd w:val="clear" w:color="000000" w:fill="49723B"/>
            <w:noWrap/>
            <w:vAlign w:val="bottom"/>
            <w:hideMark/>
          </w:tcPr>
          <w:p w14:paraId="7F8EB9FB"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1364" w:type="dxa"/>
            <w:tcBorders>
              <w:top w:val="nil"/>
              <w:left w:val="nil"/>
              <w:bottom w:val="single" w:sz="4" w:space="0" w:color="FFFFFF"/>
              <w:right w:val="single" w:sz="4" w:space="0" w:color="FFFFFF"/>
            </w:tcBorders>
            <w:shd w:val="clear" w:color="000000" w:fill="49723B"/>
            <w:noWrap/>
            <w:vAlign w:val="bottom"/>
            <w:hideMark/>
          </w:tcPr>
          <w:p w14:paraId="2181BE88"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1017" w:type="dxa"/>
            <w:tcBorders>
              <w:top w:val="nil"/>
              <w:left w:val="nil"/>
              <w:bottom w:val="single" w:sz="4" w:space="0" w:color="FFFFFF"/>
              <w:right w:val="single" w:sz="4" w:space="0" w:color="FFFFFF"/>
            </w:tcBorders>
            <w:shd w:val="clear" w:color="000000" w:fill="49723B"/>
            <w:noWrap/>
            <w:vAlign w:val="bottom"/>
            <w:hideMark/>
          </w:tcPr>
          <w:p w14:paraId="09773410"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1364" w:type="dxa"/>
            <w:tcBorders>
              <w:top w:val="nil"/>
              <w:left w:val="nil"/>
              <w:bottom w:val="single" w:sz="4" w:space="0" w:color="FFFFFF"/>
              <w:right w:val="single" w:sz="4" w:space="0" w:color="FFFFFF"/>
            </w:tcBorders>
            <w:shd w:val="clear" w:color="000000" w:fill="49723B"/>
            <w:noWrap/>
            <w:vAlign w:val="bottom"/>
            <w:hideMark/>
          </w:tcPr>
          <w:p w14:paraId="3D14F652"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Low involvement</w:t>
            </w:r>
          </w:p>
        </w:tc>
        <w:tc>
          <w:tcPr>
            <w:tcW w:w="1272" w:type="dxa"/>
            <w:tcBorders>
              <w:top w:val="nil"/>
              <w:left w:val="nil"/>
              <w:bottom w:val="single" w:sz="4" w:space="0" w:color="FFFFFF"/>
              <w:right w:val="single" w:sz="4" w:space="0" w:color="FFFFFF"/>
            </w:tcBorders>
            <w:shd w:val="clear" w:color="000000" w:fill="49723B"/>
            <w:noWrap/>
            <w:vAlign w:val="bottom"/>
            <w:hideMark/>
          </w:tcPr>
          <w:p w14:paraId="683A7D94"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1017" w:type="dxa"/>
            <w:tcBorders>
              <w:top w:val="nil"/>
              <w:left w:val="nil"/>
              <w:bottom w:val="single" w:sz="4" w:space="0" w:color="FFFFFF"/>
              <w:right w:val="single" w:sz="4" w:space="0" w:color="FFFFFF"/>
            </w:tcBorders>
            <w:shd w:val="clear" w:color="000000" w:fill="49723B"/>
            <w:noWrap/>
            <w:vAlign w:val="bottom"/>
            <w:hideMark/>
          </w:tcPr>
          <w:p w14:paraId="26F09625"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1364" w:type="dxa"/>
            <w:tcBorders>
              <w:top w:val="nil"/>
              <w:left w:val="nil"/>
              <w:bottom w:val="single" w:sz="4" w:space="0" w:color="FFFFFF"/>
              <w:right w:val="single" w:sz="4" w:space="0" w:color="FFFFFF"/>
            </w:tcBorders>
            <w:shd w:val="clear" w:color="000000" w:fill="49723B"/>
            <w:noWrap/>
            <w:vAlign w:val="bottom"/>
            <w:hideMark/>
          </w:tcPr>
          <w:p w14:paraId="76BCDB2F"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Medium involvement</w:t>
            </w:r>
          </w:p>
        </w:tc>
        <w:tc>
          <w:tcPr>
            <w:tcW w:w="1272" w:type="dxa"/>
            <w:tcBorders>
              <w:top w:val="nil"/>
              <w:left w:val="nil"/>
              <w:bottom w:val="single" w:sz="4" w:space="0" w:color="FFFFFF"/>
              <w:right w:val="single" w:sz="4" w:space="0" w:color="FFFFFF"/>
            </w:tcBorders>
            <w:shd w:val="clear" w:color="000000" w:fill="49723B"/>
            <w:noWrap/>
            <w:vAlign w:val="bottom"/>
            <w:hideMark/>
          </w:tcPr>
          <w:p w14:paraId="4631A0CC"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1017" w:type="dxa"/>
            <w:tcBorders>
              <w:top w:val="nil"/>
              <w:left w:val="nil"/>
              <w:bottom w:val="single" w:sz="4" w:space="0" w:color="FFFFFF"/>
              <w:right w:val="single" w:sz="4" w:space="0" w:color="FFFFFF"/>
            </w:tcBorders>
            <w:shd w:val="clear" w:color="000000" w:fill="49723B"/>
            <w:noWrap/>
            <w:vAlign w:val="bottom"/>
            <w:hideMark/>
          </w:tcPr>
          <w:p w14:paraId="78F27C5C"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1364" w:type="dxa"/>
            <w:tcBorders>
              <w:top w:val="nil"/>
              <w:left w:val="nil"/>
              <w:bottom w:val="single" w:sz="4" w:space="0" w:color="FFFFFF"/>
              <w:right w:val="single" w:sz="4" w:space="0" w:color="FFFFFF"/>
            </w:tcBorders>
            <w:shd w:val="clear" w:color="000000" w:fill="49723B"/>
            <w:noWrap/>
            <w:vAlign w:val="bottom"/>
            <w:hideMark/>
          </w:tcPr>
          <w:p w14:paraId="0999D5DA"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High involvement</w:t>
            </w:r>
          </w:p>
        </w:tc>
        <w:tc>
          <w:tcPr>
            <w:tcW w:w="1272" w:type="dxa"/>
            <w:tcBorders>
              <w:top w:val="nil"/>
              <w:left w:val="nil"/>
              <w:bottom w:val="single" w:sz="4" w:space="0" w:color="FFFFFF"/>
              <w:right w:val="single" w:sz="4" w:space="0" w:color="FFFFFF"/>
            </w:tcBorders>
            <w:shd w:val="clear" w:color="000000" w:fill="49723B"/>
            <w:noWrap/>
            <w:vAlign w:val="bottom"/>
            <w:hideMark/>
          </w:tcPr>
          <w:p w14:paraId="6DADCC8E"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r>
      <w:tr w:rsidR="005E1DD4" w:rsidRPr="0083015C" w14:paraId="76D9D5BC" w14:textId="77777777" w:rsidTr="00272545">
        <w:trPr>
          <w:trHeight w:val="247"/>
        </w:trPr>
        <w:tc>
          <w:tcPr>
            <w:tcW w:w="1190" w:type="dxa"/>
            <w:tcBorders>
              <w:top w:val="nil"/>
              <w:left w:val="single" w:sz="4" w:space="0" w:color="FFFFFF"/>
              <w:bottom w:val="single" w:sz="4" w:space="0" w:color="FFFFFF"/>
              <w:right w:val="single" w:sz="4" w:space="0" w:color="FFFFFF"/>
            </w:tcBorders>
            <w:shd w:val="clear" w:color="000000" w:fill="49723B"/>
            <w:noWrap/>
            <w:vAlign w:val="bottom"/>
            <w:hideMark/>
          </w:tcPr>
          <w:p w14:paraId="2E652C44"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1364" w:type="dxa"/>
            <w:tcBorders>
              <w:top w:val="nil"/>
              <w:left w:val="nil"/>
              <w:bottom w:val="single" w:sz="4" w:space="0" w:color="FFFFFF"/>
              <w:right w:val="single" w:sz="4" w:space="0" w:color="FFFFFF"/>
            </w:tcBorders>
            <w:shd w:val="clear" w:color="000000" w:fill="49723B"/>
            <w:noWrap/>
            <w:vAlign w:val="bottom"/>
            <w:hideMark/>
          </w:tcPr>
          <w:p w14:paraId="7A5FFC93"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1017" w:type="dxa"/>
            <w:tcBorders>
              <w:top w:val="nil"/>
              <w:left w:val="nil"/>
              <w:bottom w:val="single" w:sz="4" w:space="0" w:color="FFFFFF"/>
              <w:right w:val="single" w:sz="4" w:space="0" w:color="FFFFFF"/>
            </w:tcBorders>
            <w:shd w:val="clear" w:color="000000" w:fill="49723B"/>
            <w:noWrap/>
            <w:vAlign w:val="bottom"/>
            <w:hideMark/>
          </w:tcPr>
          <w:p w14:paraId="4F69855E"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Redbrick</w:t>
            </w:r>
          </w:p>
        </w:tc>
        <w:tc>
          <w:tcPr>
            <w:tcW w:w="1364" w:type="dxa"/>
            <w:tcBorders>
              <w:top w:val="nil"/>
              <w:left w:val="nil"/>
              <w:bottom w:val="single" w:sz="4" w:space="0" w:color="FFFFFF"/>
              <w:right w:val="single" w:sz="4" w:space="0" w:color="FFFFFF"/>
            </w:tcBorders>
            <w:shd w:val="clear" w:color="000000" w:fill="49723B"/>
            <w:noWrap/>
            <w:vAlign w:val="bottom"/>
            <w:hideMark/>
          </w:tcPr>
          <w:p w14:paraId="1E2E4BA1"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Plateglass</w:t>
            </w:r>
          </w:p>
        </w:tc>
        <w:tc>
          <w:tcPr>
            <w:tcW w:w="1272" w:type="dxa"/>
            <w:tcBorders>
              <w:top w:val="nil"/>
              <w:left w:val="nil"/>
              <w:bottom w:val="single" w:sz="4" w:space="0" w:color="FFFFFF"/>
              <w:right w:val="single" w:sz="4" w:space="0" w:color="FFFFFF"/>
            </w:tcBorders>
            <w:shd w:val="clear" w:color="000000" w:fill="49723B"/>
            <w:noWrap/>
            <w:vAlign w:val="bottom"/>
            <w:hideMark/>
          </w:tcPr>
          <w:p w14:paraId="71182937"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Ex-polytechnic</w:t>
            </w:r>
          </w:p>
        </w:tc>
        <w:tc>
          <w:tcPr>
            <w:tcW w:w="1017" w:type="dxa"/>
            <w:tcBorders>
              <w:top w:val="nil"/>
              <w:left w:val="nil"/>
              <w:bottom w:val="single" w:sz="4" w:space="0" w:color="FFFFFF"/>
              <w:right w:val="single" w:sz="4" w:space="0" w:color="FFFFFF"/>
            </w:tcBorders>
            <w:shd w:val="clear" w:color="000000" w:fill="49723B"/>
            <w:noWrap/>
            <w:vAlign w:val="bottom"/>
            <w:hideMark/>
          </w:tcPr>
          <w:p w14:paraId="46F218FE"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Redbrick</w:t>
            </w:r>
          </w:p>
        </w:tc>
        <w:tc>
          <w:tcPr>
            <w:tcW w:w="1364" w:type="dxa"/>
            <w:tcBorders>
              <w:top w:val="nil"/>
              <w:left w:val="nil"/>
              <w:bottom w:val="single" w:sz="4" w:space="0" w:color="FFFFFF"/>
              <w:right w:val="single" w:sz="4" w:space="0" w:color="FFFFFF"/>
            </w:tcBorders>
            <w:shd w:val="clear" w:color="000000" w:fill="49723B"/>
            <w:noWrap/>
            <w:vAlign w:val="bottom"/>
            <w:hideMark/>
          </w:tcPr>
          <w:p w14:paraId="50B5A569"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Plateglass</w:t>
            </w:r>
          </w:p>
        </w:tc>
        <w:tc>
          <w:tcPr>
            <w:tcW w:w="1272" w:type="dxa"/>
            <w:tcBorders>
              <w:top w:val="nil"/>
              <w:left w:val="nil"/>
              <w:bottom w:val="single" w:sz="4" w:space="0" w:color="FFFFFF"/>
              <w:right w:val="single" w:sz="4" w:space="0" w:color="FFFFFF"/>
            </w:tcBorders>
            <w:shd w:val="clear" w:color="000000" w:fill="49723B"/>
            <w:noWrap/>
            <w:vAlign w:val="bottom"/>
            <w:hideMark/>
          </w:tcPr>
          <w:p w14:paraId="63977E84"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Ex-polytechnic</w:t>
            </w:r>
          </w:p>
        </w:tc>
        <w:tc>
          <w:tcPr>
            <w:tcW w:w="1017" w:type="dxa"/>
            <w:tcBorders>
              <w:top w:val="nil"/>
              <w:left w:val="nil"/>
              <w:bottom w:val="single" w:sz="4" w:space="0" w:color="FFFFFF"/>
              <w:right w:val="single" w:sz="4" w:space="0" w:color="FFFFFF"/>
            </w:tcBorders>
            <w:shd w:val="clear" w:color="000000" w:fill="49723B"/>
            <w:noWrap/>
            <w:vAlign w:val="bottom"/>
            <w:hideMark/>
          </w:tcPr>
          <w:p w14:paraId="45DD71D5"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Redbrick</w:t>
            </w:r>
          </w:p>
        </w:tc>
        <w:tc>
          <w:tcPr>
            <w:tcW w:w="1364" w:type="dxa"/>
            <w:tcBorders>
              <w:top w:val="nil"/>
              <w:left w:val="nil"/>
              <w:bottom w:val="single" w:sz="4" w:space="0" w:color="FFFFFF"/>
              <w:right w:val="single" w:sz="4" w:space="0" w:color="FFFFFF"/>
            </w:tcBorders>
            <w:shd w:val="clear" w:color="000000" w:fill="49723B"/>
            <w:noWrap/>
            <w:vAlign w:val="bottom"/>
            <w:hideMark/>
          </w:tcPr>
          <w:p w14:paraId="5B64D716"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Plateglass</w:t>
            </w:r>
          </w:p>
        </w:tc>
        <w:tc>
          <w:tcPr>
            <w:tcW w:w="1272" w:type="dxa"/>
            <w:tcBorders>
              <w:top w:val="nil"/>
              <w:left w:val="nil"/>
              <w:bottom w:val="single" w:sz="4" w:space="0" w:color="FFFFFF"/>
              <w:right w:val="single" w:sz="4" w:space="0" w:color="FFFFFF"/>
            </w:tcBorders>
            <w:shd w:val="clear" w:color="000000" w:fill="49723B"/>
            <w:noWrap/>
            <w:vAlign w:val="bottom"/>
            <w:hideMark/>
          </w:tcPr>
          <w:p w14:paraId="469C579C"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Ex-polytechnic</w:t>
            </w:r>
          </w:p>
        </w:tc>
      </w:tr>
      <w:tr w:rsidR="005E1DD4" w:rsidRPr="0083015C" w14:paraId="4D3BD6E7" w14:textId="77777777" w:rsidTr="00272545">
        <w:trPr>
          <w:trHeight w:val="247"/>
        </w:trPr>
        <w:tc>
          <w:tcPr>
            <w:tcW w:w="1190" w:type="dxa"/>
            <w:vMerge w:val="restart"/>
            <w:tcBorders>
              <w:top w:val="nil"/>
              <w:left w:val="nil"/>
              <w:bottom w:val="single" w:sz="4" w:space="0" w:color="FFFFFF"/>
              <w:right w:val="single" w:sz="4" w:space="0" w:color="FFFFFF"/>
            </w:tcBorders>
            <w:shd w:val="clear" w:color="000000" w:fill="49723B"/>
            <w:noWrap/>
            <w:vAlign w:val="center"/>
            <w:hideMark/>
          </w:tcPr>
          <w:p w14:paraId="1DE973E0" w14:textId="37DD0A2E" w:rsidR="005E1DD4" w:rsidRPr="0083015C" w:rsidRDefault="0031077B" w:rsidP="0027254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OFFSHORE</w:t>
            </w:r>
          </w:p>
        </w:tc>
        <w:tc>
          <w:tcPr>
            <w:tcW w:w="1364" w:type="dxa"/>
            <w:tcBorders>
              <w:top w:val="nil"/>
              <w:left w:val="nil"/>
              <w:bottom w:val="single" w:sz="4" w:space="0" w:color="FFFFFF"/>
              <w:right w:val="single" w:sz="4" w:space="0" w:color="FFFFFF"/>
            </w:tcBorders>
            <w:shd w:val="clear" w:color="000000" w:fill="49723B"/>
            <w:noWrap/>
            <w:vAlign w:val="bottom"/>
            <w:hideMark/>
          </w:tcPr>
          <w:p w14:paraId="200F257A"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High involvement</w:t>
            </w:r>
          </w:p>
        </w:tc>
        <w:tc>
          <w:tcPr>
            <w:tcW w:w="1017" w:type="dxa"/>
            <w:tcBorders>
              <w:top w:val="nil"/>
              <w:left w:val="nil"/>
              <w:bottom w:val="single" w:sz="4" w:space="0" w:color="FFFFFF"/>
              <w:right w:val="single" w:sz="4" w:space="0" w:color="FFFFFF"/>
            </w:tcBorders>
            <w:shd w:val="clear" w:color="000000" w:fill="EFEAE6"/>
            <w:noWrap/>
            <w:vAlign w:val="bottom"/>
            <w:hideMark/>
          </w:tcPr>
          <w:p w14:paraId="001D8FA4"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0</w:t>
            </w:r>
          </w:p>
        </w:tc>
        <w:tc>
          <w:tcPr>
            <w:tcW w:w="1364" w:type="dxa"/>
            <w:tcBorders>
              <w:top w:val="nil"/>
              <w:left w:val="nil"/>
              <w:bottom w:val="single" w:sz="4" w:space="0" w:color="FFFFFF"/>
              <w:right w:val="single" w:sz="4" w:space="0" w:color="FFFFFF"/>
            </w:tcBorders>
            <w:shd w:val="clear" w:color="000000" w:fill="EFEAE6"/>
            <w:noWrap/>
            <w:vAlign w:val="bottom"/>
            <w:hideMark/>
          </w:tcPr>
          <w:p w14:paraId="091C43A6"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5</w:t>
            </w:r>
          </w:p>
        </w:tc>
        <w:tc>
          <w:tcPr>
            <w:tcW w:w="1272" w:type="dxa"/>
            <w:tcBorders>
              <w:top w:val="nil"/>
              <w:left w:val="nil"/>
              <w:bottom w:val="single" w:sz="4" w:space="0" w:color="FFFFFF"/>
              <w:right w:val="single" w:sz="4" w:space="0" w:color="FFFFFF"/>
            </w:tcBorders>
            <w:shd w:val="clear" w:color="000000" w:fill="EFEAE6"/>
            <w:noWrap/>
            <w:vAlign w:val="bottom"/>
            <w:hideMark/>
          </w:tcPr>
          <w:p w14:paraId="1C5BEC35"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6</w:t>
            </w:r>
          </w:p>
        </w:tc>
        <w:tc>
          <w:tcPr>
            <w:tcW w:w="1017" w:type="dxa"/>
            <w:tcBorders>
              <w:top w:val="nil"/>
              <w:left w:val="nil"/>
              <w:bottom w:val="single" w:sz="4" w:space="0" w:color="FFFFFF"/>
              <w:right w:val="single" w:sz="4" w:space="0" w:color="FFFFFF"/>
            </w:tcBorders>
            <w:shd w:val="clear" w:color="000000" w:fill="EFEAE6"/>
            <w:noWrap/>
            <w:vAlign w:val="bottom"/>
            <w:hideMark/>
          </w:tcPr>
          <w:p w14:paraId="0D817840"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5</w:t>
            </w:r>
          </w:p>
        </w:tc>
        <w:tc>
          <w:tcPr>
            <w:tcW w:w="1364" w:type="dxa"/>
            <w:tcBorders>
              <w:top w:val="nil"/>
              <w:left w:val="nil"/>
              <w:bottom w:val="single" w:sz="4" w:space="0" w:color="FFFFFF"/>
              <w:right w:val="single" w:sz="4" w:space="0" w:color="FFFFFF"/>
            </w:tcBorders>
            <w:shd w:val="clear" w:color="000000" w:fill="EFEAE6"/>
            <w:noWrap/>
            <w:vAlign w:val="bottom"/>
            <w:hideMark/>
          </w:tcPr>
          <w:p w14:paraId="3AEEF306"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9</w:t>
            </w:r>
          </w:p>
        </w:tc>
        <w:tc>
          <w:tcPr>
            <w:tcW w:w="1272" w:type="dxa"/>
            <w:tcBorders>
              <w:top w:val="nil"/>
              <w:left w:val="nil"/>
              <w:bottom w:val="single" w:sz="4" w:space="0" w:color="FFFFFF"/>
              <w:right w:val="single" w:sz="4" w:space="0" w:color="FFFFFF"/>
            </w:tcBorders>
            <w:shd w:val="clear" w:color="000000" w:fill="EFEAE6"/>
            <w:noWrap/>
            <w:vAlign w:val="bottom"/>
            <w:hideMark/>
          </w:tcPr>
          <w:p w14:paraId="7BEDFF1C"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11</w:t>
            </w:r>
          </w:p>
        </w:tc>
        <w:tc>
          <w:tcPr>
            <w:tcW w:w="1017" w:type="dxa"/>
            <w:tcBorders>
              <w:top w:val="nil"/>
              <w:left w:val="nil"/>
              <w:bottom w:val="single" w:sz="4" w:space="0" w:color="FFFFFF"/>
              <w:right w:val="single" w:sz="4" w:space="0" w:color="FFFFFF"/>
            </w:tcBorders>
            <w:shd w:val="clear" w:color="000000" w:fill="EFEAE6"/>
            <w:noWrap/>
            <w:vAlign w:val="bottom"/>
            <w:hideMark/>
          </w:tcPr>
          <w:p w14:paraId="7460DA18"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10</w:t>
            </w:r>
          </w:p>
        </w:tc>
        <w:tc>
          <w:tcPr>
            <w:tcW w:w="1364" w:type="dxa"/>
            <w:tcBorders>
              <w:top w:val="nil"/>
              <w:left w:val="nil"/>
              <w:bottom w:val="single" w:sz="4" w:space="0" w:color="FFFFFF"/>
              <w:right w:val="single" w:sz="4" w:space="0" w:color="FFFFFF"/>
            </w:tcBorders>
            <w:shd w:val="clear" w:color="000000" w:fill="EFEAE6"/>
            <w:noWrap/>
            <w:vAlign w:val="bottom"/>
            <w:hideMark/>
          </w:tcPr>
          <w:p w14:paraId="429BAD8D"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14</w:t>
            </w:r>
          </w:p>
        </w:tc>
        <w:tc>
          <w:tcPr>
            <w:tcW w:w="1272" w:type="dxa"/>
            <w:tcBorders>
              <w:top w:val="nil"/>
              <w:left w:val="nil"/>
              <w:bottom w:val="single" w:sz="4" w:space="0" w:color="FFFFFF"/>
              <w:right w:val="single" w:sz="4" w:space="0" w:color="FFFFFF"/>
            </w:tcBorders>
            <w:shd w:val="clear" w:color="000000" w:fill="EFEAE6"/>
            <w:noWrap/>
            <w:vAlign w:val="bottom"/>
            <w:hideMark/>
          </w:tcPr>
          <w:p w14:paraId="695DC42D"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6</w:t>
            </w:r>
          </w:p>
        </w:tc>
      </w:tr>
      <w:tr w:rsidR="005E1DD4" w:rsidRPr="0083015C" w14:paraId="534EA3D7" w14:textId="77777777" w:rsidTr="00272545">
        <w:trPr>
          <w:trHeight w:val="247"/>
        </w:trPr>
        <w:tc>
          <w:tcPr>
            <w:tcW w:w="1190" w:type="dxa"/>
            <w:vMerge/>
            <w:tcBorders>
              <w:top w:val="nil"/>
              <w:left w:val="nil"/>
              <w:bottom w:val="single" w:sz="4" w:space="0" w:color="FFFFFF"/>
              <w:right w:val="single" w:sz="4" w:space="0" w:color="FFFFFF"/>
            </w:tcBorders>
            <w:vAlign w:val="center"/>
            <w:hideMark/>
          </w:tcPr>
          <w:p w14:paraId="0BB02C9F" w14:textId="77777777" w:rsidR="005E1DD4" w:rsidRPr="0083015C" w:rsidRDefault="005E1DD4" w:rsidP="00272545">
            <w:pPr>
              <w:spacing w:after="0" w:line="240" w:lineRule="auto"/>
              <w:rPr>
                <w:rFonts w:ascii="Calibri" w:eastAsia="Times New Roman" w:hAnsi="Calibri" w:cs="Calibri"/>
                <w:b/>
                <w:bCs/>
                <w:color w:val="FFFFFF"/>
                <w:lang w:eastAsia="en-GB"/>
              </w:rPr>
            </w:pPr>
          </w:p>
        </w:tc>
        <w:tc>
          <w:tcPr>
            <w:tcW w:w="1364" w:type="dxa"/>
            <w:tcBorders>
              <w:top w:val="nil"/>
              <w:left w:val="nil"/>
              <w:bottom w:val="single" w:sz="4" w:space="0" w:color="FFFFFF"/>
              <w:right w:val="single" w:sz="4" w:space="0" w:color="FFFFFF"/>
            </w:tcBorders>
            <w:shd w:val="clear" w:color="000000" w:fill="49723B"/>
            <w:noWrap/>
            <w:vAlign w:val="bottom"/>
            <w:hideMark/>
          </w:tcPr>
          <w:p w14:paraId="00AC74EE"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Medium involvement</w:t>
            </w:r>
          </w:p>
        </w:tc>
        <w:tc>
          <w:tcPr>
            <w:tcW w:w="1017" w:type="dxa"/>
            <w:tcBorders>
              <w:top w:val="nil"/>
              <w:left w:val="nil"/>
              <w:bottom w:val="single" w:sz="4" w:space="0" w:color="FFFFFF"/>
              <w:right w:val="single" w:sz="4" w:space="0" w:color="FFFFFF"/>
            </w:tcBorders>
            <w:shd w:val="clear" w:color="000000" w:fill="EFEAE6"/>
            <w:noWrap/>
            <w:vAlign w:val="bottom"/>
            <w:hideMark/>
          </w:tcPr>
          <w:p w14:paraId="730E8588"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0</w:t>
            </w:r>
          </w:p>
        </w:tc>
        <w:tc>
          <w:tcPr>
            <w:tcW w:w="1364" w:type="dxa"/>
            <w:tcBorders>
              <w:top w:val="nil"/>
              <w:left w:val="nil"/>
              <w:bottom w:val="single" w:sz="4" w:space="0" w:color="FFFFFF"/>
              <w:right w:val="single" w:sz="4" w:space="0" w:color="FFFFFF"/>
            </w:tcBorders>
            <w:shd w:val="clear" w:color="000000" w:fill="EFEAE6"/>
            <w:noWrap/>
            <w:vAlign w:val="bottom"/>
            <w:hideMark/>
          </w:tcPr>
          <w:p w14:paraId="0F259FA8"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0</w:t>
            </w:r>
          </w:p>
        </w:tc>
        <w:tc>
          <w:tcPr>
            <w:tcW w:w="1272" w:type="dxa"/>
            <w:tcBorders>
              <w:top w:val="nil"/>
              <w:left w:val="nil"/>
              <w:bottom w:val="single" w:sz="4" w:space="0" w:color="FFFFFF"/>
              <w:right w:val="single" w:sz="4" w:space="0" w:color="FFFFFF"/>
            </w:tcBorders>
            <w:shd w:val="clear" w:color="000000" w:fill="EFEAE6"/>
            <w:noWrap/>
            <w:vAlign w:val="bottom"/>
            <w:hideMark/>
          </w:tcPr>
          <w:p w14:paraId="316AA89A"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11</w:t>
            </w:r>
          </w:p>
        </w:tc>
        <w:tc>
          <w:tcPr>
            <w:tcW w:w="1017" w:type="dxa"/>
            <w:tcBorders>
              <w:top w:val="nil"/>
              <w:left w:val="nil"/>
              <w:bottom w:val="single" w:sz="4" w:space="0" w:color="FFFFFF"/>
              <w:right w:val="single" w:sz="4" w:space="0" w:color="FFFFFF"/>
            </w:tcBorders>
            <w:shd w:val="clear" w:color="000000" w:fill="EFEAE6"/>
            <w:noWrap/>
            <w:vAlign w:val="bottom"/>
            <w:hideMark/>
          </w:tcPr>
          <w:p w14:paraId="63D2FB1A"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0</w:t>
            </w:r>
          </w:p>
        </w:tc>
        <w:tc>
          <w:tcPr>
            <w:tcW w:w="1364" w:type="dxa"/>
            <w:tcBorders>
              <w:top w:val="nil"/>
              <w:left w:val="nil"/>
              <w:bottom w:val="single" w:sz="4" w:space="0" w:color="FFFFFF"/>
              <w:right w:val="single" w:sz="4" w:space="0" w:color="FFFFFF"/>
            </w:tcBorders>
            <w:shd w:val="clear" w:color="000000" w:fill="EFEAE6"/>
            <w:noWrap/>
            <w:vAlign w:val="bottom"/>
            <w:hideMark/>
          </w:tcPr>
          <w:p w14:paraId="2FF80883"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18</w:t>
            </w:r>
          </w:p>
        </w:tc>
        <w:tc>
          <w:tcPr>
            <w:tcW w:w="1272" w:type="dxa"/>
            <w:tcBorders>
              <w:top w:val="nil"/>
              <w:left w:val="nil"/>
              <w:bottom w:val="single" w:sz="4" w:space="0" w:color="FFFFFF"/>
              <w:right w:val="single" w:sz="4" w:space="0" w:color="FFFFFF"/>
            </w:tcBorders>
            <w:shd w:val="clear" w:color="000000" w:fill="EFEAE6"/>
            <w:noWrap/>
            <w:vAlign w:val="bottom"/>
            <w:hideMark/>
          </w:tcPr>
          <w:p w14:paraId="596B4AED"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13</w:t>
            </w:r>
          </w:p>
        </w:tc>
        <w:tc>
          <w:tcPr>
            <w:tcW w:w="1017" w:type="dxa"/>
            <w:tcBorders>
              <w:top w:val="nil"/>
              <w:left w:val="nil"/>
              <w:bottom w:val="single" w:sz="4" w:space="0" w:color="FFFFFF"/>
              <w:right w:val="single" w:sz="4" w:space="0" w:color="FFFFFF"/>
            </w:tcBorders>
            <w:shd w:val="clear" w:color="000000" w:fill="EFEAE6"/>
            <w:noWrap/>
            <w:vAlign w:val="bottom"/>
            <w:hideMark/>
          </w:tcPr>
          <w:p w14:paraId="04264EED"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5</w:t>
            </w:r>
          </w:p>
        </w:tc>
        <w:tc>
          <w:tcPr>
            <w:tcW w:w="1364" w:type="dxa"/>
            <w:tcBorders>
              <w:top w:val="nil"/>
              <w:left w:val="nil"/>
              <w:bottom w:val="single" w:sz="4" w:space="0" w:color="FFFFFF"/>
              <w:right w:val="single" w:sz="4" w:space="0" w:color="FFFFFF"/>
            </w:tcBorders>
            <w:shd w:val="clear" w:color="000000" w:fill="EFEAE6"/>
            <w:noWrap/>
            <w:vAlign w:val="bottom"/>
            <w:hideMark/>
          </w:tcPr>
          <w:p w14:paraId="4CAE91FE"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0</w:t>
            </w:r>
          </w:p>
        </w:tc>
        <w:tc>
          <w:tcPr>
            <w:tcW w:w="1272" w:type="dxa"/>
            <w:tcBorders>
              <w:top w:val="nil"/>
              <w:left w:val="nil"/>
              <w:bottom w:val="single" w:sz="4" w:space="0" w:color="FFFFFF"/>
              <w:right w:val="single" w:sz="4" w:space="0" w:color="FFFFFF"/>
            </w:tcBorders>
            <w:shd w:val="clear" w:color="000000" w:fill="EFEAE6"/>
            <w:noWrap/>
            <w:vAlign w:val="bottom"/>
            <w:hideMark/>
          </w:tcPr>
          <w:p w14:paraId="6023AA71"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2</w:t>
            </w:r>
          </w:p>
        </w:tc>
      </w:tr>
      <w:tr w:rsidR="005E1DD4" w:rsidRPr="0083015C" w14:paraId="527FACBE" w14:textId="77777777" w:rsidTr="00272545">
        <w:trPr>
          <w:trHeight w:val="247"/>
        </w:trPr>
        <w:tc>
          <w:tcPr>
            <w:tcW w:w="1190" w:type="dxa"/>
            <w:vMerge/>
            <w:tcBorders>
              <w:top w:val="nil"/>
              <w:left w:val="nil"/>
              <w:bottom w:val="single" w:sz="4" w:space="0" w:color="FFFFFF"/>
              <w:right w:val="single" w:sz="4" w:space="0" w:color="FFFFFF"/>
            </w:tcBorders>
            <w:vAlign w:val="center"/>
            <w:hideMark/>
          </w:tcPr>
          <w:p w14:paraId="0AF05370" w14:textId="77777777" w:rsidR="005E1DD4" w:rsidRPr="0083015C" w:rsidRDefault="005E1DD4" w:rsidP="00272545">
            <w:pPr>
              <w:spacing w:after="0" w:line="240" w:lineRule="auto"/>
              <w:rPr>
                <w:rFonts w:ascii="Calibri" w:eastAsia="Times New Roman" w:hAnsi="Calibri" w:cs="Calibri"/>
                <w:b/>
                <w:bCs/>
                <w:color w:val="FFFFFF"/>
                <w:lang w:eastAsia="en-GB"/>
              </w:rPr>
            </w:pPr>
          </w:p>
        </w:tc>
        <w:tc>
          <w:tcPr>
            <w:tcW w:w="1364" w:type="dxa"/>
            <w:tcBorders>
              <w:top w:val="nil"/>
              <w:left w:val="nil"/>
              <w:bottom w:val="single" w:sz="4" w:space="0" w:color="FFFFFF"/>
              <w:right w:val="single" w:sz="4" w:space="0" w:color="FFFFFF"/>
            </w:tcBorders>
            <w:shd w:val="clear" w:color="000000" w:fill="49723B"/>
            <w:noWrap/>
            <w:vAlign w:val="bottom"/>
            <w:hideMark/>
          </w:tcPr>
          <w:p w14:paraId="40BDAB7B" w14:textId="77777777" w:rsidR="005E1DD4" w:rsidRPr="0083015C" w:rsidRDefault="005E1DD4" w:rsidP="00272545">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Low involvement</w:t>
            </w:r>
          </w:p>
        </w:tc>
        <w:tc>
          <w:tcPr>
            <w:tcW w:w="1017" w:type="dxa"/>
            <w:tcBorders>
              <w:top w:val="nil"/>
              <w:left w:val="nil"/>
              <w:bottom w:val="single" w:sz="4" w:space="0" w:color="FFFFFF"/>
              <w:right w:val="single" w:sz="4" w:space="0" w:color="FFFFFF"/>
            </w:tcBorders>
            <w:shd w:val="clear" w:color="000000" w:fill="EFEAE6"/>
            <w:noWrap/>
            <w:vAlign w:val="bottom"/>
            <w:hideMark/>
          </w:tcPr>
          <w:p w14:paraId="47686593"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0</w:t>
            </w:r>
          </w:p>
        </w:tc>
        <w:tc>
          <w:tcPr>
            <w:tcW w:w="1364" w:type="dxa"/>
            <w:tcBorders>
              <w:top w:val="nil"/>
              <w:left w:val="nil"/>
              <w:bottom w:val="single" w:sz="4" w:space="0" w:color="FFFFFF"/>
              <w:right w:val="single" w:sz="4" w:space="0" w:color="FFFFFF"/>
            </w:tcBorders>
            <w:shd w:val="clear" w:color="000000" w:fill="EFEAE6"/>
            <w:noWrap/>
            <w:vAlign w:val="bottom"/>
            <w:hideMark/>
          </w:tcPr>
          <w:p w14:paraId="0B0D94B8"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0</w:t>
            </w:r>
          </w:p>
        </w:tc>
        <w:tc>
          <w:tcPr>
            <w:tcW w:w="1272" w:type="dxa"/>
            <w:tcBorders>
              <w:top w:val="nil"/>
              <w:left w:val="nil"/>
              <w:bottom w:val="single" w:sz="4" w:space="0" w:color="FFFFFF"/>
              <w:right w:val="single" w:sz="4" w:space="0" w:color="FFFFFF"/>
            </w:tcBorders>
            <w:shd w:val="clear" w:color="000000" w:fill="EFEAE6"/>
            <w:noWrap/>
            <w:vAlign w:val="bottom"/>
            <w:hideMark/>
          </w:tcPr>
          <w:p w14:paraId="230F01EE"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21</w:t>
            </w:r>
          </w:p>
        </w:tc>
        <w:tc>
          <w:tcPr>
            <w:tcW w:w="1017" w:type="dxa"/>
            <w:tcBorders>
              <w:top w:val="nil"/>
              <w:left w:val="nil"/>
              <w:bottom w:val="single" w:sz="4" w:space="0" w:color="FFFFFF"/>
              <w:right w:val="single" w:sz="4" w:space="0" w:color="FFFFFF"/>
            </w:tcBorders>
            <w:shd w:val="clear" w:color="000000" w:fill="EFEAE6"/>
            <w:noWrap/>
            <w:vAlign w:val="bottom"/>
            <w:hideMark/>
          </w:tcPr>
          <w:p w14:paraId="11C9CBF3"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25</w:t>
            </w:r>
          </w:p>
        </w:tc>
        <w:tc>
          <w:tcPr>
            <w:tcW w:w="1364" w:type="dxa"/>
            <w:tcBorders>
              <w:top w:val="nil"/>
              <w:left w:val="nil"/>
              <w:bottom w:val="single" w:sz="4" w:space="0" w:color="FFFFFF"/>
              <w:right w:val="single" w:sz="4" w:space="0" w:color="FFFFFF"/>
            </w:tcBorders>
            <w:shd w:val="clear" w:color="000000" w:fill="EFEAE6"/>
            <w:noWrap/>
            <w:vAlign w:val="bottom"/>
            <w:hideMark/>
          </w:tcPr>
          <w:p w14:paraId="05A1DD82"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18</w:t>
            </w:r>
          </w:p>
        </w:tc>
        <w:tc>
          <w:tcPr>
            <w:tcW w:w="1272" w:type="dxa"/>
            <w:tcBorders>
              <w:top w:val="nil"/>
              <w:left w:val="nil"/>
              <w:bottom w:val="single" w:sz="4" w:space="0" w:color="FFFFFF"/>
              <w:right w:val="single" w:sz="4" w:space="0" w:color="FFFFFF"/>
            </w:tcBorders>
            <w:shd w:val="clear" w:color="000000" w:fill="EFEAE6"/>
            <w:noWrap/>
            <w:vAlign w:val="bottom"/>
            <w:hideMark/>
          </w:tcPr>
          <w:p w14:paraId="2DBB687E"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23</w:t>
            </w:r>
          </w:p>
        </w:tc>
        <w:tc>
          <w:tcPr>
            <w:tcW w:w="1017" w:type="dxa"/>
            <w:tcBorders>
              <w:top w:val="nil"/>
              <w:left w:val="nil"/>
              <w:bottom w:val="single" w:sz="4" w:space="0" w:color="FFFFFF"/>
              <w:right w:val="single" w:sz="4" w:space="0" w:color="FFFFFF"/>
            </w:tcBorders>
            <w:shd w:val="clear" w:color="000000" w:fill="EFEAE6"/>
            <w:noWrap/>
            <w:vAlign w:val="bottom"/>
            <w:hideMark/>
          </w:tcPr>
          <w:p w14:paraId="09A48052"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55</w:t>
            </w:r>
          </w:p>
        </w:tc>
        <w:tc>
          <w:tcPr>
            <w:tcW w:w="1364" w:type="dxa"/>
            <w:tcBorders>
              <w:top w:val="nil"/>
              <w:left w:val="nil"/>
              <w:bottom w:val="single" w:sz="4" w:space="0" w:color="FFFFFF"/>
              <w:right w:val="single" w:sz="4" w:space="0" w:color="FFFFFF"/>
            </w:tcBorders>
            <w:shd w:val="clear" w:color="000000" w:fill="EFEAE6"/>
            <w:noWrap/>
            <w:vAlign w:val="bottom"/>
            <w:hideMark/>
          </w:tcPr>
          <w:p w14:paraId="06DB7567"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36</w:t>
            </w:r>
          </w:p>
        </w:tc>
        <w:tc>
          <w:tcPr>
            <w:tcW w:w="1272" w:type="dxa"/>
            <w:tcBorders>
              <w:top w:val="nil"/>
              <w:left w:val="nil"/>
              <w:bottom w:val="single" w:sz="4" w:space="0" w:color="FFFFFF"/>
              <w:right w:val="single" w:sz="4" w:space="0" w:color="FFFFFF"/>
            </w:tcBorders>
            <w:shd w:val="clear" w:color="000000" w:fill="EFEAE6"/>
            <w:noWrap/>
            <w:vAlign w:val="bottom"/>
            <w:hideMark/>
          </w:tcPr>
          <w:p w14:paraId="2C3398F5" w14:textId="77777777" w:rsidR="005E1DD4" w:rsidRPr="0083015C" w:rsidRDefault="005E1DD4" w:rsidP="00272545">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5</w:t>
            </w:r>
          </w:p>
        </w:tc>
      </w:tr>
    </w:tbl>
    <w:p w14:paraId="0712E8A4" w14:textId="77777777" w:rsidR="005E1DD4" w:rsidRDefault="005E1DD4" w:rsidP="005E1DD4">
      <w:pPr>
        <w:jc w:val="both"/>
        <w:rPr>
          <w:rFonts w:cstheme="minorHAnsi"/>
          <w:sz w:val="28"/>
          <w:szCs w:val="28"/>
        </w:rPr>
        <w:sectPr w:rsidR="005E1DD4" w:rsidSect="00CD36E6">
          <w:pgSz w:w="16838" w:h="11906" w:orient="landscape"/>
          <w:pgMar w:top="1440" w:right="1440" w:bottom="1440" w:left="1440" w:header="708" w:footer="708" w:gutter="0"/>
          <w:cols w:space="708"/>
          <w:docGrid w:linePitch="360"/>
        </w:sectPr>
      </w:pPr>
    </w:p>
    <w:p w14:paraId="47DA0CA4" w14:textId="0BD2360B" w:rsidR="008D1B59" w:rsidRPr="004B7172" w:rsidRDefault="00943108" w:rsidP="004B7172">
      <w:pPr>
        <w:pStyle w:val="ListParagraph"/>
        <w:numPr>
          <w:ilvl w:val="0"/>
          <w:numId w:val="19"/>
        </w:numPr>
        <w:jc w:val="both"/>
        <w:rPr>
          <w:rFonts w:cstheme="minorHAnsi"/>
          <w:b/>
          <w:sz w:val="32"/>
          <w:szCs w:val="32"/>
        </w:rPr>
      </w:pPr>
      <w:r w:rsidRPr="004B7172">
        <w:rPr>
          <w:rFonts w:cstheme="minorHAnsi"/>
          <w:b/>
          <w:sz w:val="32"/>
          <w:szCs w:val="32"/>
        </w:rPr>
        <w:lastRenderedPageBreak/>
        <w:t>PROVISION RELATIONSHIPS</w:t>
      </w:r>
    </w:p>
    <w:p w14:paraId="0536D0D1" w14:textId="3385E6B0" w:rsidR="00982931" w:rsidRDefault="005C4BF5" w:rsidP="005F21A8">
      <w:pPr>
        <w:jc w:val="both"/>
        <w:rPr>
          <w:rFonts w:cstheme="minorHAnsi"/>
          <w:sz w:val="28"/>
          <w:szCs w:val="28"/>
        </w:rPr>
      </w:pPr>
      <w:r>
        <w:rPr>
          <w:rFonts w:cstheme="minorHAnsi"/>
          <w:sz w:val="28"/>
          <w:szCs w:val="28"/>
        </w:rPr>
        <w:t xml:space="preserve">This </w:t>
      </w:r>
      <w:r w:rsidR="008D1B59" w:rsidRPr="008D1B59">
        <w:rPr>
          <w:rFonts w:cstheme="minorHAnsi"/>
          <w:sz w:val="28"/>
          <w:szCs w:val="28"/>
        </w:rPr>
        <w:t>section considers the relationships</w:t>
      </w:r>
      <w:r>
        <w:rPr>
          <w:rFonts w:cstheme="minorHAnsi"/>
          <w:sz w:val="28"/>
          <w:szCs w:val="28"/>
        </w:rPr>
        <w:t>,</w:t>
      </w:r>
      <w:r w:rsidR="008D1B59" w:rsidRPr="008D1B59">
        <w:rPr>
          <w:rFonts w:cstheme="minorHAnsi"/>
          <w:sz w:val="28"/>
          <w:szCs w:val="28"/>
        </w:rPr>
        <w:t xml:space="preserve"> if any</w:t>
      </w:r>
      <w:r>
        <w:rPr>
          <w:rFonts w:cstheme="minorHAnsi"/>
          <w:sz w:val="28"/>
          <w:szCs w:val="28"/>
        </w:rPr>
        <w:t>,</w:t>
      </w:r>
      <w:r w:rsidR="008D1B59" w:rsidRPr="008D1B59">
        <w:rPr>
          <w:rFonts w:cstheme="minorHAnsi"/>
          <w:sz w:val="28"/>
          <w:szCs w:val="28"/>
        </w:rPr>
        <w:t xml:space="preserve"> between onshore and </w:t>
      </w:r>
      <w:r w:rsidR="0031077B">
        <w:rPr>
          <w:rFonts w:cstheme="minorHAnsi"/>
          <w:sz w:val="28"/>
          <w:szCs w:val="28"/>
        </w:rPr>
        <w:t>offshore</w:t>
      </w:r>
      <w:r w:rsidR="008D1B59" w:rsidRPr="008D1B59">
        <w:rPr>
          <w:rFonts w:cstheme="minorHAnsi"/>
          <w:sz w:val="28"/>
          <w:szCs w:val="28"/>
        </w:rPr>
        <w:t xml:space="preserve"> provision.</w:t>
      </w:r>
      <w:r w:rsidR="008D1B59">
        <w:rPr>
          <w:rFonts w:cstheme="minorHAnsi"/>
          <w:sz w:val="28"/>
          <w:szCs w:val="28"/>
        </w:rPr>
        <w:t xml:space="preserve"> Relationships</w:t>
      </w:r>
      <w:r w:rsidR="008D1B59" w:rsidRPr="008D1B59">
        <w:rPr>
          <w:rFonts w:cstheme="minorHAnsi"/>
          <w:sz w:val="28"/>
          <w:szCs w:val="28"/>
        </w:rPr>
        <w:t xml:space="preserve"> </w:t>
      </w:r>
      <w:r w:rsidR="008D1B59">
        <w:rPr>
          <w:rFonts w:cstheme="minorHAnsi"/>
          <w:sz w:val="28"/>
          <w:szCs w:val="28"/>
        </w:rPr>
        <w:t xml:space="preserve">may be </w:t>
      </w:r>
      <w:r w:rsidR="0089588F">
        <w:rPr>
          <w:rFonts w:cstheme="minorHAnsi"/>
          <w:sz w:val="28"/>
          <w:szCs w:val="28"/>
        </w:rPr>
        <w:t xml:space="preserve">completely </w:t>
      </w:r>
      <w:r w:rsidR="008D1B59">
        <w:rPr>
          <w:rFonts w:cstheme="minorHAnsi"/>
          <w:sz w:val="28"/>
          <w:szCs w:val="28"/>
        </w:rPr>
        <w:t xml:space="preserve">non-existent or, if definite causal relationships </w:t>
      </w:r>
      <w:r w:rsidR="0089588F">
        <w:rPr>
          <w:rFonts w:cstheme="minorHAnsi"/>
          <w:sz w:val="28"/>
          <w:szCs w:val="28"/>
        </w:rPr>
        <w:t xml:space="preserve">between them </w:t>
      </w:r>
      <w:r w:rsidR="008D1B59">
        <w:rPr>
          <w:rFonts w:cstheme="minorHAnsi"/>
          <w:sz w:val="28"/>
          <w:szCs w:val="28"/>
        </w:rPr>
        <w:t xml:space="preserve">can be identified, these can be </w:t>
      </w:r>
      <w:r w:rsidR="005F21A8">
        <w:rPr>
          <w:rFonts w:cstheme="minorHAnsi"/>
          <w:sz w:val="28"/>
          <w:szCs w:val="28"/>
        </w:rPr>
        <w:t xml:space="preserve">either </w:t>
      </w:r>
      <w:r w:rsidR="008D1B59">
        <w:rPr>
          <w:rFonts w:cstheme="minorHAnsi"/>
          <w:sz w:val="28"/>
          <w:szCs w:val="28"/>
        </w:rPr>
        <w:t>substitutive or complementary.</w:t>
      </w:r>
      <w:r w:rsidR="00553FC9">
        <w:rPr>
          <w:rFonts w:cstheme="minorHAnsi"/>
          <w:sz w:val="28"/>
          <w:szCs w:val="28"/>
        </w:rPr>
        <w:t xml:space="preserve"> </w:t>
      </w:r>
      <w:r w:rsidR="00002DB2">
        <w:rPr>
          <w:rFonts w:cstheme="minorHAnsi"/>
          <w:sz w:val="28"/>
          <w:szCs w:val="28"/>
        </w:rPr>
        <w:t xml:space="preserve">Analysis of any significant causal relationships has </w:t>
      </w:r>
      <w:r w:rsidR="00272545">
        <w:rPr>
          <w:rFonts w:cstheme="minorHAnsi"/>
          <w:sz w:val="28"/>
          <w:szCs w:val="28"/>
        </w:rPr>
        <w:t xml:space="preserve">to be </w:t>
      </w:r>
      <w:r w:rsidR="00002DB2">
        <w:rPr>
          <w:rFonts w:cstheme="minorHAnsi"/>
          <w:sz w:val="28"/>
          <w:szCs w:val="28"/>
        </w:rPr>
        <w:t xml:space="preserve">done at the level of </w:t>
      </w:r>
      <w:r w:rsidR="00E51B3B">
        <w:rPr>
          <w:rFonts w:cstheme="minorHAnsi"/>
          <w:sz w:val="28"/>
          <w:szCs w:val="28"/>
        </w:rPr>
        <w:t xml:space="preserve">each </w:t>
      </w:r>
      <w:r w:rsidR="00250A17">
        <w:rPr>
          <w:rFonts w:cstheme="minorHAnsi"/>
          <w:sz w:val="28"/>
          <w:szCs w:val="28"/>
        </w:rPr>
        <w:t xml:space="preserve">UK </w:t>
      </w:r>
      <w:r w:rsidR="00002DB2">
        <w:rPr>
          <w:rFonts w:cstheme="minorHAnsi"/>
          <w:sz w:val="28"/>
          <w:szCs w:val="28"/>
        </w:rPr>
        <w:t>university</w:t>
      </w:r>
      <w:r w:rsidR="00982931">
        <w:rPr>
          <w:rFonts w:cstheme="minorHAnsi"/>
          <w:sz w:val="28"/>
          <w:szCs w:val="28"/>
        </w:rPr>
        <w:t xml:space="preserve"> in a specific country, and in particular countries like Malaysia, Singapore and Hong Kong or China where </w:t>
      </w:r>
      <w:r w:rsidR="0031077B">
        <w:rPr>
          <w:rFonts w:cstheme="minorHAnsi"/>
          <w:sz w:val="28"/>
          <w:szCs w:val="28"/>
        </w:rPr>
        <w:t>offshore</w:t>
      </w:r>
      <w:r w:rsidR="00982931">
        <w:rPr>
          <w:rFonts w:cstheme="minorHAnsi"/>
          <w:sz w:val="28"/>
          <w:szCs w:val="28"/>
        </w:rPr>
        <w:t xml:space="preserve"> enrolments are sizeable.</w:t>
      </w:r>
    </w:p>
    <w:p w14:paraId="06E0E2C7" w14:textId="45BC3C92" w:rsidR="00B75325" w:rsidRDefault="00250A17" w:rsidP="005F21A8">
      <w:pPr>
        <w:jc w:val="both"/>
        <w:rPr>
          <w:rFonts w:cstheme="minorHAnsi"/>
          <w:sz w:val="28"/>
          <w:szCs w:val="28"/>
        </w:rPr>
      </w:pPr>
      <w:r>
        <w:rPr>
          <w:rFonts w:cstheme="minorHAnsi"/>
          <w:sz w:val="28"/>
          <w:szCs w:val="28"/>
        </w:rPr>
        <w:t>W</w:t>
      </w:r>
      <w:r w:rsidR="00272545">
        <w:rPr>
          <w:rFonts w:cstheme="minorHAnsi"/>
          <w:sz w:val="28"/>
          <w:szCs w:val="28"/>
        </w:rPr>
        <w:t xml:space="preserve">ith a few exceptions, the fee differentials between onshore and </w:t>
      </w:r>
      <w:r w:rsidR="0031077B">
        <w:rPr>
          <w:rFonts w:cstheme="minorHAnsi"/>
          <w:sz w:val="28"/>
          <w:szCs w:val="28"/>
        </w:rPr>
        <w:t>offshore</w:t>
      </w:r>
      <w:r w:rsidR="00272545">
        <w:rPr>
          <w:rFonts w:cstheme="minorHAnsi"/>
          <w:sz w:val="28"/>
          <w:szCs w:val="28"/>
        </w:rPr>
        <w:t xml:space="preserve"> </w:t>
      </w:r>
      <w:r w:rsidR="005C4BF5">
        <w:rPr>
          <w:rFonts w:cstheme="minorHAnsi"/>
          <w:sz w:val="28"/>
          <w:szCs w:val="28"/>
        </w:rPr>
        <w:t xml:space="preserve">overseas </w:t>
      </w:r>
      <w:r w:rsidR="00272545">
        <w:rPr>
          <w:rFonts w:cstheme="minorHAnsi"/>
          <w:sz w:val="28"/>
          <w:szCs w:val="28"/>
        </w:rPr>
        <w:t>students are very large (see table</w:t>
      </w:r>
      <w:r>
        <w:rPr>
          <w:rFonts w:cstheme="minorHAnsi"/>
          <w:sz w:val="28"/>
          <w:szCs w:val="28"/>
        </w:rPr>
        <w:t>s 5 and 6</w:t>
      </w:r>
      <w:r w:rsidR="00272545">
        <w:rPr>
          <w:rFonts w:cstheme="minorHAnsi"/>
          <w:sz w:val="28"/>
          <w:szCs w:val="28"/>
        </w:rPr>
        <w:t>).</w:t>
      </w:r>
      <w:r w:rsidR="00503870">
        <w:rPr>
          <w:rFonts w:cstheme="minorHAnsi"/>
          <w:sz w:val="28"/>
          <w:szCs w:val="28"/>
        </w:rPr>
        <w:t xml:space="preserve"> </w:t>
      </w:r>
      <w:r>
        <w:rPr>
          <w:rFonts w:cstheme="minorHAnsi"/>
          <w:sz w:val="28"/>
          <w:szCs w:val="28"/>
        </w:rPr>
        <w:t>Fees for non-EU student</w:t>
      </w:r>
      <w:r w:rsidR="005C4BF5">
        <w:rPr>
          <w:rFonts w:cstheme="minorHAnsi"/>
          <w:sz w:val="28"/>
          <w:szCs w:val="28"/>
        </w:rPr>
        <w:t>s</w:t>
      </w:r>
      <w:r>
        <w:rPr>
          <w:rFonts w:cstheme="minorHAnsi"/>
          <w:sz w:val="28"/>
          <w:szCs w:val="28"/>
        </w:rPr>
        <w:t xml:space="preserve"> average over £15,000 at English ancient and redbrick universities and are £10,000-£13,000 at the ex-polytechnics. By contrast, with a few exceptions, fees charged by UK university overseas partners are in the region of £2,000-</w:t>
      </w:r>
      <w:r w:rsidR="00AA0055">
        <w:rPr>
          <w:rFonts w:cstheme="minorHAnsi"/>
          <w:sz w:val="28"/>
          <w:szCs w:val="28"/>
        </w:rPr>
        <w:t>£</w:t>
      </w:r>
      <w:r>
        <w:rPr>
          <w:rFonts w:cstheme="minorHAnsi"/>
          <w:sz w:val="28"/>
          <w:szCs w:val="28"/>
        </w:rPr>
        <w:t xml:space="preserve">5,000. </w:t>
      </w:r>
      <w:r w:rsidR="003528B7">
        <w:rPr>
          <w:rFonts w:cstheme="minorHAnsi"/>
          <w:sz w:val="28"/>
          <w:szCs w:val="28"/>
        </w:rPr>
        <w:t xml:space="preserve">Moreover, </w:t>
      </w:r>
      <w:r>
        <w:rPr>
          <w:rFonts w:cstheme="minorHAnsi"/>
          <w:sz w:val="28"/>
          <w:szCs w:val="28"/>
        </w:rPr>
        <w:t>onshore-</w:t>
      </w:r>
      <w:r w:rsidR="0031077B">
        <w:rPr>
          <w:rFonts w:cstheme="minorHAnsi"/>
          <w:sz w:val="28"/>
          <w:szCs w:val="28"/>
        </w:rPr>
        <w:t>offshore</w:t>
      </w:r>
      <w:r>
        <w:rPr>
          <w:rFonts w:cstheme="minorHAnsi"/>
          <w:sz w:val="28"/>
          <w:szCs w:val="28"/>
        </w:rPr>
        <w:t xml:space="preserve"> fee differentials </w:t>
      </w:r>
      <w:r w:rsidR="003528B7">
        <w:rPr>
          <w:rFonts w:cstheme="minorHAnsi"/>
          <w:sz w:val="28"/>
          <w:szCs w:val="28"/>
        </w:rPr>
        <w:t xml:space="preserve">are likely to have increased during the last decade. </w:t>
      </w:r>
      <w:r w:rsidR="00B75325">
        <w:rPr>
          <w:rFonts w:cstheme="minorHAnsi"/>
          <w:sz w:val="28"/>
          <w:szCs w:val="28"/>
        </w:rPr>
        <w:t>In the UK, a</w:t>
      </w:r>
      <w:r w:rsidR="003528B7">
        <w:rPr>
          <w:rFonts w:cstheme="minorHAnsi"/>
          <w:sz w:val="28"/>
          <w:szCs w:val="28"/>
        </w:rPr>
        <w:t xml:space="preserve">verage fee levels for non-EU overseas student increased </w:t>
      </w:r>
      <w:r w:rsidR="00B75325">
        <w:rPr>
          <w:rFonts w:cstheme="minorHAnsi"/>
          <w:sz w:val="28"/>
          <w:szCs w:val="28"/>
        </w:rPr>
        <w:t xml:space="preserve">appreciably </w:t>
      </w:r>
      <w:r w:rsidR="003528B7">
        <w:rPr>
          <w:rFonts w:cstheme="minorHAnsi"/>
          <w:sz w:val="28"/>
          <w:szCs w:val="28"/>
        </w:rPr>
        <w:t>from £9,600 in 2010/11 to £15,200 in</w:t>
      </w:r>
      <w:r w:rsidR="00B75325">
        <w:rPr>
          <w:rFonts w:cstheme="minorHAnsi"/>
          <w:sz w:val="28"/>
          <w:szCs w:val="28"/>
        </w:rPr>
        <w:t xml:space="preserve"> </w:t>
      </w:r>
      <w:r w:rsidR="003528B7">
        <w:rPr>
          <w:rFonts w:cstheme="minorHAnsi"/>
          <w:sz w:val="28"/>
          <w:szCs w:val="28"/>
        </w:rPr>
        <w:t xml:space="preserve">2016/17. Time series data on fees for </w:t>
      </w:r>
      <w:r w:rsidR="0031077B">
        <w:rPr>
          <w:rFonts w:cstheme="minorHAnsi"/>
          <w:sz w:val="28"/>
          <w:szCs w:val="28"/>
        </w:rPr>
        <w:t>offshore</w:t>
      </w:r>
      <w:r w:rsidR="003528B7">
        <w:rPr>
          <w:rFonts w:cstheme="minorHAnsi"/>
          <w:sz w:val="28"/>
          <w:szCs w:val="28"/>
        </w:rPr>
        <w:t xml:space="preserve"> courses is not available, but given the very competitive nature of these </w:t>
      </w:r>
      <w:r w:rsidR="0031077B">
        <w:rPr>
          <w:rFonts w:cstheme="minorHAnsi"/>
          <w:sz w:val="28"/>
          <w:szCs w:val="28"/>
        </w:rPr>
        <w:t>offshore</w:t>
      </w:r>
      <w:r w:rsidR="003528B7">
        <w:rPr>
          <w:rFonts w:cstheme="minorHAnsi"/>
          <w:sz w:val="28"/>
          <w:szCs w:val="28"/>
        </w:rPr>
        <w:t xml:space="preserve"> markets (especially in Malaysia, Singapore and Hong Kong), it is unlikely that fee levels have increased as much as for overseas students in the UK.</w:t>
      </w:r>
      <w:r w:rsidR="00503870">
        <w:rPr>
          <w:rFonts w:cstheme="minorHAnsi"/>
          <w:sz w:val="28"/>
          <w:szCs w:val="28"/>
        </w:rPr>
        <w:t xml:space="preserve"> </w:t>
      </w:r>
      <w:r w:rsidR="00272545">
        <w:rPr>
          <w:rFonts w:cstheme="minorHAnsi"/>
          <w:sz w:val="28"/>
          <w:szCs w:val="28"/>
        </w:rPr>
        <w:t xml:space="preserve"> </w:t>
      </w:r>
    </w:p>
    <w:p w14:paraId="412F7093" w14:textId="7B5CF15D" w:rsidR="00982931" w:rsidRDefault="00272545" w:rsidP="005F21A8">
      <w:pPr>
        <w:jc w:val="both"/>
        <w:rPr>
          <w:rFonts w:cstheme="minorHAnsi"/>
          <w:sz w:val="28"/>
          <w:szCs w:val="28"/>
        </w:rPr>
      </w:pPr>
      <w:r>
        <w:rPr>
          <w:rFonts w:cstheme="minorHAnsi"/>
          <w:sz w:val="28"/>
          <w:szCs w:val="28"/>
        </w:rPr>
        <w:t>Given this situation, one might expect t</w:t>
      </w:r>
      <w:r w:rsidR="00B93EB1">
        <w:rPr>
          <w:rFonts w:cstheme="minorHAnsi"/>
          <w:sz w:val="28"/>
          <w:szCs w:val="28"/>
        </w:rPr>
        <w:t xml:space="preserve">hat the provision of, in relative terms, increasingly </w:t>
      </w:r>
      <w:r w:rsidR="00BF760E">
        <w:rPr>
          <w:rFonts w:cstheme="minorHAnsi"/>
          <w:sz w:val="28"/>
          <w:szCs w:val="28"/>
        </w:rPr>
        <w:t xml:space="preserve">less costly </w:t>
      </w:r>
      <w:r w:rsidR="0031077B">
        <w:rPr>
          <w:rFonts w:cstheme="minorHAnsi"/>
          <w:sz w:val="28"/>
          <w:szCs w:val="28"/>
        </w:rPr>
        <w:t>offshore</w:t>
      </w:r>
      <w:r w:rsidR="00286EB8">
        <w:rPr>
          <w:rFonts w:cstheme="minorHAnsi"/>
          <w:sz w:val="28"/>
          <w:szCs w:val="28"/>
        </w:rPr>
        <w:t xml:space="preserve"> </w:t>
      </w:r>
      <w:r w:rsidR="00B75325">
        <w:rPr>
          <w:rFonts w:cstheme="minorHAnsi"/>
          <w:sz w:val="28"/>
          <w:szCs w:val="28"/>
        </w:rPr>
        <w:t xml:space="preserve">UK degree </w:t>
      </w:r>
      <w:r>
        <w:rPr>
          <w:rFonts w:cstheme="minorHAnsi"/>
          <w:sz w:val="28"/>
          <w:szCs w:val="28"/>
        </w:rPr>
        <w:t xml:space="preserve">courses </w:t>
      </w:r>
      <w:r w:rsidR="00286EB8">
        <w:rPr>
          <w:rFonts w:cstheme="minorHAnsi"/>
          <w:sz w:val="28"/>
          <w:szCs w:val="28"/>
        </w:rPr>
        <w:t xml:space="preserve">would lead to </w:t>
      </w:r>
      <w:r>
        <w:rPr>
          <w:rFonts w:cstheme="minorHAnsi"/>
          <w:sz w:val="28"/>
          <w:szCs w:val="28"/>
        </w:rPr>
        <w:t xml:space="preserve">rapid </w:t>
      </w:r>
      <w:r w:rsidR="00286EB8">
        <w:rPr>
          <w:rFonts w:cstheme="minorHAnsi"/>
          <w:sz w:val="28"/>
          <w:szCs w:val="28"/>
        </w:rPr>
        <w:t xml:space="preserve">and sizeable </w:t>
      </w:r>
      <w:r>
        <w:rPr>
          <w:rFonts w:cstheme="minorHAnsi"/>
          <w:sz w:val="28"/>
          <w:szCs w:val="28"/>
        </w:rPr>
        <w:t>increase</w:t>
      </w:r>
      <w:r w:rsidR="00286EB8">
        <w:rPr>
          <w:rFonts w:cstheme="minorHAnsi"/>
          <w:sz w:val="28"/>
          <w:szCs w:val="28"/>
        </w:rPr>
        <w:t>s</w:t>
      </w:r>
      <w:r>
        <w:rPr>
          <w:rFonts w:cstheme="minorHAnsi"/>
          <w:sz w:val="28"/>
          <w:szCs w:val="28"/>
        </w:rPr>
        <w:t xml:space="preserve"> in </w:t>
      </w:r>
      <w:r w:rsidR="0031077B">
        <w:rPr>
          <w:rFonts w:cstheme="minorHAnsi"/>
          <w:sz w:val="28"/>
          <w:szCs w:val="28"/>
        </w:rPr>
        <w:t>offshore</w:t>
      </w:r>
      <w:r>
        <w:rPr>
          <w:rFonts w:cstheme="minorHAnsi"/>
          <w:sz w:val="28"/>
          <w:szCs w:val="28"/>
        </w:rPr>
        <w:t xml:space="preserve"> enrolments and a corresponding reduction in onshore students from that country studying in the UK. In other words, </w:t>
      </w:r>
      <w:r w:rsidR="00FF708C">
        <w:rPr>
          <w:rFonts w:cstheme="minorHAnsi"/>
          <w:sz w:val="28"/>
          <w:szCs w:val="28"/>
        </w:rPr>
        <w:t xml:space="preserve">the substitution effects are potentially large with high and negative </w:t>
      </w:r>
      <w:r w:rsidR="00B75325">
        <w:rPr>
          <w:rFonts w:cstheme="minorHAnsi"/>
          <w:sz w:val="28"/>
          <w:szCs w:val="28"/>
        </w:rPr>
        <w:t>cross elasticities</w:t>
      </w:r>
      <w:r>
        <w:rPr>
          <w:rFonts w:cstheme="minorHAnsi"/>
          <w:sz w:val="28"/>
          <w:szCs w:val="28"/>
        </w:rPr>
        <w:t xml:space="preserve"> of demand.</w:t>
      </w:r>
    </w:p>
    <w:p w14:paraId="4A72D80D" w14:textId="5DBA8BC9" w:rsidR="00982931" w:rsidRPr="00982931" w:rsidRDefault="004B7172" w:rsidP="00AA0055">
      <w:pPr>
        <w:spacing w:after="160" w:line="259" w:lineRule="auto"/>
        <w:rPr>
          <w:rFonts w:cstheme="minorHAnsi"/>
          <w:b/>
          <w:sz w:val="28"/>
          <w:szCs w:val="28"/>
        </w:rPr>
      </w:pPr>
      <w:r>
        <w:rPr>
          <w:rFonts w:cstheme="minorHAnsi"/>
          <w:b/>
          <w:sz w:val="28"/>
          <w:szCs w:val="28"/>
        </w:rPr>
        <w:t>6</w:t>
      </w:r>
      <w:r w:rsidR="00982931" w:rsidRPr="00982931">
        <w:rPr>
          <w:rFonts w:cstheme="minorHAnsi"/>
          <w:b/>
          <w:sz w:val="28"/>
          <w:szCs w:val="28"/>
        </w:rPr>
        <w:t>.1. ZERO EFFECTS</w:t>
      </w:r>
    </w:p>
    <w:p w14:paraId="0A68E46E" w14:textId="40C7B143" w:rsidR="00A82052" w:rsidRDefault="00982931" w:rsidP="005F21A8">
      <w:pPr>
        <w:jc w:val="both"/>
        <w:rPr>
          <w:rFonts w:cstheme="minorHAnsi"/>
          <w:sz w:val="28"/>
          <w:szCs w:val="28"/>
        </w:rPr>
      </w:pPr>
      <w:r>
        <w:rPr>
          <w:rFonts w:cstheme="minorHAnsi"/>
          <w:sz w:val="28"/>
          <w:szCs w:val="28"/>
        </w:rPr>
        <w:t xml:space="preserve">For most universities, there are </w:t>
      </w:r>
      <w:r w:rsidR="005C4BF5">
        <w:rPr>
          <w:rFonts w:cstheme="minorHAnsi"/>
          <w:sz w:val="28"/>
          <w:szCs w:val="28"/>
        </w:rPr>
        <w:t>four main reasons why there are</w:t>
      </w:r>
      <w:r w:rsidR="00C04D80">
        <w:rPr>
          <w:rFonts w:cstheme="minorHAnsi"/>
          <w:sz w:val="28"/>
          <w:szCs w:val="28"/>
        </w:rPr>
        <w:t xml:space="preserve"> </w:t>
      </w:r>
      <w:r>
        <w:rPr>
          <w:rFonts w:cstheme="minorHAnsi"/>
          <w:sz w:val="28"/>
          <w:szCs w:val="28"/>
        </w:rPr>
        <w:t>unlikely to be any significant substitutio</w:t>
      </w:r>
      <w:r w:rsidR="00286EB8">
        <w:rPr>
          <w:rFonts w:cstheme="minorHAnsi"/>
          <w:sz w:val="28"/>
          <w:szCs w:val="28"/>
        </w:rPr>
        <w:t xml:space="preserve">n </w:t>
      </w:r>
      <w:r w:rsidR="005C4BF5">
        <w:rPr>
          <w:rFonts w:cstheme="minorHAnsi"/>
          <w:sz w:val="28"/>
          <w:szCs w:val="28"/>
        </w:rPr>
        <w:t xml:space="preserve">effects </w:t>
      </w:r>
      <w:r w:rsidR="00286EB8">
        <w:rPr>
          <w:rFonts w:cstheme="minorHAnsi"/>
          <w:sz w:val="28"/>
          <w:szCs w:val="28"/>
        </w:rPr>
        <w:t xml:space="preserve">between </w:t>
      </w:r>
      <w:r>
        <w:rPr>
          <w:rFonts w:cstheme="minorHAnsi"/>
          <w:sz w:val="28"/>
          <w:szCs w:val="28"/>
        </w:rPr>
        <w:t xml:space="preserve">onshore and </w:t>
      </w:r>
      <w:r w:rsidR="0031077B">
        <w:rPr>
          <w:rFonts w:cstheme="minorHAnsi"/>
          <w:sz w:val="28"/>
          <w:szCs w:val="28"/>
        </w:rPr>
        <w:t>offshore</w:t>
      </w:r>
      <w:r>
        <w:rPr>
          <w:rFonts w:cstheme="minorHAnsi"/>
          <w:sz w:val="28"/>
          <w:szCs w:val="28"/>
        </w:rPr>
        <w:t xml:space="preserve"> enrolment</w:t>
      </w:r>
      <w:r w:rsidR="00B75325">
        <w:rPr>
          <w:rFonts w:cstheme="minorHAnsi"/>
          <w:sz w:val="28"/>
          <w:szCs w:val="28"/>
        </w:rPr>
        <w:t>s</w:t>
      </w:r>
      <w:r w:rsidR="005C4BF5">
        <w:rPr>
          <w:rFonts w:cstheme="minorHAnsi"/>
          <w:sz w:val="28"/>
          <w:szCs w:val="28"/>
        </w:rPr>
        <w:t xml:space="preserve">. </w:t>
      </w:r>
      <w:r w:rsidR="00C04D80">
        <w:rPr>
          <w:rFonts w:cstheme="minorHAnsi"/>
          <w:sz w:val="28"/>
          <w:szCs w:val="28"/>
        </w:rPr>
        <w:t xml:space="preserve">Firstly, </w:t>
      </w:r>
      <w:r>
        <w:rPr>
          <w:rFonts w:cstheme="minorHAnsi"/>
          <w:sz w:val="28"/>
          <w:szCs w:val="28"/>
        </w:rPr>
        <w:t xml:space="preserve">for the large majority of universities in the UK, </w:t>
      </w:r>
      <w:r w:rsidR="0031077B">
        <w:rPr>
          <w:rFonts w:cstheme="minorHAnsi"/>
          <w:sz w:val="28"/>
          <w:szCs w:val="28"/>
        </w:rPr>
        <w:t>offshore</w:t>
      </w:r>
      <w:r>
        <w:rPr>
          <w:rFonts w:cstheme="minorHAnsi"/>
          <w:sz w:val="28"/>
          <w:szCs w:val="28"/>
        </w:rPr>
        <w:t xml:space="preserve"> </w:t>
      </w:r>
      <w:r w:rsidR="005C4BF5">
        <w:rPr>
          <w:rFonts w:cstheme="minorHAnsi"/>
          <w:sz w:val="28"/>
          <w:szCs w:val="28"/>
        </w:rPr>
        <w:t xml:space="preserve">overseas student </w:t>
      </w:r>
      <w:r>
        <w:rPr>
          <w:rFonts w:cstheme="minorHAnsi"/>
          <w:sz w:val="28"/>
          <w:szCs w:val="28"/>
        </w:rPr>
        <w:t>enrolments are small both in absolute terms and in relati</w:t>
      </w:r>
      <w:r w:rsidR="00A82052">
        <w:rPr>
          <w:rFonts w:cstheme="minorHAnsi"/>
          <w:sz w:val="28"/>
          <w:szCs w:val="28"/>
        </w:rPr>
        <w:t>on to total onshore enrolments.</w:t>
      </w:r>
    </w:p>
    <w:p w14:paraId="0C08E836" w14:textId="609C7E27" w:rsidR="00A82052" w:rsidRDefault="00C04D80" w:rsidP="005F21A8">
      <w:pPr>
        <w:jc w:val="both"/>
        <w:rPr>
          <w:rFonts w:cstheme="minorHAnsi"/>
          <w:sz w:val="28"/>
          <w:szCs w:val="28"/>
        </w:rPr>
      </w:pPr>
      <w:r>
        <w:rPr>
          <w:rFonts w:cstheme="minorHAnsi"/>
          <w:sz w:val="28"/>
          <w:szCs w:val="28"/>
        </w:rPr>
        <w:lastRenderedPageBreak/>
        <w:t xml:space="preserve">Secondly, </w:t>
      </w:r>
      <w:r w:rsidR="00503870">
        <w:rPr>
          <w:rFonts w:cstheme="minorHAnsi"/>
          <w:sz w:val="28"/>
          <w:szCs w:val="28"/>
        </w:rPr>
        <w:t>the actual revenue that universities themselves earn f</w:t>
      </w:r>
      <w:r w:rsidR="00B75325">
        <w:rPr>
          <w:rFonts w:cstheme="minorHAnsi"/>
          <w:sz w:val="28"/>
          <w:szCs w:val="28"/>
        </w:rPr>
        <w:t xml:space="preserve">rom </w:t>
      </w:r>
      <w:r w:rsidR="0031077B">
        <w:rPr>
          <w:rFonts w:cstheme="minorHAnsi"/>
          <w:sz w:val="28"/>
          <w:szCs w:val="28"/>
        </w:rPr>
        <w:t>offshore</w:t>
      </w:r>
      <w:r w:rsidR="00503870">
        <w:rPr>
          <w:rFonts w:cstheme="minorHAnsi"/>
          <w:sz w:val="28"/>
          <w:szCs w:val="28"/>
        </w:rPr>
        <w:t xml:space="preserve"> </w:t>
      </w:r>
      <w:r>
        <w:rPr>
          <w:rFonts w:cstheme="minorHAnsi"/>
          <w:sz w:val="28"/>
          <w:szCs w:val="28"/>
        </w:rPr>
        <w:t xml:space="preserve">provision </w:t>
      </w:r>
      <w:r w:rsidR="005C4BF5">
        <w:rPr>
          <w:rFonts w:cstheme="minorHAnsi"/>
          <w:sz w:val="28"/>
          <w:szCs w:val="28"/>
        </w:rPr>
        <w:t xml:space="preserve">is </w:t>
      </w:r>
      <w:r w:rsidR="00B75325">
        <w:rPr>
          <w:rFonts w:cstheme="minorHAnsi"/>
          <w:sz w:val="28"/>
          <w:szCs w:val="28"/>
        </w:rPr>
        <w:t>low, averaging only £636</w:t>
      </w:r>
      <w:r w:rsidR="00503870">
        <w:rPr>
          <w:rFonts w:cstheme="minorHAnsi"/>
          <w:sz w:val="28"/>
          <w:szCs w:val="28"/>
        </w:rPr>
        <w:t xml:space="preserve"> per studen</w:t>
      </w:r>
      <w:r w:rsidR="00B75325">
        <w:rPr>
          <w:rFonts w:cstheme="minorHAnsi"/>
          <w:sz w:val="28"/>
          <w:szCs w:val="28"/>
        </w:rPr>
        <w:t>t for franchise/validation</w:t>
      </w:r>
      <w:r>
        <w:rPr>
          <w:rFonts w:cstheme="minorHAnsi"/>
          <w:sz w:val="28"/>
          <w:szCs w:val="28"/>
        </w:rPr>
        <w:t xml:space="preserve"> </w:t>
      </w:r>
      <w:r w:rsidR="005C4BF5">
        <w:rPr>
          <w:rFonts w:cstheme="minorHAnsi"/>
          <w:sz w:val="28"/>
          <w:szCs w:val="28"/>
        </w:rPr>
        <w:t xml:space="preserve">and </w:t>
      </w:r>
      <w:r w:rsidR="00B75325">
        <w:rPr>
          <w:rFonts w:cstheme="minorHAnsi"/>
          <w:sz w:val="28"/>
          <w:szCs w:val="28"/>
        </w:rPr>
        <w:t xml:space="preserve">£1,714 for distance learning </w:t>
      </w:r>
      <w:r w:rsidR="005C4BF5">
        <w:rPr>
          <w:rFonts w:cstheme="minorHAnsi"/>
          <w:sz w:val="28"/>
          <w:szCs w:val="28"/>
        </w:rPr>
        <w:t xml:space="preserve">courses </w:t>
      </w:r>
      <w:r w:rsidR="00B75325">
        <w:rPr>
          <w:rFonts w:cstheme="minorHAnsi"/>
          <w:sz w:val="28"/>
          <w:szCs w:val="28"/>
        </w:rPr>
        <w:t>and £5,378</w:t>
      </w:r>
      <w:r w:rsidR="00503870">
        <w:rPr>
          <w:rFonts w:cstheme="minorHAnsi"/>
          <w:sz w:val="28"/>
          <w:szCs w:val="28"/>
        </w:rPr>
        <w:t xml:space="preserve"> </w:t>
      </w:r>
      <w:r>
        <w:rPr>
          <w:rFonts w:cstheme="minorHAnsi"/>
          <w:sz w:val="28"/>
          <w:szCs w:val="28"/>
        </w:rPr>
        <w:t xml:space="preserve">at </w:t>
      </w:r>
      <w:r w:rsidR="00503870">
        <w:rPr>
          <w:rFonts w:cstheme="minorHAnsi"/>
          <w:sz w:val="28"/>
          <w:szCs w:val="28"/>
        </w:rPr>
        <w:t xml:space="preserve">overseas branch campuses </w:t>
      </w:r>
      <w:r>
        <w:rPr>
          <w:rFonts w:cstheme="minorHAnsi"/>
          <w:sz w:val="28"/>
          <w:szCs w:val="28"/>
        </w:rPr>
        <w:t>Whereas profit/net surplus per onshore overseas student is likely to be at least £5,000</w:t>
      </w:r>
      <w:r>
        <w:rPr>
          <w:rStyle w:val="FootnoteReference"/>
          <w:rFonts w:cstheme="minorHAnsi"/>
          <w:sz w:val="28"/>
          <w:szCs w:val="28"/>
        </w:rPr>
        <w:footnoteReference w:id="4"/>
      </w:r>
      <w:r>
        <w:rPr>
          <w:rFonts w:cstheme="minorHAnsi"/>
          <w:sz w:val="28"/>
          <w:szCs w:val="28"/>
        </w:rPr>
        <w:t xml:space="preserve">, it exceeded £1,000 for overseas collaborative courses (which make up more than two-thirds of total </w:t>
      </w:r>
      <w:r w:rsidR="0031077B">
        <w:rPr>
          <w:rFonts w:cstheme="minorHAnsi"/>
          <w:sz w:val="28"/>
          <w:szCs w:val="28"/>
        </w:rPr>
        <w:t>offshore</w:t>
      </w:r>
      <w:r>
        <w:rPr>
          <w:rFonts w:cstheme="minorHAnsi"/>
          <w:sz w:val="28"/>
          <w:szCs w:val="28"/>
        </w:rPr>
        <w:t xml:space="preserve"> enrolments) at only 7</w:t>
      </w:r>
      <w:r w:rsidR="00A82052">
        <w:rPr>
          <w:rFonts w:cstheme="minorHAnsi"/>
          <w:sz w:val="28"/>
          <w:szCs w:val="28"/>
        </w:rPr>
        <w:t>% of universities</w:t>
      </w:r>
      <w:r w:rsidR="00287509">
        <w:rPr>
          <w:rFonts w:cstheme="minorHAnsi"/>
          <w:sz w:val="28"/>
          <w:szCs w:val="28"/>
        </w:rPr>
        <w:t xml:space="preserve"> (see Author,</w:t>
      </w:r>
      <w:r>
        <w:rPr>
          <w:rFonts w:cstheme="minorHAnsi"/>
          <w:sz w:val="28"/>
          <w:szCs w:val="28"/>
        </w:rPr>
        <w:t xml:space="preserve"> 2019</w:t>
      </w:r>
      <w:r w:rsidR="003A4C2F">
        <w:rPr>
          <w:rFonts w:cstheme="minorHAnsi"/>
          <w:sz w:val="28"/>
          <w:szCs w:val="28"/>
        </w:rPr>
        <w:t>b</w:t>
      </w:r>
      <w:r>
        <w:rPr>
          <w:rFonts w:cstheme="minorHAnsi"/>
          <w:sz w:val="28"/>
          <w:szCs w:val="28"/>
        </w:rPr>
        <w:t xml:space="preserve">). </w:t>
      </w:r>
      <w:r w:rsidR="00503870">
        <w:rPr>
          <w:rFonts w:cstheme="minorHAnsi"/>
          <w:sz w:val="28"/>
          <w:szCs w:val="28"/>
        </w:rPr>
        <w:t xml:space="preserve">The financial incentives for </w:t>
      </w:r>
      <w:r w:rsidR="0031077B">
        <w:rPr>
          <w:rFonts w:cstheme="minorHAnsi"/>
          <w:sz w:val="28"/>
          <w:szCs w:val="28"/>
        </w:rPr>
        <w:t>offshore</w:t>
      </w:r>
      <w:r w:rsidR="00B75325">
        <w:rPr>
          <w:rFonts w:cstheme="minorHAnsi"/>
          <w:sz w:val="28"/>
          <w:szCs w:val="28"/>
        </w:rPr>
        <w:t xml:space="preserve"> provision are, therefore, </w:t>
      </w:r>
      <w:r w:rsidR="00503870">
        <w:rPr>
          <w:rFonts w:cstheme="minorHAnsi"/>
          <w:sz w:val="28"/>
          <w:szCs w:val="28"/>
        </w:rPr>
        <w:t>low both in absolute terms but, more especially</w:t>
      </w:r>
      <w:r w:rsidR="00B75325">
        <w:rPr>
          <w:rFonts w:cstheme="minorHAnsi"/>
          <w:sz w:val="28"/>
          <w:szCs w:val="28"/>
        </w:rPr>
        <w:t>,</w:t>
      </w:r>
      <w:r w:rsidR="00503870">
        <w:rPr>
          <w:rFonts w:cstheme="minorHAnsi"/>
          <w:sz w:val="28"/>
          <w:szCs w:val="28"/>
        </w:rPr>
        <w:t xml:space="preserve"> in relation to their net earnings from onshore </w:t>
      </w:r>
      <w:r>
        <w:rPr>
          <w:rFonts w:cstheme="minorHAnsi"/>
          <w:sz w:val="28"/>
          <w:szCs w:val="28"/>
        </w:rPr>
        <w:t xml:space="preserve">overseas </w:t>
      </w:r>
      <w:r w:rsidR="00503870">
        <w:rPr>
          <w:rFonts w:cstheme="minorHAnsi"/>
          <w:sz w:val="28"/>
          <w:szCs w:val="28"/>
        </w:rPr>
        <w:t>students.</w:t>
      </w:r>
      <w:r w:rsidR="00982931">
        <w:rPr>
          <w:rFonts w:cstheme="minorHAnsi"/>
          <w:sz w:val="28"/>
          <w:szCs w:val="28"/>
        </w:rPr>
        <w:t xml:space="preserve"> </w:t>
      </w:r>
    </w:p>
    <w:p w14:paraId="68CB6B6F" w14:textId="00B43041" w:rsidR="001B3D85" w:rsidRDefault="00C04D80" w:rsidP="005F21A8">
      <w:pPr>
        <w:jc w:val="both"/>
        <w:rPr>
          <w:rFonts w:cstheme="minorHAnsi"/>
          <w:sz w:val="28"/>
          <w:szCs w:val="28"/>
        </w:rPr>
      </w:pPr>
      <w:r>
        <w:rPr>
          <w:rFonts w:cstheme="minorHAnsi"/>
          <w:sz w:val="28"/>
          <w:szCs w:val="28"/>
        </w:rPr>
        <w:t>Thirdly, u</w:t>
      </w:r>
      <w:r w:rsidR="001B3D85">
        <w:rPr>
          <w:rFonts w:cstheme="minorHAnsi"/>
          <w:sz w:val="28"/>
          <w:szCs w:val="28"/>
        </w:rPr>
        <w:t xml:space="preserve">nusually, universities control the supply (production) of both these types of education provision. </w:t>
      </w:r>
      <w:r w:rsidR="00503870">
        <w:rPr>
          <w:rFonts w:cstheme="minorHAnsi"/>
          <w:sz w:val="28"/>
          <w:szCs w:val="28"/>
        </w:rPr>
        <w:t>Since t</w:t>
      </w:r>
      <w:r w:rsidR="001B3D85">
        <w:rPr>
          <w:rFonts w:cstheme="minorHAnsi"/>
          <w:sz w:val="28"/>
          <w:szCs w:val="28"/>
        </w:rPr>
        <w:t xml:space="preserve">he income earned by universities from onshore overseas students is so much greater than from </w:t>
      </w:r>
      <w:r w:rsidR="0031077B">
        <w:rPr>
          <w:rFonts w:cstheme="minorHAnsi"/>
          <w:sz w:val="28"/>
          <w:szCs w:val="28"/>
        </w:rPr>
        <w:t>offshore</w:t>
      </w:r>
      <w:r w:rsidR="001B3D85">
        <w:rPr>
          <w:rFonts w:cstheme="minorHAnsi"/>
          <w:sz w:val="28"/>
          <w:szCs w:val="28"/>
        </w:rPr>
        <w:t xml:space="preserve"> students</w:t>
      </w:r>
      <w:r w:rsidR="005609DC">
        <w:rPr>
          <w:rFonts w:cstheme="minorHAnsi"/>
          <w:sz w:val="28"/>
          <w:szCs w:val="28"/>
        </w:rPr>
        <w:t xml:space="preserve">, </w:t>
      </w:r>
      <w:r w:rsidR="001B3D85">
        <w:rPr>
          <w:rFonts w:cstheme="minorHAnsi"/>
          <w:sz w:val="28"/>
          <w:szCs w:val="28"/>
        </w:rPr>
        <w:t xml:space="preserve">universities have little or no </w:t>
      </w:r>
      <w:r w:rsidR="007541CF">
        <w:rPr>
          <w:rFonts w:cstheme="minorHAnsi"/>
          <w:sz w:val="28"/>
          <w:szCs w:val="28"/>
        </w:rPr>
        <w:t>incentive to encourage any head-</w:t>
      </w:r>
      <w:r w:rsidR="001B3D85">
        <w:rPr>
          <w:rFonts w:cstheme="minorHAnsi"/>
          <w:sz w:val="28"/>
          <w:szCs w:val="28"/>
        </w:rPr>
        <w:t>on competition between these two forms of provision. It can be reasonably assumed</w:t>
      </w:r>
      <w:r w:rsidR="005609DC">
        <w:rPr>
          <w:rFonts w:cstheme="minorHAnsi"/>
          <w:sz w:val="28"/>
          <w:szCs w:val="28"/>
        </w:rPr>
        <w:t>,</w:t>
      </w:r>
      <w:r w:rsidR="001B3D85">
        <w:rPr>
          <w:rFonts w:cstheme="minorHAnsi"/>
          <w:sz w:val="28"/>
          <w:szCs w:val="28"/>
        </w:rPr>
        <w:t xml:space="preserve"> therefore</w:t>
      </w:r>
      <w:r w:rsidR="005609DC">
        <w:rPr>
          <w:rFonts w:cstheme="minorHAnsi"/>
          <w:sz w:val="28"/>
          <w:szCs w:val="28"/>
        </w:rPr>
        <w:t>,</w:t>
      </w:r>
      <w:r w:rsidR="001B3D85">
        <w:rPr>
          <w:rFonts w:cstheme="minorHAnsi"/>
          <w:sz w:val="28"/>
          <w:szCs w:val="28"/>
        </w:rPr>
        <w:t xml:space="preserve"> that univer</w:t>
      </w:r>
      <w:r w:rsidR="00503870">
        <w:rPr>
          <w:rFonts w:cstheme="minorHAnsi"/>
          <w:sz w:val="28"/>
          <w:szCs w:val="28"/>
        </w:rPr>
        <w:t xml:space="preserve">sities will only establish </w:t>
      </w:r>
      <w:r w:rsidR="0031077B">
        <w:rPr>
          <w:rFonts w:cstheme="minorHAnsi"/>
          <w:sz w:val="28"/>
          <w:szCs w:val="28"/>
        </w:rPr>
        <w:t>offshore</w:t>
      </w:r>
      <w:r w:rsidR="00503870">
        <w:rPr>
          <w:rFonts w:cstheme="minorHAnsi"/>
          <w:sz w:val="28"/>
          <w:szCs w:val="28"/>
        </w:rPr>
        <w:t xml:space="preserve"> </w:t>
      </w:r>
      <w:r w:rsidR="001B3D85">
        <w:rPr>
          <w:rFonts w:cstheme="minorHAnsi"/>
          <w:sz w:val="28"/>
          <w:szCs w:val="28"/>
        </w:rPr>
        <w:t>provision in a particular country where they are confident that this does not lead to any serious negative impact on their current or future onshore overseas student enrolments.</w:t>
      </w:r>
      <w:r w:rsidR="00272545">
        <w:rPr>
          <w:rFonts w:cstheme="minorHAnsi"/>
          <w:sz w:val="28"/>
          <w:szCs w:val="28"/>
        </w:rPr>
        <w:t xml:space="preserve"> </w:t>
      </w:r>
    </w:p>
    <w:p w14:paraId="7436DB5D" w14:textId="415D1414" w:rsidR="00AA0055" w:rsidRDefault="00AA0055" w:rsidP="005609DC">
      <w:pPr>
        <w:jc w:val="both"/>
        <w:rPr>
          <w:rFonts w:cstheme="minorHAnsi"/>
          <w:sz w:val="28"/>
          <w:szCs w:val="28"/>
        </w:rPr>
      </w:pPr>
      <w:r>
        <w:rPr>
          <w:rFonts w:cstheme="minorHAnsi"/>
          <w:sz w:val="28"/>
          <w:szCs w:val="28"/>
        </w:rPr>
        <w:t>And fourthly</w:t>
      </w:r>
      <w:r w:rsidR="00286EB8">
        <w:rPr>
          <w:rFonts w:cstheme="minorHAnsi"/>
          <w:sz w:val="28"/>
          <w:szCs w:val="28"/>
        </w:rPr>
        <w:t>, t</w:t>
      </w:r>
      <w:r w:rsidR="005A0092">
        <w:rPr>
          <w:rFonts w:cstheme="minorHAnsi"/>
          <w:sz w:val="28"/>
          <w:szCs w:val="28"/>
        </w:rPr>
        <w:t xml:space="preserve">hose </w:t>
      </w:r>
      <w:r w:rsidR="00286EB8">
        <w:rPr>
          <w:rFonts w:cstheme="minorHAnsi"/>
          <w:sz w:val="28"/>
          <w:szCs w:val="28"/>
        </w:rPr>
        <w:t xml:space="preserve">students who can afford to study in the UK </w:t>
      </w:r>
      <w:r w:rsidR="005A0092">
        <w:rPr>
          <w:rFonts w:cstheme="minorHAnsi"/>
          <w:sz w:val="28"/>
          <w:szCs w:val="28"/>
        </w:rPr>
        <w:t xml:space="preserve">or elsewhere overseas </w:t>
      </w:r>
      <w:r w:rsidR="005609DC">
        <w:rPr>
          <w:rFonts w:cstheme="minorHAnsi"/>
          <w:sz w:val="28"/>
          <w:szCs w:val="28"/>
        </w:rPr>
        <w:t xml:space="preserve">invariably </w:t>
      </w:r>
      <w:r w:rsidR="00286EB8">
        <w:rPr>
          <w:rFonts w:cstheme="minorHAnsi"/>
          <w:sz w:val="28"/>
          <w:szCs w:val="28"/>
        </w:rPr>
        <w:t xml:space="preserve">have </w:t>
      </w:r>
      <w:r w:rsidR="005A0092">
        <w:rPr>
          <w:rFonts w:cstheme="minorHAnsi"/>
          <w:sz w:val="28"/>
          <w:szCs w:val="28"/>
        </w:rPr>
        <w:t xml:space="preserve">such </w:t>
      </w:r>
      <w:r w:rsidR="00286EB8">
        <w:rPr>
          <w:rFonts w:cstheme="minorHAnsi"/>
          <w:sz w:val="28"/>
          <w:szCs w:val="28"/>
        </w:rPr>
        <w:t xml:space="preserve">a strong preference to study overseas that the local provision of the UK degree is unlikely to be seen as an attractive alternative. Consequently, among these students, there are no substitution effects </w:t>
      </w:r>
      <w:r w:rsidR="005609DC">
        <w:rPr>
          <w:rFonts w:cstheme="minorHAnsi"/>
          <w:sz w:val="28"/>
          <w:szCs w:val="28"/>
        </w:rPr>
        <w:t>i.e. the cross-</w:t>
      </w:r>
      <w:r w:rsidR="00286EB8">
        <w:rPr>
          <w:rFonts w:cstheme="minorHAnsi"/>
          <w:sz w:val="28"/>
          <w:szCs w:val="28"/>
        </w:rPr>
        <w:t>elasticity of demand for onshor</w:t>
      </w:r>
      <w:r w:rsidR="005609DC">
        <w:rPr>
          <w:rFonts w:cstheme="minorHAnsi"/>
          <w:sz w:val="28"/>
          <w:szCs w:val="28"/>
        </w:rPr>
        <w:t xml:space="preserve">e and </w:t>
      </w:r>
      <w:r w:rsidR="0031077B">
        <w:rPr>
          <w:rFonts w:cstheme="minorHAnsi"/>
          <w:sz w:val="28"/>
          <w:szCs w:val="28"/>
        </w:rPr>
        <w:t>offshore</w:t>
      </w:r>
      <w:r w:rsidR="005609DC">
        <w:rPr>
          <w:rFonts w:cstheme="minorHAnsi"/>
          <w:sz w:val="28"/>
          <w:szCs w:val="28"/>
        </w:rPr>
        <w:t xml:space="preserve"> provision is very small and the markets for onshore and </w:t>
      </w:r>
      <w:r w:rsidR="0031077B">
        <w:rPr>
          <w:rFonts w:cstheme="minorHAnsi"/>
          <w:sz w:val="28"/>
          <w:szCs w:val="28"/>
        </w:rPr>
        <w:t>offshore</w:t>
      </w:r>
      <w:r w:rsidR="005609DC">
        <w:rPr>
          <w:rFonts w:cstheme="minorHAnsi"/>
          <w:sz w:val="28"/>
          <w:szCs w:val="28"/>
        </w:rPr>
        <w:t xml:space="preserve"> are quite segmented. The main competition for overseas onshore students</w:t>
      </w:r>
      <w:r w:rsidR="00286EB8">
        <w:rPr>
          <w:rFonts w:cstheme="minorHAnsi"/>
          <w:sz w:val="28"/>
          <w:szCs w:val="28"/>
        </w:rPr>
        <w:t xml:space="preserve"> comes from overseas universities especially with respect to fees, immigration controls and the ability </w:t>
      </w:r>
      <w:r w:rsidR="005609DC">
        <w:rPr>
          <w:rFonts w:cstheme="minorHAnsi"/>
          <w:sz w:val="28"/>
          <w:szCs w:val="28"/>
        </w:rPr>
        <w:t xml:space="preserve">of overseas graduates </w:t>
      </w:r>
      <w:r w:rsidR="00286EB8">
        <w:rPr>
          <w:rFonts w:cstheme="minorHAnsi"/>
          <w:sz w:val="28"/>
          <w:szCs w:val="28"/>
        </w:rPr>
        <w:t xml:space="preserve">to work in that country once they have </w:t>
      </w:r>
      <w:r w:rsidR="005609DC">
        <w:rPr>
          <w:rFonts w:cstheme="minorHAnsi"/>
          <w:sz w:val="28"/>
          <w:szCs w:val="28"/>
        </w:rPr>
        <w:t xml:space="preserve">completed their studies. </w:t>
      </w:r>
    </w:p>
    <w:p w14:paraId="1DD5781D" w14:textId="600360D7" w:rsidR="005F21A8" w:rsidRPr="005F21A8" w:rsidRDefault="004B7172" w:rsidP="008D1B59">
      <w:pPr>
        <w:jc w:val="both"/>
        <w:rPr>
          <w:rFonts w:cstheme="minorHAnsi"/>
          <w:b/>
          <w:sz w:val="28"/>
          <w:szCs w:val="28"/>
        </w:rPr>
      </w:pPr>
      <w:r>
        <w:rPr>
          <w:rFonts w:cstheme="minorHAnsi"/>
          <w:b/>
          <w:sz w:val="28"/>
          <w:szCs w:val="28"/>
        </w:rPr>
        <w:t>6</w:t>
      </w:r>
      <w:r w:rsidR="005F21A8" w:rsidRPr="005F21A8">
        <w:rPr>
          <w:rFonts w:cstheme="minorHAnsi"/>
          <w:b/>
          <w:sz w:val="28"/>
          <w:szCs w:val="28"/>
        </w:rPr>
        <w:t>.1. SUBSTITUTION EFFECTS</w:t>
      </w:r>
    </w:p>
    <w:p w14:paraId="455D9211" w14:textId="41F52E8E" w:rsidR="005A0092" w:rsidRPr="005A0092" w:rsidRDefault="004B7172" w:rsidP="008D1B59">
      <w:pPr>
        <w:jc w:val="both"/>
        <w:rPr>
          <w:rFonts w:cstheme="minorHAnsi"/>
          <w:b/>
          <w:sz w:val="28"/>
          <w:szCs w:val="28"/>
        </w:rPr>
      </w:pPr>
      <w:r>
        <w:rPr>
          <w:rFonts w:cstheme="minorHAnsi"/>
          <w:b/>
          <w:sz w:val="28"/>
          <w:szCs w:val="28"/>
        </w:rPr>
        <w:t>6</w:t>
      </w:r>
      <w:r w:rsidR="005A0092" w:rsidRPr="005A0092">
        <w:rPr>
          <w:rFonts w:cstheme="minorHAnsi"/>
          <w:b/>
          <w:sz w:val="28"/>
          <w:szCs w:val="28"/>
        </w:rPr>
        <w:t>.1.1 Onshore-</w:t>
      </w:r>
      <w:r w:rsidR="0031077B">
        <w:rPr>
          <w:rFonts w:cstheme="minorHAnsi"/>
          <w:b/>
          <w:sz w:val="28"/>
          <w:szCs w:val="28"/>
        </w:rPr>
        <w:t>offshore</w:t>
      </w:r>
      <w:r w:rsidR="005A0092" w:rsidRPr="005A0092">
        <w:rPr>
          <w:rFonts w:cstheme="minorHAnsi"/>
          <w:b/>
          <w:sz w:val="28"/>
          <w:szCs w:val="28"/>
        </w:rPr>
        <w:t xml:space="preserve"> provision</w:t>
      </w:r>
    </w:p>
    <w:p w14:paraId="6683517E" w14:textId="30C62C99" w:rsidR="008D1B59" w:rsidRPr="008D1B59" w:rsidRDefault="00553FC9" w:rsidP="008D1B59">
      <w:pPr>
        <w:jc w:val="both"/>
        <w:rPr>
          <w:rFonts w:cstheme="minorHAnsi"/>
          <w:sz w:val="28"/>
          <w:szCs w:val="28"/>
        </w:rPr>
      </w:pPr>
      <w:r>
        <w:rPr>
          <w:rFonts w:cstheme="minorHAnsi"/>
          <w:sz w:val="28"/>
          <w:szCs w:val="28"/>
        </w:rPr>
        <w:t xml:space="preserve">The </w:t>
      </w:r>
      <w:r w:rsidR="00503870">
        <w:rPr>
          <w:rFonts w:cstheme="minorHAnsi"/>
          <w:sz w:val="28"/>
          <w:szCs w:val="28"/>
        </w:rPr>
        <w:t>onshore-</w:t>
      </w:r>
      <w:r w:rsidR="0031077B">
        <w:rPr>
          <w:rFonts w:cstheme="minorHAnsi"/>
          <w:sz w:val="28"/>
          <w:szCs w:val="28"/>
        </w:rPr>
        <w:t>offshore</w:t>
      </w:r>
      <w:r w:rsidR="00503870">
        <w:rPr>
          <w:rFonts w:cstheme="minorHAnsi"/>
          <w:sz w:val="28"/>
          <w:szCs w:val="28"/>
        </w:rPr>
        <w:t xml:space="preserve"> </w:t>
      </w:r>
      <w:r w:rsidR="005C4BF5">
        <w:rPr>
          <w:rFonts w:cstheme="minorHAnsi"/>
          <w:sz w:val="28"/>
          <w:szCs w:val="28"/>
        </w:rPr>
        <w:t xml:space="preserve">provision </w:t>
      </w:r>
      <w:r w:rsidR="008D1B59">
        <w:rPr>
          <w:rFonts w:cstheme="minorHAnsi"/>
          <w:sz w:val="28"/>
          <w:szCs w:val="28"/>
        </w:rPr>
        <w:t xml:space="preserve">relationship is </w:t>
      </w:r>
      <w:r w:rsidR="007D2C01">
        <w:rPr>
          <w:rFonts w:cstheme="minorHAnsi"/>
          <w:sz w:val="28"/>
          <w:szCs w:val="28"/>
        </w:rPr>
        <w:t>substitutive</w:t>
      </w:r>
      <w:r w:rsidR="008D1B59">
        <w:rPr>
          <w:rFonts w:cstheme="minorHAnsi"/>
          <w:sz w:val="28"/>
          <w:szCs w:val="28"/>
        </w:rPr>
        <w:t xml:space="preserve"> where increase</w:t>
      </w:r>
      <w:r>
        <w:rPr>
          <w:rFonts w:cstheme="minorHAnsi"/>
          <w:sz w:val="28"/>
          <w:szCs w:val="28"/>
        </w:rPr>
        <w:t xml:space="preserve">s in </w:t>
      </w:r>
      <w:r w:rsidR="0031077B">
        <w:rPr>
          <w:rFonts w:cstheme="minorHAnsi"/>
          <w:sz w:val="28"/>
          <w:szCs w:val="28"/>
        </w:rPr>
        <w:t>offshore</w:t>
      </w:r>
      <w:r>
        <w:rPr>
          <w:rFonts w:cstheme="minorHAnsi"/>
          <w:sz w:val="28"/>
          <w:szCs w:val="28"/>
        </w:rPr>
        <w:t xml:space="preserve"> enrolments (due, for example, the opening of an overseas branch campus in China) directly leads to reduced enrolment</w:t>
      </w:r>
      <w:r w:rsidR="008D1B59">
        <w:rPr>
          <w:rFonts w:cstheme="minorHAnsi"/>
          <w:sz w:val="28"/>
          <w:szCs w:val="28"/>
        </w:rPr>
        <w:t xml:space="preserve">s </w:t>
      </w:r>
      <w:r>
        <w:rPr>
          <w:rFonts w:cstheme="minorHAnsi"/>
          <w:sz w:val="28"/>
          <w:szCs w:val="28"/>
        </w:rPr>
        <w:t xml:space="preserve">of </w:t>
      </w:r>
      <w:r w:rsidR="009F42D3">
        <w:rPr>
          <w:rFonts w:cstheme="minorHAnsi"/>
          <w:sz w:val="28"/>
          <w:szCs w:val="28"/>
        </w:rPr>
        <w:t xml:space="preserve">overseas </w:t>
      </w:r>
      <w:r w:rsidR="005F21A8">
        <w:rPr>
          <w:rFonts w:cstheme="minorHAnsi"/>
          <w:sz w:val="28"/>
          <w:szCs w:val="28"/>
        </w:rPr>
        <w:t>students</w:t>
      </w:r>
      <w:r>
        <w:rPr>
          <w:rFonts w:cstheme="minorHAnsi"/>
          <w:sz w:val="28"/>
          <w:szCs w:val="28"/>
        </w:rPr>
        <w:t xml:space="preserve"> at </w:t>
      </w:r>
      <w:r>
        <w:rPr>
          <w:rFonts w:cstheme="minorHAnsi"/>
          <w:sz w:val="28"/>
          <w:szCs w:val="28"/>
        </w:rPr>
        <w:lastRenderedPageBreak/>
        <w:t xml:space="preserve">the university’s UK campus. Conversely, if the competitiveness of onshore provision increases in the UK (for example, as a result of a lowering of overseas fees for non-EU students) with the result that more students come to </w:t>
      </w:r>
      <w:r w:rsidR="009F42D3">
        <w:rPr>
          <w:rFonts w:cstheme="minorHAnsi"/>
          <w:sz w:val="28"/>
          <w:szCs w:val="28"/>
        </w:rPr>
        <w:t xml:space="preserve">study in </w:t>
      </w:r>
      <w:r>
        <w:rPr>
          <w:rFonts w:cstheme="minorHAnsi"/>
          <w:sz w:val="28"/>
          <w:szCs w:val="28"/>
        </w:rPr>
        <w:t>the UK</w:t>
      </w:r>
      <w:r w:rsidR="008D1B59">
        <w:rPr>
          <w:rFonts w:cstheme="minorHAnsi"/>
          <w:sz w:val="28"/>
          <w:szCs w:val="28"/>
        </w:rPr>
        <w:t xml:space="preserve"> </w:t>
      </w:r>
      <w:r>
        <w:rPr>
          <w:rFonts w:cstheme="minorHAnsi"/>
          <w:sz w:val="28"/>
          <w:szCs w:val="28"/>
        </w:rPr>
        <w:t xml:space="preserve">this, in turn, </w:t>
      </w:r>
      <w:r w:rsidR="005C4BF5">
        <w:rPr>
          <w:rFonts w:cstheme="minorHAnsi"/>
          <w:sz w:val="28"/>
          <w:szCs w:val="28"/>
        </w:rPr>
        <w:t>could lead</w:t>
      </w:r>
      <w:r>
        <w:rPr>
          <w:rFonts w:cstheme="minorHAnsi"/>
          <w:sz w:val="28"/>
          <w:szCs w:val="28"/>
        </w:rPr>
        <w:t xml:space="preserve"> to reduced enrolments of </w:t>
      </w:r>
      <w:r w:rsidR="0031077B">
        <w:rPr>
          <w:rFonts w:cstheme="minorHAnsi"/>
          <w:sz w:val="28"/>
          <w:szCs w:val="28"/>
        </w:rPr>
        <w:t>offshore</w:t>
      </w:r>
      <w:r w:rsidR="009F42D3">
        <w:rPr>
          <w:rFonts w:cstheme="minorHAnsi"/>
          <w:sz w:val="28"/>
          <w:szCs w:val="28"/>
        </w:rPr>
        <w:t xml:space="preserve"> students</w:t>
      </w:r>
      <w:r>
        <w:rPr>
          <w:rFonts w:cstheme="minorHAnsi"/>
          <w:sz w:val="28"/>
          <w:szCs w:val="28"/>
        </w:rPr>
        <w:t xml:space="preserve">. </w:t>
      </w:r>
    </w:p>
    <w:p w14:paraId="42BA31CC" w14:textId="259AAA47" w:rsidR="008D1B59" w:rsidRPr="005F21A8" w:rsidRDefault="005F21A8" w:rsidP="008D1B59">
      <w:pPr>
        <w:jc w:val="both"/>
        <w:rPr>
          <w:rFonts w:cstheme="minorHAnsi"/>
          <w:sz w:val="28"/>
          <w:szCs w:val="28"/>
        </w:rPr>
      </w:pPr>
      <w:r w:rsidRPr="005F21A8">
        <w:rPr>
          <w:rFonts w:cstheme="minorHAnsi"/>
          <w:sz w:val="28"/>
          <w:szCs w:val="28"/>
        </w:rPr>
        <w:t xml:space="preserve">In practice, robustly identifying and measuring any substitution effects of this kind is very difficult given that </w:t>
      </w:r>
      <w:r>
        <w:rPr>
          <w:rFonts w:cstheme="minorHAnsi"/>
          <w:sz w:val="28"/>
          <w:szCs w:val="28"/>
        </w:rPr>
        <w:t xml:space="preserve">there are numerous other </w:t>
      </w:r>
      <w:r w:rsidR="00A82052">
        <w:rPr>
          <w:rFonts w:cstheme="minorHAnsi"/>
          <w:sz w:val="28"/>
          <w:szCs w:val="28"/>
        </w:rPr>
        <w:t xml:space="preserve">confounding </w:t>
      </w:r>
      <w:r>
        <w:rPr>
          <w:rFonts w:cstheme="minorHAnsi"/>
          <w:sz w:val="28"/>
          <w:szCs w:val="28"/>
        </w:rPr>
        <w:t xml:space="preserve">factors which determine the levels of and changes in both onshore and </w:t>
      </w:r>
      <w:r w:rsidR="0031077B">
        <w:rPr>
          <w:rFonts w:cstheme="minorHAnsi"/>
          <w:sz w:val="28"/>
          <w:szCs w:val="28"/>
        </w:rPr>
        <w:t>offshore</w:t>
      </w:r>
      <w:r>
        <w:rPr>
          <w:rFonts w:cstheme="minorHAnsi"/>
          <w:sz w:val="28"/>
          <w:szCs w:val="28"/>
        </w:rPr>
        <w:t xml:space="preserve"> enrolments.</w:t>
      </w:r>
      <w:r w:rsidR="00B30EA6">
        <w:rPr>
          <w:rFonts w:cstheme="minorHAnsi"/>
          <w:sz w:val="28"/>
          <w:szCs w:val="28"/>
        </w:rPr>
        <w:t xml:space="preserve"> The lack of </w:t>
      </w:r>
      <w:r w:rsidR="009F42D3">
        <w:rPr>
          <w:rFonts w:cstheme="minorHAnsi"/>
          <w:sz w:val="28"/>
          <w:szCs w:val="28"/>
        </w:rPr>
        <w:t xml:space="preserve">date for </w:t>
      </w:r>
      <w:r w:rsidR="0031077B">
        <w:rPr>
          <w:rFonts w:cstheme="minorHAnsi"/>
          <w:sz w:val="28"/>
          <w:szCs w:val="28"/>
        </w:rPr>
        <w:t>offshore</w:t>
      </w:r>
      <w:r w:rsidR="009F42D3">
        <w:rPr>
          <w:rFonts w:cstheme="minorHAnsi"/>
          <w:sz w:val="28"/>
          <w:szCs w:val="28"/>
        </w:rPr>
        <w:t xml:space="preserve"> enrolments prior to 2007 also makes </w:t>
      </w:r>
      <w:r w:rsidR="00B30EA6">
        <w:rPr>
          <w:rFonts w:cstheme="minorHAnsi"/>
          <w:sz w:val="28"/>
          <w:szCs w:val="28"/>
        </w:rPr>
        <w:t xml:space="preserve">it especially difficult to undertake time series analysis which can address counterfactual issues. </w:t>
      </w:r>
      <w:r w:rsidR="009F42D3">
        <w:rPr>
          <w:rFonts w:cstheme="minorHAnsi"/>
          <w:sz w:val="28"/>
          <w:szCs w:val="28"/>
        </w:rPr>
        <w:t xml:space="preserve"> </w:t>
      </w:r>
      <w:r>
        <w:rPr>
          <w:rFonts w:cstheme="minorHAnsi"/>
          <w:sz w:val="28"/>
          <w:szCs w:val="28"/>
        </w:rPr>
        <w:t xml:space="preserve"> </w:t>
      </w:r>
    </w:p>
    <w:p w14:paraId="0E95E529" w14:textId="7C6F8810" w:rsidR="00BE485E" w:rsidRDefault="006A336E" w:rsidP="00220005">
      <w:pPr>
        <w:jc w:val="both"/>
        <w:rPr>
          <w:rFonts w:cstheme="minorHAnsi"/>
          <w:sz w:val="28"/>
          <w:szCs w:val="28"/>
        </w:rPr>
      </w:pPr>
      <w:r>
        <w:rPr>
          <w:rFonts w:cstheme="minorHAnsi"/>
          <w:sz w:val="28"/>
          <w:szCs w:val="28"/>
        </w:rPr>
        <w:t xml:space="preserve">Even </w:t>
      </w:r>
      <w:r w:rsidR="00503870">
        <w:rPr>
          <w:rFonts w:cstheme="minorHAnsi"/>
          <w:sz w:val="28"/>
          <w:szCs w:val="28"/>
        </w:rPr>
        <w:t xml:space="preserve">so, </w:t>
      </w:r>
      <w:r w:rsidR="00B30EA6">
        <w:rPr>
          <w:rFonts w:cstheme="minorHAnsi"/>
          <w:sz w:val="28"/>
          <w:szCs w:val="28"/>
        </w:rPr>
        <w:t xml:space="preserve">for three key reasons, </w:t>
      </w:r>
      <w:r>
        <w:rPr>
          <w:rFonts w:cstheme="minorHAnsi"/>
          <w:sz w:val="28"/>
          <w:szCs w:val="28"/>
        </w:rPr>
        <w:t xml:space="preserve">where </w:t>
      </w:r>
      <w:r w:rsidR="005C4BF5">
        <w:rPr>
          <w:rFonts w:cstheme="minorHAnsi"/>
          <w:sz w:val="28"/>
          <w:szCs w:val="28"/>
        </w:rPr>
        <w:t xml:space="preserve">UK </w:t>
      </w:r>
      <w:r>
        <w:rPr>
          <w:rFonts w:cstheme="minorHAnsi"/>
          <w:sz w:val="28"/>
          <w:szCs w:val="28"/>
        </w:rPr>
        <w:t xml:space="preserve">universities have large numbers of </w:t>
      </w:r>
      <w:r w:rsidR="0031077B">
        <w:rPr>
          <w:rFonts w:cstheme="minorHAnsi"/>
          <w:sz w:val="28"/>
          <w:szCs w:val="28"/>
        </w:rPr>
        <w:t>offshore</w:t>
      </w:r>
      <w:r>
        <w:rPr>
          <w:rFonts w:cstheme="minorHAnsi"/>
          <w:sz w:val="28"/>
          <w:szCs w:val="28"/>
        </w:rPr>
        <w:t xml:space="preserve"> enrolments in a particular country, this is </w:t>
      </w:r>
      <w:r w:rsidR="00B30EA6">
        <w:rPr>
          <w:rFonts w:cstheme="minorHAnsi"/>
          <w:sz w:val="28"/>
          <w:szCs w:val="28"/>
        </w:rPr>
        <w:t xml:space="preserve">usually </w:t>
      </w:r>
      <w:r>
        <w:rPr>
          <w:rFonts w:cstheme="minorHAnsi"/>
          <w:sz w:val="28"/>
          <w:szCs w:val="28"/>
        </w:rPr>
        <w:t xml:space="preserve">unlikely to directly impact negatively on onshore enrolments in the UK of students from this country. </w:t>
      </w:r>
      <w:r w:rsidR="00B30EA6">
        <w:rPr>
          <w:rFonts w:cstheme="minorHAnsi"/>
          <w:sz w:val="28"/>
          <w:szCs w:val="28"/>
        </w:rPr>
        <w:t>Firstly, i</w:t>
      </w:r>
      <w:r>
        <w:rPr>
          <w:rFonts w:cstheme="minorHAnsi"/>
          <w:sz w:val="28"/>
          <w:szCs w:val="28"/>
        </w:rPr>
        <w:t xml:space="preserve">n the case of redbrick and plate-glass universities, this is because there is </w:t>
      </w:r>
      <w:r w:rsidR="00B30EA6">
        <w:rPr>
          <w:rFonts w:cstheme="minorHAnsi"/>
          <w:sz w:val="28"/>
          <w:szCs w:val="28"/>
        </w:rPr>
        <w:t xml:space="preserve">frequently </w:t>
      </w:r>
      <w:r>
        <w:rPr>
          <w:rFonts w:cstheme="minorHAnsi"/>
          <w:sz w:val="28"/>
          <w:szCs w:val="28"/>
        </w:rPr>
        <w:t>excess demand for onshore places by students</w:t>
      </w:r>
      <w:r w:rsidR="00BE485E">
        <w:rPr>
          <w:rFonts w:cstheme="minorHAnsi"/>
          <w:sz w:val="28"/>
          <w:szCs w:val="28"/>
        </w:rPr>
        <w:t xml:space="preserve"> from this country</w:t>
      </w:r>
      <w:r>
        <w:rPr>
          <w:rFonts w:cstheme="minorHAnsi"/>
          <w:sz w:val="28"/>
          <w:szCs w:val="28"/>
        </w:rPr>
        <w:t xml:space="preserve">. For example, </w:t>
      </w:r>
      <w:r w:rsidR="005C4BF5">
        <w:rPr>
          <w:rFonts w:cstheme="minorHAnsi"/>
          <w:sz w:val="28"/>
          <w:szCs w:val="28"/>
        </w:rPr>
        <w:t>the London School of Economics (</w:t>
      </w:r>
      <w:r>
        <w:rPr>
          <w:rFonts w:cstheme="minorHAnsi"/>
          <w:sz w:val="28"/>
          <w:szCs w:val="28"/>
        </w:rPr>
        <w:t>LSE</w:t>
      </w:r>
      <w:r w:rsidR="005C4BF5">
        <w:rPr>
          <w:rFonts w:cstheme="minorHAnsi"/>
          <w:sz w:val="28"/>
          <w:szCs w:val="28"/>
        </w:rPr>
        <w:t>)</w:t>
      </w:r>
      <w:r>
        <w:rPr>
          <w:rFonts w:cstheme="minorHAnsi"/>
          <w:sz w:val="28"/>
          <w:szCs w:val="28"/>
        </w:rPr>
        <w:t xml:space="preserve"> has 17,000 overseas ODL students in particular from Singapore</w:t>
      </w:r>
      <w:r w:rsidR="007541CF">
        <w:rPr>
          <w:rFonts w:cstheme="minorHAnsi"/>
          <w:sz w:val="28"/>
          <w:szCs w:val="28"/>
        </w:rPr>
        <w:t>. A major reason why t</w:t>
      </w:r>
      <w:r>
        <w:rPr>
          <w:rFonts w:cstheme="minorHAnsi"/>
          <w:sz w:val="28"/>
          <w:szCs w:val="28"/>
        </w:rPr>
        <w:t xml:space="preserve">hese students are unable to enrol directly at LSE in London </w:t>
      </w:r>
      <w:r w:rsidR="007541CF">
        <w:rPr>
          <w:rFonts w:cstheme="minorHAnsi"/>
          <w:sz w:val="28"/>
          <w:szCs w:val="28"/>
        </w:rPr>
        <w:t xml:space="preserve">is </w:t>
      </w:r>
      <w:r>
        <w:rPr>
          <w:rFonts w:cstheme="minorHAnsi"/>
          <w:sz w:val="28"/>
          <w:szCs w:val="28"/>
        </w:rPr>
        <w:t xml:space="preserve">because LSE has reached its </w:t>
      </w:r>
      <w:r w:rsidR="00A82052">
        <w:rPr>
          <w:rFonts w:cstheme="minorHAnsi"/>
          <w:sz w:val="28"/>
          <w:szCs w:val="28"/>
        </w:rPr>
        <w:t xml:space="preserve">current </w:t>
      </w:r>
      <w:r>
        <w:rPr>
          <w:rFonts w:cstheme="minorHAnsi"/>
          <w:sz w:val="28"/>
          <w:szCs w:val="28"/>
        </w:rPr>
        <w:t>capacity to enrol any more onshore</w:t>
      </w:r>
      <w:r w:rsidR="007541CF">
        <w:rPr>
          <w:rFonts w:cstheme="minorHAnsi"/>
          <w:sz w:val="28"/>
          <w:szCs w:val="28"/>
        </w:rPr>
        <w:t>, overseas</w:t>
      </w:r>
      <w:r>
        <w:rPr>
          <w:rFonts w:cstheme="minorHAnsi"/>
          <w:sz w:val="28"/>
          <w:szCs w:val="28"/>
        </w:rPr>
        <w:t xml:space="preserve"> students. With regard to most ex-polytechnic universities, they would certainly like to enrol larger numbers of overseas students (and charge relative</w:t>
      </w:r>
      <w:r w:rsidR="00286EB8">
        <w:rPr>
          <w:rFonts w:cstheme="minorHAnsi"/>
          <w:sz w:val="28"/>
          <w:szCs w:val="28"/>
        </w:rPr>
        <w:t>ly</w:t>
      </w:r>
      <w:r>
        <w:rPr>
          <w:rFonts w:cstheme="minorHAnsi"/>
          <w:sz w:val="28"/>
          <w:szCs w:val="28"/>
        </w:rPr>
        <w:t xml:space="preserve"> low fees in order to do so), but they are unable to </w:t>
      </w:r>
      <w:r w:rsidR="007541CF">
        <w:rPr>
          <w:rFonts w:cstheme="minorHAnsi"/>
          <w:sz w:val="28"/>
          <w:szCs w:val="28"/>
        </w:rPr>
        <w:t>do so</w:t>
      </w:r>
      <w:r w:rsidR="00286EB8">
        <w:rPr>
          <w:rFonts w:cstheme="minorHAnsi"/>
          <w:sz w:val="28"/>
          <w:szCs w:val="28"/>
        </w:rPr>
        <w:t xml:space="preserve">. Consequently, they </w:t>
      </w:r>
      <w:r>
        <w:rPr>
          <w:rFonts w:cstheme="minorHAnsi"/>
          <w:sz w:val="28"/>
          <w:szCs w:val="28"/>
        </w:rPr>
        <w:t xml:space="preserve">can </w:t>
      </w:r>
      <w:r w:rsidR="007541CF">
        <w:rPr>
          <w:rFonts w:cstheme="minorHAnsi"/>
          <w:sz w:val="28"/>
          <w:szCs w:val="28"/>
        </w:rPr>
        <w:t xml:space="preserve">enrol </w:t>
      </w:r>
      <w:r>
        <w:rPr>
          <w:rFonts w:cstheme="minorHAnsi"/>
          <w:sz w:val="28"/>
          <w:szCs w:val="28"/>
        </w:rPr>
        <w:t xml:space="preserve">large numbers of </w:t>
      </w:r>
      <w:r w:rsidR="0031077B">
        <w:rPr>
          <w:rFonts w:cstheme="minorHAnsi"/>
          <w:sz w:val="28"/>
          <w:szCs w:val="28"/>
        </w:rPr>
        <w:t>offshore</w:t>
      </w:r>
      <w:r>
        <w:rPr>
          <w:rFonts w:cstheme="minorHAnsi"/>
          <w:sz w:val="28"/>
          <w:szCs w:val="28"/>
        </w:rPr>
        <w:t xml:space="preserve"> students without negatively impact</w:t>
      </w:r>
      <w:r w:rsidR="00A82052">
        <w:rPr>
          <w:rFonts w:cstheme="minorHAnsi"/>
          <w:sz w:val="28"/>
          <w:szCs w:val="28"/>
        </w:rPr>
        <w:t>ing their</w:t>
      </w:r>
      <w:r>
        <w:rPr>
          <w:rFonts w:cstheme="minorHAnsi"/>
          <w:sz w:val="28"/>
          <w:szCs w:val="28"/>
        </w:rPr>
        <w:t xml:space="preserve"> onshore student enrolments.</w:t>
      </w:r>
    </w:p>
    <w:p w14:paraId="4AA2C760" w14:textId="5DC3D6DB" w:rsidR="005F21A8" w:rsidRDefault="00EC1FA2" w:rsidP="00220005">
      <w:pPr>
        <w:jc w:val="both"/>
        <w:rPr>
          <w:rFonts w:cstheme="minorHAnsi"/>
          <w:sz w:val="28"/>
          <w:szCs w:val="28"/>
        </w:rPr>
      </w:pPr>
      <w:r>
        <w:rPr>
          <w:rFonts w:cstheme="minorHAnsi"/>
          <w:sz w:val="28"/>
          <w:szCs w:val="28"/>
        </w:rPr>
        <w:t>Secondly, i</w:t>
      </w:r>
      <w:r w:rsidR="00AD5F6B">
        <w:rPr>
          <w:rFonts w:cstheme="minorHAnsi"/>
          <w:sz w:val="28"/>
          <w:szCs w:val="28"/>
        </w:rPr>
        <w:t xml:space="preserve">n </w:t>
      </w:r>
      <w:r>
        <w:rPr>
          <w:rFonts w:cstheme="minorHAnsi"/>
          <w:sz w:val="28"/>
          <w:szCs w:val="28"/>
        </w:rPr>
        <w:t xml:space="preserve">a number of </w:t>
      </w:r>
      <w:r w:rsidR="00BE485E">
        <w:rPr>
          <w:rFonts w:cstheme="minorHAnsi"/>
          <w:sz w:val="28"/>
          <w:szCs w:val="28"/>
        </w:rPr>
        <w:t xml:space="preserve">countries </w:t>
      </w:r>
      <w:r>
        <w:rPr>
          <w:rFonts w:cstheme="minorHAnsi"/>
          <w:sz w:val="28"/>
          <w:szCs w:val="28"/>
        </w:rPr>
        <w:t xml:space="preserve">including </w:t>
      </w:r>
      <w:r w:rsidR="00BE485E">
        <w:rPr>
          <w:rFonts w:cstheme="minorHAnsi"/>
          <w:sz w:val="28"/>
          <w:szCs w:val="28"/>
        </w:rPr>
        <w:t xml:space="preserve">Malaysia, </w:t>
      </w:r>
      <w:r w:rsidR="00A82052">
        <w:rPr>
          <w:rFonts w:cstheme="minorHAnsi"/>
          <w:sz w:val="28"/>
          <w:szCs w:val="28"/>
        </w:rPr>
        <w:t xml:space="preserve">the </w:t>
      </w:r>
      <w:r w:rsidR="00BE485E">
        <w:rPr>
          <w:rFonts w:cstheme="minorHAnsi"/>
          <w:sz w:val="28"/>
          <w:szCs w:val="28"/>
        </w:rPr>
        <w:t>U</w:t>
      </w:r>
      <w:r w:rsidR="00A82052">
        <w:rPr>
          <w:rFonts w:cstheme="minorHAnsi"/>
          <w:sz w:val="28"/>
          <w:szCs w:val="28"/>
        </w:rPr>
        <w:t xml:space="preserve">nited </w:t>
      </w:r>
      <w:r w:rsidR="00BE485E">
        <w:rPr>
          <w:rFonts w:cstheme="minorHAnsi"/>
          <w:sz w:val="28"/>
          <w:szCs w:val="28"/>
        </w:rPr>
        <w:t>A</w:t>
      </w:r>
      <w:r w:rsidR="00A82052">
        <w:rPr>
          <w:rFonts w:cstheme="minorHAnsi"/>
          <w:sz w:val="28"/>
          <w:szCs w:val="28"/>
        </w:rPr>
        <w:t xml:space="preserve">rab </w:t>
      </w:r>
      <w:r w:rsidR="00BE485E">
        <w:rPr>
          <w:rFonts w:cstheme="minorHAnsi"/>
          <w:sz w:val="28"/>
          <w:szCs w:val="28"/>
        </w:rPr>
        <w:t>E</w:t>
      </w:r>
      <w:r w:rsidR="00A82052">
        <w:rPr>
          <w:rFonts w:cstheme="minorHAnsi"/>
          <w:sz w:val="28"/>
          <w:szCs w:val="28"/>
        </w:rPr>
        <w:t>mirates</w:t>
      </w:r>
      <w:r w:rsidR="00BE485E">
        <w:rPr>
          <w:rFonts w:cstheme="minorHAnsi"/>
          <w:sz w:val="28"/>
          <w:szCs w:val="28"/>
        </w:rPr>
        <w:t xml:space="preserve"> and O</w:t>
      </w:r>
      <w:r w:rsidR="00030D0F">
        <w:rPr>
          <w:rFonts w:cstheme="minorHAnsi"/>
          <w:sz w:val="28"/>
          <w:szCs w:val="28"/>
        </w:rPr>
        <w:t xml:space="preserve">man, their governments </w:t>
      </w:r>
      <w:r w:rsidR="00BE485E">
        <w:rPr>
          <w:rFonts w:cstheme="minorHAnsi"/>
          <w:sz w:val="28"/>
          <w:szCs w:val="28"/>
        </w:rPr>
        <w:t xml:space="preserve">discourage </w:t>
      </w:r>
      <w:r>
        <w:rPr>
          <w:rFonts w:cstheme="minorHAnsi"/>
          <w:sz w:val="28"/>
          <w:szCs w:val="28"/>
        </w:rPr>
        <w:t xml:space="preserve">overseas </w:t>
      </w:r>
      <w:r w:rsidR="00BE485E">
        <w:rPr>
          <w:rFonts w:cstheme="minorHAnsi"/>
          <w:sz w:val="28"/>
          <w:szCs w:val="28"/>
        </w:rPr>
        <w:t xml:space="preserve">study </w:t>
      </w:r>
      <w:r>
        <w:rPr>
          <w:rFonts w:cstheme="minorHAnsi"/>
          <w:sz w:val="28"/>
          <w:szCs w:val="28"/>
        </w:rPr>
        <w:t>usually because they want to develop the enrolment capacities of their own higher education sectors</w:t>
      </w:r>
      <w:r w:rsidR="007541CF">
        <w:rPr>
          <w:rStyle w:val="FootnoteReference"/>
          <w:rFonts w:cstheme="minorHAnsi"/>
          <w:sz w:val="28"/>
          <w:szCs w:val="28"/>
        </w:rPr>
        <w:footnoteReference w:id="5"/>
      </w:r>
      <w:r>
        <w:rPr>
          <w:rFonts w:cstheme="minorHAnsi"/>
          <w:sz w:val="28"/>
          <w:szCs w:val="28"/>
        </w:rPr>
        <w:t xml:space="preserve">. At the same time, however, these governments </w:t>
      </w:r>
      <w:r w:rsidR="00BE485E">
        <w:rPr>
          <w:rFonts w:cstheme="minorHAnsi"/>
          <w:sz w:val="28"/>
          <w:szCs w:val="28"/>
        </w:rPr>
        <w:t>actively encourage UK and other foreign universities to offer their degrees by partnering with local universities and other training institutions. Thus, in these situations</w:t>
      </w:r>
      <w:r w:rsidR="00030D0F">
        <w:rPr>
          <w:rFonts w:cstheme="minorHAnsi"/>
          <w:sz w:val="28"/>
          <w:szCs w:val="28"/>
        </w:rPr>
        <w:t>,</w:t>
      </w:r>
      <w:r w:rsidR="00BE485E">
        <w:rPr>
          <w:rFonts w:cstheme="minorHAnsi"/>
          <w:sz w:val="28"/>
          <w:szCs w:val="28"/>
        </w:rPr>
        <w:t xml:space="preserve"> there is no significant direct impact of </w:t>
      </w:r>
      <w:r w:rsidR="0031077B">
        <w:rPr>
          <w:rFonts w:cstheme="minorHAnsi"/>
          <w:sz w:val="28"/>
          <w:szCs w:val="28"/>
        </w:rPr>
        <w:t>offshore</w:t>
      </w:r>
      <w:r w:rsidR="00BE485E">
        <w:rPr>
          <w:rFonts w:cstheme="minorHAnsi"/>
          <w:sz w:val="28"/>
          <w:szCs w:val="28"/>
        </w:rPr>
        <w:t xml:space="preserve"> provision on onshore enrolments</w:t>
      </w:r>
      <w:r w:rsidR="002232F5">
        <w:rPr>
          <w:rFonts w:cstheme="minorHAnsi"/>
          <w:sz w:val="28"/>
          <w:szCs w:val="28"/>
        </w:rPr>
        <w:t xml:space="preserve"> because </w:t>
      </w:r>
      <w:r w:rsidR="002232F5">
        <w:rPr>
          <w:rFonts w:cstheme="minorHAnsi"/>
          <w:sz w:val="28"/>
          <w:szCs w:val="28"/>
        </w:rPr>
        <w:lastRenderedPageBreak/>
        <w:t>UK universities are unable to acce</w:t>
      </w:r>
      <w:r w:rsidR="00030D0F">
        <w:rPr>
          <w:rFonts w:cstheme="minorHAnsi"/>
          <w:sz w:val="28"/>
          <w:szCs w:val="28"/>
        </w:rPr>
        <w:t xml:space="preserve">ss these countries for </w:t>
      </w:r>
      <w:r w:rsidR="002232F5">
        <w:rPr>
          <w:rFonts w:cstheme="minorHAnsi"/>
          <w:sz w:val="28"/>
          <w:szCs w:val="28"/>
        </w:rPr>
        <w:t xml:space="preserve">onshore </w:t>
      </w:r>
      <w:r w:rsidR="00030D0F">
        <w:rPr>
          <w:rFonts w:cstheme="minorHAnsi"/>
          <w:sz w:val="28"/>
          <w:szCs w:val="28"/>
        </w:rPr>
        <w:t xml:space="preserve">overseas </w:t>
      </w:r>
      <w:r w:rsidR="002232F5">
        <w:rPr>
          <w:rFonts w:cstheme="minorHAnsi"/>
          <w:sz w:val="28"/>
          <w:szCs w:val="28"/>
        </w:rPr>
        <w:t>students</w:t>
      </w:r>
      <w:r w:rsidR="00BE485E">
        <w:rPr>
          <w:rFonts w:cstheme="minorHAnsi"/>
          <w:sz w:val="28"/>
          <w:szCs w:val="28"/>
        </w:rPr>
        <w:t xml:space="preserve">. </w:t>
      </w:r>
      <w:r w:rsidR="006A336E">
        <w:rPr>
          <w:rFonts w:cstheme="minorHAnsi"/>
          <w:sz w:val="28"/>
          <w:szCs w:val="28"/>
        </w:rPr>
        <w:t xml:space="preserve"> </w:t>
      </w:r>
    </w:p>
    <w:p w14:paraId="1BD3DB16" w14:textId="13BD408C" w:rsidR="00BE485E" w:rsidRDefault="00EC1FA2" w:rsidP="00220005">
      <w:pPr>
        <w:jc w:val="both"/>
        <w:rPr>
          <w:rFonts w:cstheme="minorHAnsi"/>
          <w:sz w:val="28"/>
          <w:szCs w:val="28"/>
        </w:rPr>
      </w:pPr>
      <w:r>
        <w:rPr>
          <w:rFonts w:cstheme="minorHAnsi"/>
          <w:sz w:val="28"/>
          <w:szCs w:val="28"/>
        </w:rPr>
        <w:t>And thirdly, m</w:t>
      </w:r>
      <w:r w:rsidR="00BE485E">
        <w:rPr>
          <w:rFonts w:cstheme="minorHAnsi"/>
          <w:sz w:val="28"/>
          <w:szCs w:val="28"/>
        </w:rPr>
        <w:t xml:space="preserve">any students studying </w:t>
      </w:r>
      <w:r w:rsidR="0031077B">
        <w:rPr>
          <w:rFonts w:cstheme="minorHAnsi"/>
          <w:sz w:val="28"/>
          <w:szCs w:val="28"/>
        </w:rPr>
        <w:t>offshore</w:t>
      </w:r>
      <w:r w:rsidR="00BE485E">
        <w:rPr>
          <w:rFonts w:cstheme="minorHAnsi"/>
          <w:sz w:val="28"/>
          <w:szCs w:val="28"/>
        </w:rPr>
        <w:t xml:space="preserve"> </w:t>
      </w:r>
      <w:r w:rsidR="00030D0F">
        <w:rPr>
          <w:rFonts w:cstheme="minorHAnsi"/>
          <w:sz w:val="28"/>
          <w:szCs w:val="28"/>
        </w:rPr>
        <w:t xml:space="preserve">in their country </w:t>
      </w:r>
      <w:r w:rsidR="00BE485E">
        <w:rPr>
          <w:rFonts w:cstheme="minorHAnsi"/>
          <w:sz w:val="28"/>
          <w:szCs w:val="28"/>
        </w:rPr>
        <w:t xml:space="preserve">have no intention of studying overseas </w:t>
      </w:r>
      <w:r w:rsidR="00030D0F">
        <w:rPr>
          <w:rFonts w:cstheme="minorHAnsi"/>
          <w:sz w:val="28"/>
          <w:szCs w:val="28"/>
        </w:rPr>
        <w:t xml:space="preserve">(in the UK or elsewhere) </w:t>
      </w:r>
      <w:r>
        <w:rPr>
          <w:rFonts w:cstheme="minorHAnsi"/>
          <w:sz w:val="28"/>
          <w:szCs w:val="28"/>
        </w:rPr>
        <w:t xml:space="preserve">either </w:t>
      </w:r>
      <w:r w:rsidR="00BE485E">
        <w:rPr>
          <w:rFonts w:cstheme="minorHAnsi"/>
          <w:sz w:val="28"/>
          <w:szCs w:val="28"/>
        </w:rPr>
        <w:t>because it is simply too expensive or because of their work and/or family situations. For example, lucrative ODL-blended learning M</w:t>
      </w:r>
      <w:r w:rsidR="00A82052">
        <w:rPr>
          <w:rFonts w:cstheme="minorHAnsi"/>
          <w:sz w:val="28"/>
          <w:szCs w:val="28"/>
        </w:rPr>
        <w:t>a</w:t>
      </w:r>
      <w:r w:rsidR="007541CF">
        <w:rPr>
          <w:rFonts w:cstheme="minorHAnsi"/>
          <w:sz w:val="28"/>
          <w:szCs w:val="28"/>
        </w:rPr>
        <w:t>s</w:t>
      </w:r>
      <w:r w:rsidR="00A82052">
        <w:rPr>
          <w:rFonts w:cstheme="minorHAnsi"/>
          <w:sz w:val="28"/>
          <w:szCs w:val="28"/>
        </w:rPr>
        <w:t xml:space="preserve">ters in </w:t>
      </w:r>
      <w:r w:rsidR="00BE485E">
        <w:rPr>
          <w:rFonts w:cstheme="minorHAnsi"/>
          <w:sz w:val="28"/>
          <w:szCs w:val="28"/>
        </w:rPr>
        <w:t>B</w:t>
      </w:r>
      <w:r w:rsidR="00A82052">
        <w:rPr>
          <w:rFonts w:cstheme="minorHAnsi"/>
          <w:sz w:val="28"/>
          <w:szCs w:val="28"/>
        </w:rPr>
        <w:t xml:space="preserve">usiness </w:t>
      </w:r>
      <w:r w:rsidR="00BE485E">
        <w:rPr>
          <w:rFonts w:cstheme="minorHAnsi"/>
          <w:sz w:val="28"/>
          <w:szCs w:val="28"/>
        </w:rPr>
        <w:t>A</w:t>
      </w:r>
      <w:r w:rsidR="00A82052">
        <w:rPr>
          <w:rFonts w:cstheme="minorHAnsi"/>
          <w:sz w:val="28"/>
          <w:szCs w:val="28"/>
        </w:rPr>
        <w:t>dministration (MBA)</w:t>
      </w:r>
      <w:r w:rsidR="00BE485E">
        <w:rPr>
          <w:rFonts w:cstheme="minorHAnsi"/>
          <w:sz w:val="28"/>
          <w:szCs w:val="28"/>
        </w:rPr>
        <w:t xml:space="preserve"> courses are primarily targeted at managers who are already </w:t>
      </w:r>
      <w:r w:rsidR="00A82052">
        <w:rPr>
          <w:rFonts w:cstheme="minorHAnsi"/>
          <w:sz w:val="28"/>
          <w:szCs w:val="28"/>
        </w:rPr>
        <w:t xml:space="preserve">relatively </w:t>
      </w:r>
      <w:r w:rsidR="00BE485E">
        <w:rPr>
          <w:rFonts w:cstheme="minorHAnsi"/>
          <w:sz w:val="28"/>
          <w:szCs w:val="28"/>
        </w:rPr>
        <w:t>well established in their careers and are only able to study</w:t>
      </w:r>
      <w:r w:rsidR="00DC3EBC">
        <w:rPr>
          <w:rFonts w:cstheme="minorHAnsi"/>
          <w:sz w:val="28"/>
          <w:szCs w:val="28"/>
        </w:rPr>
        <w:t xml:space="preserve"> </w:t>
      </w:r>
      <w:r w:rsidR="007541CF">
        <w:rPr>
          <w:rFonts w:cstheme="minorHAnsi"/>
          <w:sz w:val="28"/>
          <w:szCs w:val="28"/>
        </w:rPr>
        <w:t>part-</w:t>
      </w:r>
      <w:r w:rsidR="00BE485E">
        <w:rPr>
          <w:rFonts w:cstheme="minorHAnsi"/>
          <w:sz w:val="28"/>
          <w:szCs w:val="28"/>
        </w:rPr>
        <w:t xml:space="preserve">time.  </w:t>
      </w:r>
      <w:r w:rsidR="0031077B">
        <w:rPr>
          <w:rFonts w:cstheme="minorHAnsi"/>
          <w:sz w:val="28"/>
          <w:szCs w:val="28"/>
        </w:rPr>
        <w:t>Offshore</w:t>
      </w:r>
      <w:r w:rsidR="00BE485E">
        <w:rPr>
          <w:rFonts w:cstheme="minorHAnsi"/>
          <w:sz w:val="28"/>
          <w:szCs w:val="28"/>
        </w:rPr>
        <w:t xml:space="preserve"> provision has </w:t>
      </w:r>
      <w:r w:rsidR="00AD5F6B">
        <w:rPr>
          <w:rFonts w:cstheme="minorHAnsi"/>
          <w:sz w:val="28"/>
          <w:szCs w:val="28"/>
        </w:rPr>
        <w:t xml:space="preserve">also </w:t>
      </w:r>
      <w:r w:rsidR="00BE485E">
        <w:rPr>
          <w:rFonts w:cstheme="minorHAnsi"/>
          <w:sz w:val="28"/>
          <w:szCs w:val="28"/>
        </w:rPr>
        <w:t xml:space="preserve">increased rapidly in recent years in countries such as Sri Lanka and Nepal where most students cannot afford UK overseas student fees. </w:t>
      </w:r>
      <w:r w:rsidR="00DC3EBC">
        <w:rPr>
          <w:rFonts w:cstheme="minorHAnsi"/>
          <w:sz w:val="28"/>
          <w:szCs w:val="28"/>
        </w:rPr>
        <w:t>F</w:t>
      </w:r>
      <w:r w:rsidR="00BE485E">
        <w:rPr>
          <w:rFonts w:cstheme="minorHAnsi"/>
          <w:sz w:val="28"/>
          <w:szCs w:val="28"/>
        </w:rPr>
        <w:t xml:space="preserve">ees for degree courses in these </w:t>
      </w:r>
      <w:r w:rsidR="0031077B">
        <w:rPr>
          <w:rFonts w:cstheme="minorHAnsi"/>
          <w:sz w:val="28"/>
          <w:szCs w:val="28"/>
        </w:rPr>
        <w:t>offshore</w:t>
      </w:r>
      <w:r w:rsidR="00030D0F">
        <w:rPr>
          <w:rFonts w:cstheme="minorHAnsi"/>
          <w:sz w:val="28"/>
          <w:szCs w:val="28"/>
        </w:rPr>
        <w:t xml:space="preserve"> </w:t>
      </w:r>
      <w:r w:rsidR="00BE485E">
        <w:rPr>
          <w:rFonts w:cstheme="minorHAnsi"/>
          <w:sz w:val="28"/>
          <w:szCs w:val="28"/>
        </w:rPr>
        <w:t>course are typically in the r</w:t>
      </w:r>
      <w:r w:rsidR="002244CC">
        <w:rPr>
          <w:rFonts w:cstheme="minorHAnsi"/>
          <w:sz w:val="28"/>
          <w:szCs w:val="28"/>
        </w:rPr>
        <w:t>egion of £1,500-£3,000 compared with £10,000-£20,000 in the UK.</w:t>
      </w:r>
      <w:r w:rsidR="00AD5F6B">
        <w:rPr>
          <w:rFonts w:cstheme="minorHAnsi"/>
          <w:sz w:val="28"/>
          <w:szCs w:val="28"/>
        </w:rPr>
        <w:t xml:space="preserve"> In Africa, very high and quite rapidly increasing overseas fees charged by universities coupled with </w:t>
      </w:r>
      <w:r w:rsidR="007541CF">
        <w:rPr>
          <w:rFonts w:cstheme="minorHAnsi"/>
          <w:sz w:val="28"/>
          <w:szCs w:val="28"/>
        </w:rPr>
        <w:t xml:space="preserve">a marked </w:t>
      </w:r>
      <w:r w:rsidR="00AD5F6B">
        <w:rPr>
          <w:rFonts w:cstheme="minorHAnsi"/>
          <w:sz w:val="28"/>
          <w:szCs w:val="28"/>
        </w:rPr>
        <w:t xml:space="preserve">tightening of visa regulations has resulted in a sizeable reduction of African students at UK universities which has coincided with a marked increase in </w:t>
      </w:r>
      <w:r w:rsidR="0031077B">
        <w:rPr>
          <w:rFonts w:cstheme="minorHAnsi"/>
          <w:sz w:val="28"/>
          <w:szCs w:val="28"/>
        </w:rPr>
        <w:t>offshore</w:t>
      </w:r>
      <w:r w:rsidR="00AD5F6B">
        <w:rPr>
          <w:rFonts w:cstheme="minorHAnsi"/>
          <w:sz w:val="28"/>
          <w:szCs w:val="28"/>
        </w:rPr>
        <w:t xml:space="preserve"> provision in these countries. In Nigeria, which is a potentially a large national market for overseas students, even those who can afford UK fees are prevented from coming to the UK </w:t>
      </w:r>
      <w:r w:rsidR="00A82052">
        <w:rPr>
          <w:rFonts w:cstheme="minorHAnsi"/>
          <w:sz w:val="28"/>
          <w:szCs w:val="28"/>
        </w:rPr>
        <w:t xml:space="preserve">mainly </w:t>
      </w:r>
      <w:r w:rsidR="00AD5F6B">
        <w:rPr>
          <w:rFonts w:cstheme="minorHAnsi"/>
          <w:sz w:val="28"/>
          <w:szCs w:val="28"/>
        </w:rPr>
        <w:t xml:space="preserve">because of acute foreign exchange shortages.  </w:t>
      </w:r>
    </w:p>
    <w:p w14:paraId="7FE9A701" w14:textId="50A37DB0" w:rsidR="002232F5" w:rsidRDefault="002232F5" w:rsidP="00220005">
      <w:pPr>
        <w:jc w:val="both"/>
        <w:rPr>
          <w:rFonts w:cstheme="minorHAnsi"/>
          <w:sz w:val="28"/>
          <w:szCs w:val="28"/>
        </w:rPr>
      </w:pPr>
      <w:r>
        <w:rPr>
          <w:rFonts w:cstheme="minorHAnsi"/>
          <w:sz w:val="28"/>
          <w:szCs w:val="28"/>
        </w:rPr>
        <w:t xml:space="preserve">There are, however, a few notable examples where clear substitution effects can be observed between onshore and </w:t>
      </w:r>
      <w:r w:rsidR="0031077B">
        <w:rPr>
          <w:rFonts w:cstheme="minorHAnsi"/>
          <w:sz w:val="28"/>
          <w:szCs w:val="28"/>
        </w:rPr>
        <w:t>offshore</w:t>
      </w:r>
      <w:r>
        <w:rPr>
          <w:rFonts w:cstheme="minorHAnsi"/>
          <w:sz w:val="28"/>
          <w:szCs w:val="28"/>
        </w:rPr>
        <w:t xml:space="preserve"> provision. </w:t>
      </w:r>
      <w:r w:rsidR="00DC3EBC">
        <w:rPr>
          <w:rFonts w:cstheme="minorHAnsi"/>
          <w:sz w:val="28"/>
          <w:szCs w:val="28"/>
        </w:rPr>
        <w:t xml:space="preserve">The main reason that </w:t>
      </w:r>
      <w:r w:rsidR="0031077B">
        <w:rPr>
          <w:rFonts w:cstheme="minorHAnsi"/>
          <w:sz w:val="28"/>
          <w:szCs w:val="28"/>
        </w:rPr>
        <w:t>offshore</w:t>
      </w:r>
      <w:r>
        <w:rPr>
          <w:rFonts w:cstheme="minorHAnsi"/>
          <w:sz w:val="28"/>
          <w:szCs w:val="28"/>
        </w:rPr>
        <w:t xml:space="preserve"> enrolments in Eastern Europe </w:t>
      </w:r>
      <w:r w:rsidR="00DC3EBC">
        <w:rPr>
          <w:rFonts w:cstheme="minorHAnsi"/>
          <w:sz w:val="28"/>
          <w:szCs w:val="28"/>
        </w:rPr>
        <w:t xml:space="preserve">have declined so </w:t>
      </w:r>
      <w:r>
        <w:rPr>
          <w:rFonts w:cstheme="minorHAnsi"/>
          <w:sz w:val="28"/>
          <w:szCs w:val="28"/>
        </w:rPr>
        <w:t xml:space="preserve">dramatically </w:t>
      </w:r>
      <w:r w:rsidR="00DC3EBC">
        <w:rPr>
          <w:rFonts w:cstheme="minorHAnsi"/>
          <w:sz w:val="28"/>
          <w:szCs w:val="28"/>
        </w:rPr>
        <w:t xml:space="preserve">is because, </w:t>
      </w:r>
      <w:r>
        <w:rPr>
          <w:rFonts w:cstheme="minorHAnsi"/>
          <w:sz w:val="28"/>
          <w:szCs w:val="28"/>
        </w:rPr>
        <w:t xml:space="preserve">when </w:t>
      </w:r>
      <w:r w:rsidR="00A82052">
        <w:rPr>
          <w:rFonts w:cstheme="minorHAnsi"/>
          <w:sz w:val="28"/>
          <w:szCs w:val="28"/>
        </w:rPr>
        <w:t xml:space="preserve">the </w:t>
      </w:r>
      <w:r>
        <w:rPr>
          <w:rFonts w:cstheme="minorHAnsi"/>
          <w:sz w:val="28"/>
          <w:szCs w:val="28"/>
        </w:rPr>
        <w:t xml:space="preserve">10 </w:t>
      </w:r>
      <w:r w:rsidR="00A82052">
        <w:rPr>
          <w:rFonts w:cstheme="minorHAnsi"/>
          <w:sz w:val="28"/>
          <w:szCs w:val="28"/>
        </w:rPr>
        <w:t xml:space="preserve">former </w:t>
      </w:r>
      <w:r>
        <w:rPr>
          <w:rFonts w:cstheme="minorHAnsi"/>
          <w:sz w:val="28"/>
          <w:szCs w:val="28"/>
        </w:rPr>
        <w:t xml:space="preserve">Eastern </w:t>
      </w:r>
      <w:r w:rsidR="00A82052">
        <w:rPr>
          <w:rFonts w:cstheme="minorHAnsi"/>
          <w:sz w:val="28"/>
          <w:szCs w:val="28"/>
        </w:rPr>
        <w:t xml:space="preserve">bloc </w:t>
      </w:r>
      <w:r>
        <w:rPr>
          <w:rFonts w:cstheme="minorHAnsi"/>
          <w:sz w:val="28"/>
          <w:szCs w:val="28"/>
        </w:rPr>
        <w:t>countries were admitted to the</w:t>
      </w:r>
      <w:r w:rsidR="00DC3EBC">
        <w:rPr>
          <w:rFonts w:cstheme="minorHAnsi"/>
          <w:sz w:val="28"/>
          <w:szCs w:val="28"/>
        </w:rPr>
        <w:t xml:space="preserve"> European Union in 2004 and 2007</w:t>
      </w:r>
      <w:r w:rsidR="0093169F">
        <w:rPr>
          <w:rFonts w:cstheme="minorHAnsi"/>
          <w:sz w:val="28"/>
          <w:szCs w:val="28"/>
        </w:rPr>
        <w:t>,</w:t>
      </w:r>
      <w:r>
        <w:rPr>
          <w:rFonts w:cstheme="minorHAnsi"/>
          <w:sz w:val="28"/>
          <w:szCs w:val="28"/>
        </w:rPr>
        <w:t xml:space="preserve"> </w:t>
      </w:r>
      <w:r w:rsidR="00DC3EBC">
        <w:rPr>
          <w:rFonts w:cstheme="minorHAnsi"/>
          <w:sz w:val="28"/>
          <w:szCs w:val="28"/>
        </w:rPr>
        <w:t xml:space="preserve">this enabled </w:t>
      </w:r>
      <w:r>
        <w:rPr>
          <w:rFonts w:cstheme="minorHAnsi"/>
          <w:sz w:val="28"/>
          <w:szCs w:val="28"/>
        </w:rPr>
        <w:t xml:space="preserve">students from these countries </w:t>
      </w:r>
      <w:r w:rsidR="00DC3EBC">
        <w:rPr>
          <w:rFonts w:cstheme="minorHAnsi"/>
          <w:sz w:val="28"/>
          <w:szCs w:val="28"/>
        </w:rPr>
        <w:t xml:space="preserve">to </w:t>
      </w:r>
      <w:r>
        <w:rPr>
          <w:rFonts w:cstheme="minorHAnsi"/>
          <w:sz w:val="28"/>
          <w:szCs w:val="28"/>
        </w:rPr>
        <w:t xml:space="preserve">study in the UK without any immigration restrictions and </w:t>
      </w:r>
      <w:r w:rsidR="00384ACB">
        <w:rPr>
          <w:rFonts w:cstheme="minorHAnsi"/>
          <w:sz w:val="28"/>
          <w:szCs w:val="28"/>
        </w:rPr>
        <w:t xml:space="preserve">also </w:t>
      </w:r>
      <w:r>
        <w:rPr>
          <w:rFonts w:cstheme="minorHAnsi"/>
          <w:sz w:val="28"/>
          <w:szCs w:val="28"/>
        </w:rPr>
        <w:t>pay</w:t>
      </w:r>
      <w:r w:rsidR="00384ACB">
        <w:rPr>
          <w:rFonts w:cstheme="minorHAnsi"/>
          <w:sz w:val="28"/>
          <w:szCs w:val="28"/>
        </w:rPr>
        <w:t>ing</w:t>
      </w:r>
      <w:r>
        <w:rPr>
          <w:rFonts w:cstheme="minorHAnsi"/>
          <w:sz w:val="28"/>
          <w:szCs w:val="28"/>
        </w:rPr>
        <w:t xml:space="preserve"> the same fees as </w:t>
      </w:r>
      <w:r w:rsidR="00384ACB">
        <w:rPr>
          <w:rFonts w:cstheme="minorHAnsi"/>
          <w:sz w:val="28"/>
          <w:szCs w:val="28"/>
        </w:rPr>
        <w:t xml:space="preserve">UK </w:t>
      </w:r>
      <w:r>
        <w:rPr>
          <w:rFonts w:cstheme="minorHAnsi"/>
          <w:sz w:val="28"/>
          <w:szCs w:val="28"/>
        </w:rPr>
        <w:t>nationals.</w:t>
      </w:r>
      <w:r w:rsidR="00AD5F6B">
        <w:rPr>
          <w:rFonts w:cstheme="minorHAnsi"/>
          <w:sz w:val="28"/>
          <w:szCs w:val="28"/>
        </w:rPr>
        <w:t xml:space="preserve"> As a direct result, </w:t>
      </w:r>
      <w:r w:rsidR="0031077B">
        <w:rPr>
          <w:rFonts w:cstheme="minorHAnsi"/>
          <w:sz w:val="28"/>
          <w:szCs w:val="28"/>
        </w:rPr>
        <w:t>offshore</w:t>
      </w:r>
      <w:r w:rsidR="00AD5F6B">
        <w:rPr>
          <w:rFonts w:cstheme="minorHAnsi"/>
          <w:sz w:val="28"/>
          <w:szCs w:val="28"/>
        </w:rPr>
        <w:t xml:space="preserve"> enrolments in this </w:t>
      </w:r>
      <w:r w:rsidR="00DC3EBC">
        <w:rPr>
          <w:rFonts w:cstheme="minorHAnsi"/>
          <w:sz w:val="28"/>
          <w:szCs w:val="28"/>
        </w:rPr>
        <w:t xml:space="preserve">region </w:t>
      </w:r>
      <w:r w:rsidR="00AD5F6B">
        <w:rPr>
          <w:rFonts w:cstheme="minorHAnsi"/>
          <w:sz w:val="28"/>
          <w:szCs w:val="28"/>
        </w:rPr>
        <w:t>have plummeted.</w:t>
      </w:r>
      <w:r w:rsidR="00DC3EBC">
        <w:rPr>
          <w:rFonts w:cstheme="minorHAnsi"/>
          <w:sz w:val="28"/>
          <w:szCs w:val="28"/>
        </w:rPr>
        <w:t xml:space="preserve"> </w:t>
      </w:r>
    </w:p>
    <w:p w14:paraId="23CB7AE6" w14:textId="13218B79" w:rsidR="005A0092" w:rsidRDefault="00DC3EBC" w:rsidP="00220005">
      <w:pPr>
        <w:jc w:val="both"/>
        <w:rPr>
          <w:rFonts w:cstheme="minorHAnsi"/>
          <w:sz w:val="28"/>
          <w:szCs w:val="28"/>
        </w:rPr>
      </w:pPr>
      <w:r>
        <w:rPr>
          <w:rFonts w:cstheme="minorHAnsi"/>
          <w:sz w:val="28"/>
          <w:szCs w:val="28"/>
        </w:rPr>
        <w:t xml:space="preserve">By contrast, more recently, </w:t>
      </w:r>
      <w:r w:rsidR="002232F5">
        <w:rPr>
          <w:rFonts w:cstheme="minorHAnsi"/>
          <w:sz w:val="28"/>
          <w:szCs w:val="28"/>
        </w:rPr>
        <w:t xml:space="preserve">the much tighter visa controls introduced by the UK government </w:t>
      </w:r>
      <w:r>
        <w:rPr>
          <w:rFonts w:cstheme="minorHAnsi"/>
          <w:sz w:val="28"/>
          <w:szCs w:val="28"/>
        </w:rPr>
        <w:t>for non-EU nationals have</w:t>
      </w:r>
      <w:r w:rsidR="002232F5">
        <w:rPr>
          <w:rFonts w:cstheme="minorHAnsi"/>
          <w:sz w:val="28"/>
          <w:szCs w:val="28"/>
        </w:rPr>
        <w:t xml:space="preserve"> had a major impact on onshore enrolments especially from India where overseas students </w:t>
      </w:r>
      <w:r>
        <w:rPr>
          <w:rFonts w:cstheme="minorHAnsi"/>
          <w:sz w:val="28"/>
          <w:szCs w:val="28"/>
        </w:rPr>
        <w:t xml:space="preserve">nosedived </w:t>
      </w:r>
      <w:r w:rsidR="007D2C01">
        <w:rPr>
          <w:rFonts w:cstheme="minorHAnsi"/>
          <w:sz w:val="28"/>
          <w:szCs w:val="28"/>
        </w:rPr>
        <w:t xml:space="preserve">from </w:t>
      </w:r>
      <w:r w:rsidR="00030D0F">
        <w:rPr>
          <w:rFonts w:cstheme="minorHAnsi"/>
          <w:sz w:val="28"/>
          <w:szCs w:val="28"/>
        </w:rPr>
        <w:t>around 40,000</w:t>
      </w:r>
      <w:r w:rsidR="007D2C01">
        <w:rPr>
          <w:rFonts w:cstheme="minorHAnsi"/>
          <w:sz w:val="28"/>
          <w:szCs w:val="28"/>
        </w:rPr>
        <w:t xml:space="preserve"> in 2010/11 to 16,550</w:t>
      </w:r>
      <w:r w:rsidR="002232F5">
        <w:rPr>
          <w:rFonts w:cstheme="minorHAnsi"/>
          <w:sz w:val="28"/>
          <w:szCs w:val="28"/>
        </w:rPr>
        <w:t xml:space="preserve"> in 2017/18. Given this situation, </w:t>
      </w:r>
      <w:r>
        <w:rPr>
          <w:rFonts w:cstheme="minorHAnsi"/>
          <w:sz w:val="28"/>
          <w:szCs w:val="28"/>
        </w:rPr>
        <w:t xml:space="preserve">it is probably not coincidental that </w:t>
      </w:r>
      <w:r w:rsidR="0031077B">
        <w:rPr>
          <w:rFonts w:cstheme="minorHAnsi"/>
          <w:sz w:val="28"/>
          <w:szCs w:val="28"/>
        </w:rPr>
        <w:t>offshore</w:t>
      </w:r>
      <w:r>
        <w:rPr>
          <w:rFonts w:cstheme="minorHAnsi"/>
          <w:sz w:val="28"/>
          <w:szCs w:val="28"/>
        </w:rPr>
        <w:t xml:space="preserve"> enrolments in India have increased</w:t>
      </w:r>
      <w:r w:rsidR="0056603A">
        <w:rPr>
          <w:rFonts w:cstheme="minorHAnsi"/>
          <w:sz w:val="28"/>
          <w:szCs w:val="28"/>
        </w:rPr>
        <w:t>.</w:t>
      </w:r>
    </w:p>
    <w:p w14:paraId="6FD895B4" w14:textId="77777777" w:rsidR="007541CF" w:rsidRDefault="007541CF">
      <w:pPr>
        <w:spacing w:after="160" w:line="259" w:lineRule="auto"/>
        <w:rPr>
          <w:rFonts w:cstheme="minorHAnsi"/>
          <w:b/>
          <w:sz w:val="28"/>
          <w:szCs w:val="28"/>
        </w:rPr>
      </w:pPr>
      <w:r>
        <w:rPr>
          <w:rFonts w:cstheme="minorHAnsi"/>
          <w:b/>
          <w:sz w:val="28"/>
          <w:szCs w:val="28"/>
        </w:rPr>
        <w:br w:type="page"/>
      </w:r>
    </w:p>
    <w:p w14:paraId="577855C8" w14:textId="5E61FA9F" w:rsidR="005A0092" w:rsidRDefault="000033D0" w:rsidP="00220005">
      <w:pPr>
        <w:jc w:val="both"/>
        <w:rPr>
          <w:rFonts w:cstheme="minorHAnsi"/>
          <w:b/>
          <w:sz w:val="28"/>
          <w:szCs w:val="28"/>
        </w:rPr>
      </w:pPr>
      <w:r>
        <w:rPr>
          <w:rFonts w:cstheme="minorHAnsi"/>
          <w:b/>
          <w:sz w:val="28"/>
          <w:szCs w:val="28"/>
        </w:rPr>
        <w:lastRenderedPageBreak/>
        <w:t>6</w:t>
      </w:r>
      <w:r w:rsidR="005A0092" w:rsidRPr="005A0092">
        <w:rPr>
          <w:rFonts w:cstheme="minorHAnsi"/>
          <w:b/>
          <w:sz w:val="28"/>
          <w:szCs w:val="28"/>
        </w:rPr>
        <w:t xml:space="preserve">.1.2 </w:t>
      </w:r>
      <w:r w:rsidR="0031077B">
        <w:rPr>
          <w:rFonts w:cstheme="minorHAnsi"/>
          <w:b/>
          <w:sz w:val="28"/>
          <w:szCs w:val="28"/>
        </w:rPr>
        <w:t>Offshore</w:t>
      </w:r>
      <w:r w:rsidR="005A0092" w:rsidRPr="005A0092">
        <w:rPr>
          <w:rFonts w:cstheme="minorHAnsi"/>
          <w:b/>
          <w:sz w:val="28"/>
          <w:szCs w:val="28"/>
        </w:rPr>
        <w:t xml:space="preserve"> provision </w:t>
      </w:r>
    </w:p>
    <w:p w14:paraId="4D0EDA7B" w14:textId="62F40277" w:rsidR="00734FCE" w:rsidRDefault="00E4446F" w:rsidP="00220005">
      <w:pPr>
        <w:jc w:val="both"/>
        <w:rPr>
          <w:rFonts w:cstheme="minorHAnsi"/>
          <w:sz w:val="28"/>
          <w:szCs w:val="28"/>
        </w:rPr>
      </w:pPr>
      <w:r w:rsidRPr="00E4446F">
        <w:rPr>
          <w:rFonts w:cstheme="minorHAnsi"/>
          <w:sz w:val="28"/>
          <w:szCs w:val="28"/>
        </w:rPr>
        <w:t xml:space="preserve">Substitution effects are potentially sizeable between the three main forms of </w:t>
      </w:r>
      <w:r w:rsidR="0031077B">
        <w:rPr>
          <w:rFonts w:cstheme="minorHAnsi"/>
          <w:sz w:val="28"/>
          <w:szCs w:val="28"/>
        </w:rPr>
        <w:t>offshore</w:t>
      </w:r>
      <w:r w:rsidRPr="00E4446F">
        <w:rPr>
          <w:rFonts w:cstheme="minorHAnsi"/>
          <w:sz w:val="28"/>
          <w:szCs w:val="28"/>
        </w:rPr>
        <w:t xml:space="preserve"> provision. </w:t>
      </w:r>
      <w:r>
        <w:rPr>
          <w:rFonts w:cstheme="minorHAnsi"/>
          <w:sz w:val="28"/>
          <w:szCs w:val="28"/>
        </w:rPr>
        <w:t xml:space="preserve">As noted earlier, franchise/validation </w:t>
      </w:r>
      <w:r w:rsidR="00EB6852">
        <w:rPr>
          <w:rFonts w:cstheme="minorHAnsi"/>
          <w:sz w:val="28"/>
          <w:szCs w:val="28"/>
        </w:rPr>
        <w:t xml:space="preserve">degree </w:t>
      </w:r>
      <w:r>
        <w:rPr>
          <w:rFonts w:cstheme="minorHAnsi"/>
          <w:sz w:val="28"/>
          <w:szCs w:val="28"/>
        </w:rPr>
        <w:t xml:space="preserve">provision increased quite rapidly between 2008 </w:t>
      </w:r>
      <w:r w:rsidR="00DC3EBC">
        <w:rPr>
          <w:rFonts w:cstheme="minorHAnsi"/>
          <w:sz w:val="28"/>
          <w:szCs w:val="28"/>
        </w:rPr>
        <w:t xml:space="preserve">and </w:t>
      </w:r>
      <w:r>
        <w:rPr>
          <w:rFonts w:cstheme="minorHAnsi"/>
          <w:sz w:val="28"/>
          <w:szCs w:val="28"/>
        </w:rPr>
        <w:t>2016 while overseas distance learning enrolments flat</w:t>
      </w:r>
      <w:r w:rsidR="00DC3EBC">
        <w:rPr>
          <w:rFonts w:cstheme="minorHAnsi"/>
          <w:sz w:val="28"/>
          <w:szCs w:val="28"/>
        </w:rPr>
        <w:t>-</w:t>
      </w:r>
      <w:r>
        <w:rPr>
          <w:rFonts w:cstheme="minorHAnsi"/>
          <w:sz w:val="28"/>
          <w:szCs w:val="28"/>
        </w:rPr>
        <w:t xml:space="preserve">lined </w:t>
      </w:r>
      <w:r w:rsidR="00DC3EBC">
        <w:rPr>
          <w:rFonts w:cstheme="minorHAnsi"/>
          <w:sz w:val="28"/>
          <w:szCs w:val="28"/>
        </w:rPr>
        <w:t xml:space="preserve">up to 2015 </w:t>
      </w:r>
      <w:r>
        <w:rPr>
          <w:rFonts w:cstheme="minorHAnsi"/>
          <w:sz w:val="28"/>
          <w:szCs w:val="28"/>
        </w:rPr>
        <w:t xml:space="preserve">and </w:t>
      </w:r>
      <w:r w:rsidR="00DC3EBC">
        <w:rPr>
          <w:rFonts w:cstheme="minorHAnsi"/>
          <w:sz w:val="28"/>
          <w:szCs w:val="28"/>
        </w:rPr>
        <w:t>then decreased</w:t>
      </w:r>
      <w:r>
        <w:rPr>
          <w:rFonts w:cstheme="minorHAnsi"/>
          <w:sz w:val="28"/>
          <w:szCs w:val="28"/>
        </w:rPr>
        <w:t xml:space="preserve">. </w:t>
      </w:r>
      <w:r w:rsidR="00DC3EBC">
        <w:rPr>
          <w:rFonts w:cstheme="minorHAnsi"/>
          <w:sz w:val="28"/>
          <w:szCs w:val="28"/>
        </w:rPr>
        <w:t>For most students, b</w:t>
      </w:r>
      <w:r>
        <w:rPr>
          <w:rFonts w:cstheme="minorHAnsi"/>
          <w:sz w:val="28"/>
          <w:szCs w:val="28"/>
        </w:rPr>
        <w:t xml:space="preserve">eing able to study with </w:t>
      </w:r>
      <w:r w:rsidR="00EB6852">
        <w:rPr>
          <w:rFonts w:cstheme="minorHAnsi"/>
          <w:sz w:val="28"/>
          <w:szCs w:val="28"/>
        </w:rPr>
        <w:t>face-to-</w:t>
      </w:r>
      <w:r>
        <w:rPr>
          <w:rFonts w:cstheme="minorHAnsi"/>
          <w:sz w:val="28"/>
          <w:szCs w:val="28"/>
        </w:rPr>
        <w:t xml:space="preserve">face instruction </w:t>
      </w:r>
      <w:r w:rsidR="00384ACB">
        <w:rPr>
          <w:rFonts w:cstheme="minorHAnsi"/>
          <w:sz w:val="28"/>
          <w:szCs w:val="28"/>
        </w:rPr>
        <w:t xml:space="preserve">for a UK degree </w:t>
      </w:r>
      <w:r>
        <w:rPr>
          <w:rFonts w:cstheme="minorHAnsi"/>
          <w:sz w:val="28"/>
          <w:szCs w:val="28"/>
        </w:rPr>
        <w:t xml:space="preserve">at a reputable local university is likely to be more attractive than studying on one’s own at a distance. Faced with this situation, a number of UK universities with sizeable ODL enrolments have introduced supported blended learning with their ODL students attending local ‘partner’ learning centres. The fees for most ODL courses are </w:t>
      </w:r>
      <w:r w:rsidR="00EB6852">
        <w:rPr>
          <w:rFonts w:cstheme="minorHAnsi"/>
          <w:sz w:val="28"/>
          <w:szCs w:val="28"/>
        </w:rPr>
        <w:t xml:space="preserve">also </w:t>
      </w:r>
      <w:r>
        <w:rPr>
          <w:rFonts w:cstheme="minorHAnsi"/>
          <w:sz w:val="28"/>
          <w:szCs w:val="28"/>
        </w:rPr>
        <w:t>much higher than in the past and are often considerably higher than the course fees for the same degree for franchised/validated deg</w:t>
      </w:r>
      <w:r w:rsidR="00EB6852">
        <w:rPr>
          <w:rFonts w:cstheme="minorHAnsi"/>
          <w:sz w:val="28"/>
          <w:szCs w:val="28"/>
        </w:rPr>
        <w:t>r</w:t>
      </w:r>
      <w:r>
        <w:rPr>
          <w:rFonts w:cstheme="minorHAnsi"/>
          <w:sz w:val="28"/>
          <w:szCs w:val="28"/>
        </w:rPr>
        <w:t xml:space="preserve">ee courses offered by overseas collaborative partners. </w:t>
      </w:r>
      <w:r w:rsidR="00EB6852">
        <w:rPr>
          <w:rFonts w:cstheme="minorHAnsi"/>
          <w:sz w:val="28"/>
          <w:szCs w:val="28"/>
        </w:rPr>
        <w:t>Thus, f</w:t>
      </w:r>
      <w:r w:rsidR="00030D0F">
        <w:rPr>
          <w:rFonts w:cstheme="minorHAnsi"/>
          <w:sz w:val="28"/>
          <w:szCs w:val="28"/>
        </w:rPr>
        <w:t xml:space="preserve">ranchise/validated courses have a significant </w:t>
      </w:r>
      <w:r w:rsidR="00EB6852">
        <w:rPr>
          <w:rFonts w:cstheme="minorHAnsi"/>
          <w:sz w:val="28"/>
          <w:szCs w:val="28"/>
        </w:rPr>
        <w:t xml:space="preserve">price-competitive advantage over overseas distance </w:t>
      </w:r>
      <w:r w:rsidR="007541CF">
        <w:rPr>
          <w:rFonts w:cstheme="minorHAnsi"/>
          <w:sz w:val="28"/>
          <w:szCs w:val="28"/>
        </w:rPr>
        <w:t xml:space="preserve">learning </w:t>
      </w:r>
      <w:r w:rsidR="00EB6852">
        <w:rPr>
          <w:rFonts w:cstheme="minorHAnsi"/>
          <w:sz w:val="28"/>
          <w:szCs w:val="28"/>
        </w:rPr>
        <w:t>provision.</w:t>
      </w:r>
      <w:r w:rsidR="0093169F">
        <w:rPr>
          <w:rFonts w:cstheme="minorHAnsi"/>
          <w:sz w:val="28"/>
          <w:szCs w:val="28"/>
        </w:rPr>
        <w:t xml:space="preserve"> </w:t>
      </w:r>
      <w:r w:rsidR="00734FCE">
        <w:rPr>
          <w:rFonts w:cstheme="minorHAnsi"/>
          <w:sz w:val="28"/>
          <w:szCs w:val="28"/>
        </w:rPr>
        <w:t xml:space="preserve"> </w:t>
      </w:r>
    </w:p>
    <w:p w14:paraId="740C3B92" w14:textId="4124122F" w:rsidR="005A0092" w:rsidRPr="00E4446F" w:rsidRDefault="00734FCE" w:rsidP="00220005">
      <w:pPr>
        <w:jc w:val="both"/>
        <w:rPr>
          <w:rFonts w:cstheme="minorHAnsi"/>
          <w:sz w:val="28"/>
          <w:szCs w:val="28"/>
        </w:rPr>
      </w:pPr>
      <w:r>
        <w:rPr>
          <w:rFonts w:cstheme="minorHAnsi"/>
          <w:sz w:val="28"/>
          <w:szCs w:val="28"/>
        </w:rPr>
        <w:t xml:space="preserve">The reverse situation is likely to prevail when a UK university decides or is forced to end its collaborative provision with its local partner and local students wishing to study for these degree courses enrol on distance learning courses. </w:t>
      </w:r>
      <w:r w:rsidR="0093169F">
        <w:rPr>
          <w:rFonts w:cstheme="minorHAnsi"/>
          <w:sz w:val="28"/>
          <w:szCs w:val="28"/>
        </w:rPr>
        <w:t>For example, i</w:t>
      </w:r>
      <w:r>
        <w:rPr>
          <w:rFonts w:cstheme="minorHAnsi"/>
          <w:sz w:val="28"/>
          <w:szCs w:val="28"/>
        </w:rPr>
        <w:t xml:space="preserve">n South Africa, the government effectively </w:t>
      </w:r>
      <w:r w:rsidR="000458FF">
        <w:rPr>
          <w:rFonts w:cstheme="minorHAnsi"/>
          <w:sz w:val="28"/>
          <w:szCs w:val="28"/>
        </w:rPr>
        <w:t xml:space="preserve">outlawed </w:t>
      </w:r>
      <w:r w:rsidR="007C35EA">
        <w:rPr>
          <w:rFonts w:cstheme="minorHAnsi"/>
          <w:sz w:val="28"/>
          <w:szCs w:val="28"/>
        </w:rPr>
        <w:t xml:space="preserve">UK </w:t>
      </w:r>
      <w:r w:rsidR="000458FF">
        <w:rPr>
          <w:rFonts w:cstheme="minorHAnsi"/>
          <w:sz w:val="28"/>
          <w:szCs w:val="28"/>
        </w:rPr>
        <w:t>franchised/validated courses in 2009/2010</w:t>
      </w:r>
      <w:r w:rsidR="0093169F">
        <w:rPr>
          <w:rFonts w:cstheme="minorHAnsi"/>
          <w:sz w:val="28"/>
          <w:szCs w:val="28"/>
        </w:rPr>
        <w:t xml:space="preserve"> and</w:t>
      </w:r>
      <w:r w:rsidR="00384ACB">
        <w:rPr>
          <w:rFonts w:cstheme="minorHAnsi"/>
          <w:sz w:val="28"/>
          <w:szCs w:val="28"/>
        </w:rPr>
        <w:t>,</w:t>
      </w:r>
      <w:r w:rsidR="0093169F">
        <w:rPr>
          <w:rFonts w:cstheme="minorHAnsi"/>
          <w:sz w:val="28"/>
          <w:szCs w:val="28"/>
        </w:rPr>
        <w:t xml:space="preserve"> s</w:t>
      </w:r>
      <w:r w:rsidR="000458FF">
        <w:rPr>
          <w:rFonts w:cstheme="minorHAnsi"/>
          <w:sz w:val="28"/>
          <w:szCs w:val="28"/>
        </w:rPr>
        <w:t>ince then</w:t>
      </w:r>
      <w:r w:rsidR="00384ACB">
        <w:rPr>
          <w:rFonts w:cstheme="minorHAnsi"/>
          <w:sz w:val="28"/>
          <w:szCs w:val="28"/>
        </w:rPr>
        <w:t>,</w:t>
      </w:r>
      <w:r w:rsidR="000458FF">
        <w:rPr>
          <w:rFonts w:cstheme="minorHAnsi"/>
          <w:sz w:val="28"/>
          <w:szCs w:val="28"/>
        </w:rPr>
        <w:t xml:space="preserve"> there has been a noticeable increase in South African students </w:t>
      </w:r>
      <w:r w:rsidR="0093169F">
        <w:rPr>
          <w:rFonts w:cstheme="minorHAnsi"/>
          <w:sz w:val="28"/>
          <w:szCs w:val="28"/>
        </w:rPr>
        <w:t xml:space="preserve">enrolled </w:t>
      </w:r>
      <w:r w:rsidR="000458FF">
        <w:rPr>
          <w:rFonts w:cstheme="minorHAnsi"/>
          <w:sz w:val="28"/>
          <w:szCs w:val="28"/>
        </w:rPr>
        <w:t xml:space="preserve">on </w:t>
      </w:r>
      <w:r w:rsidR="0093169F">
        <w:rPr>
          <w:rFonts w:cstheme="minorHAnsi"/>
          <w:sz w:val="28"/>
          <w:szCs w:val="28"/>
        </w:rPr>
        <w:t xml:space="preserve">UK </w:t>
      </w:r>
      <w:r w:rsidR="000458FF">
        <w:rPr>
          <w:rFonts w:cstheme="minorHAnsi"/>
          <w:sz w:val="28"/>
          <w:szCs w:val="28"/>
        </w:rPr>
        <w:t>overseas distance courses.</w:t>
      </w:r>
      <w:r w:rsidR="00285D82">
        <w:rPr>
          <w:rFonts w:cstheme="minorHAnsi"/>
          <w:sz w:val="28"/>
          <w:szCs w:val="28"/>
        </w:rPr>
        <w:t xml:space="preserve">  </w:t>
      </w:r>
      <w:r>
        <w:rPr>
          <w:rFonts w:cstheme="minorHAnsi"/>
          <w:sz w:val="28"/>
          <w:szCs w:val="28"/>
        </w:rPr>
        <w:t>Similarly, the establishment of an overseas branch campus may lead to a significant reduction in franchise/validated enrolments at local partners and overseas distance learners.</w:t>
      </w:r>
      <w:r w:rsidR="00E4446F">
        <w:rPr>
          <w:rFonts w:cstheme="minorHAnsi"/>
          <w:sz w:val="28"/>
          <w:szCs w:val="28"/>
        </w:rPr>
        <w:t xml:space="preserve"> </w:t>
      </w:r>
      <w:r w:rsidR="00285D82">
        <w:rPr>
          <w:rFonts w:cstheme="minorHAnsi"/>
          <w:sz w:val="28"/>
          <w:szCs w:val="28"/>
        </w:rPr>
        <w:t xml:space="preserve"> However, this is only likely to happen in geographically compact countries/city states such as Hong Kong, Singapore and UAE where students have a relatively costless choice between the two forms of provision. In very large countries such as China and India, this is less likely to </w:t>
      </w:r>
      <w:r w:rsidR="00384ACB">
        <w:rPr>
          <w:rFonts w:cstheme="minorHAnsi"/>
          <w:sz w:val="28"/>
          <w:szCs w:val="28"/>
        </w:rPr>
        <w:t>be the case</w:t>
      </w:r>
      <w:r w:rsidR="00285D82">
        <w:rPr>
          <w:rFonts w:cstheme="minorHAnsi"/>
          <w:sz w:val="28"/>
          <w:szCs w:val="28"/>
        </w:rPr>
        <w:t xml:space="preserve">. </w:t>
      </w:r>
    </w:p>
    <w:p w14:paraId="61C7944D" w14:textId="4D5BFC66" w:rsidR="005F21A8" w:rsidRPr="005F21A8" w:rsidRDefault="000033D0" w:rsidP="00220005">
      <w:pPr>
        <w:jc w:val="both"/>
        <w:rPr>
          <w:rFonts w:cstheme="minorHAnsi"/>
          <w:b/>
          <w:sz w:val="28"/>
          <w:szCs w:val="28"/>
        </w:rPr>
      </w:pPr>
      <w:r>
        <w:rPr>
          <w:rFonts w:cstheme="minorHAnsi"/>
          <w:b/>
          <w:sz w:val="28"/>
          <w:szCs w:val="28"/>
        </w:rPr>
        <w:t>6</w:t>
      </w:r>
      <w:r w:rsidR="005F21A8" w:rsidRPr="005F21A8">
        <w:rPr>
          <w:rFonts w:cstheme="minorHAnsi"/>
          <w:b/>
          <w:sz w:val="28"/>
          <w:szCs w:val="28"/>
        </w:rPr>
        <w:t>.2 COMPLEMENTARY EFFECTS</w:t>
      </w:r>
    </w:p>
    <w:p w14:paraId="03E6AF91" w14:textId="3BC98F22" w:rsidR="00FA3BA8" w:rsidRDefault="009A1611" w:rsidP="00220005">
      <w:pPr>
        <w:jc w:val="both"/>
        <w:rPr>
          <w:rFonts w:cstheme="minorHAnsi"/>
          <w:sz w:val="28"/>
          <w:szCs w:val="28"/>
        </w:rPr>
      </w:pPr>
      <w:r>
        <w:rPr>
          <w:rFonts w:cstheme="minorHAnsi"/>
          <w:sz w:val="28"/>
          <w:szCs w:val="28"/>
        </w:rPr>
        <w:t xml:space="preserve">Complementary effects arise where </w:t>
      </w:r>
      <w:r w:rsidR="0031077B">
        <w:rPr>
          <w:rFonts w:cstheme="minorHAnsi"/>
          <w:sz w:val="28"/>
          <w:szCs w:val="28"/>
        </w:rPr>
        <w:t>offshore</w:t>
      </w:r>
      <w:r w:rsidR="00B9124D">
        <w:rPr>
          <w:rFonts w:cstheme="minorHAnsi"/>
          <w:sz w:val="28"/>
          <w:szCs w:val="28"/>
        </w:rPr>
        <w:t xml:space="preserve"> provision </w:t>
      </w:r>
      <w:r w:rsidR="0093169F">
        <w:rPr>
          <w:rFonts w:cstheme="minorHAnsi"/>
          <w:sz w:val="28"/>
          <w:szCs w:val="28"/>
        </w:rPr>
        <w:t xml:space="preserve">leads, either </w:t>
      </w:r>
      <w:r w:rsidR="00B9124D">
        <w:rPr>
          <w:rFonts w:cstheme="minorHAnsi"/>
          <w:sz w:val="28"/>
          <w:szCs w:val="28"/>
        </w:rPr>
        <w:t xml:space="preserve">directly </w:t>
      </w:r>
      <w:r w:rsidR="0093169F">
        <w:rPr>
          <w:rFonts w:cstheme="minorHAnsi"/>
          <w:sz w:val="28"/>
          <w:szCs w:val="28"/>
        </w:rPr>
        <w:t xml:space="preserve">or indirectly, </w:t>
      </w:r>
      <w:r w:rsidR="00B9124D">
        <w:rPr>
          <w:rFonts w:cstheme="minorHAnsi"/>
          <w:sz w:val="28"/>
          <w:szCs w:val="28"/>
        </w:rPr>
        <w:t xml:space="preserve">to an increase in the numbers of </w:t>
      </w:r>
      <w:r>
        <w:rPr>
          <w:rFonts w:cstheme="minorHAnsi"/>
          <w:sz w:val="28"/>
          <w:szCs w:val="28"/>
        </w:rPr>
        <w:t>on</w:t>
      </w:r>
      <w:r w:rsidR="00943108">
        <w:rPr>
          <w:rFonts w:cstheme="minorHAnsi"/>
          <w:sz w:val="28"/>
          <w:szCs w:val="28"/>
        </w:rPr>
        <w:t xml:space="preserve">shore </w:t>
      </w:r>
      <w:r w:rsidR="00030D0F">
        <w:rPr>
          <w:rFonts w:cstheme="minorHAnsi"/>
          <w:sz w:val="28"/>
          <w:szCs w:val="28"/>
        </w:rPr>
        <w:t xml:space="preserve">overseas </w:t>
      </w:r>
      <w:r w:rsidR="00B9124D">
        <w:rPr>
          <w:rFonts w:cstheme="minorHAnsi"/>
          <w:sz w:val="28"/>
          <w:szCs w:val="28"/>
        </w:rPr>
        <w:t xml:space="preserve">students </w:t>
      </w:r>
      <w:r w:rsidR="00030D0F">
        <w:rPr>
          <w:rFonts w:cstheme="minorHAnsi"/>
          <w:sz w:val="28"/>
          <w:szCs w:val="28"/>
        </w:rPr>
        <w:t>from</w:t>
      </w:r>
      <w:r w:rsidR="00943108">
        <w:rPr>
          <w:rFonts w:cstheme="minorHAnsi"/>
          <w:sz w:val="28"/>
          <w:szCs w:val="28"/>
        </w:rPr>
        <w:t xml:space="preserve"> a particular </w:t>
      </w:r>
      <w:r w:rsidR="00B9124D">
        <w:rPr>
          <w:rFonts w:cstheme="minorHAnsi"/>
          <w:sz w:val="28"/>
          <w:szCs w:val="28"/>
        </w:rPr>
        <w:t>country studying in the UK. Th</w:t>
      </w:r>
      <w:r>
        <w:rPr>
          <w:rFonts w:cstheme="minorHAnsi"/>
          <w:sz w:val="28"/>
          <w:szCs w:val="28"/>
        </w:rPr>
        <w:t xml:space="preserve">ere are potentially two types of complementary </w:t>
      </w:r>
      <w:r w:rsidR="0093169F">
        <w:rPr>
          <w:rFonts w:cstheme="minorHAnsi"/>
          <w:sz w:val="28"/>
          <w:szCs w:val="28"/>
        </w:rPr>
        <w:t xml:space="preserve">effects namely </w:t>
      </w:r>
      <w:r>
        <w:rPr>
          <w:rFonts w:cstheme="minorHAnsi"/>
          <w:sz w:val="28"/>
          <w:szCs w:val="28"/>
        </w:rPr>
        <w:t xml:space="preserve">(i) when the </w:t>
      </w:r>
      <w:r w:rsidR="00B9124D">
        <w:rPr>
          <w:rFonts w:cstheme="minorHAnsi"/>
          <w:sz w:val="28"/>
          <w:szCs w:val="28"/>
        </w:rPr>
        <w:t xml:space="preserve">greater visibility of the UK university </w:t>
      </w:r>
      <w:r>
        <w:rPr>
          <w:rFonts w:cstheme="minorHAnsi"/>
          <w:sz w:val="28"/>
          <w:szCs w:val="28"/>
        </w:rPr>
        <w:lastRenderedPageBreak/>
        <w:t xml:space="preserve">offering </w:t>
      </w:r>
      <w:r w:rsidR="0031077B">
        <w:rPr>
          <w:rFonts w:cstheme="minorHAnsi"/>
          <w:sz w:val="28"/>
          <w:szCs w:val="28"/>
        </w:rPr>
        <w:t>offshore</w:t>
      </w:r>
      <w:r>
        <w:rPr>
          <w:rFonts w:cstheme="minorHAnsi"/>
          <w:sz w:val="28"/>
          <w:szCs w:val="28"/>
        </w:rPr>
        <w:t xml:space="preserve"> courses with local partners leads to larger numbers of students from this country studying in the UK </w:t>
      </w:r>
      <w:r w:rsidR="00B9124D">
        <w:rPr>
          <w:rFonts w:cstheme="minorHAnsi"/>
          <w:sz w:val="28"/>
          <w:szCs w:val="28"/>
        </w:rPr>
        <w:t xml:space="preserve">country </w:t>
      </w:r>
      <w:r>
        <w:rPr>
          <w:rFonts w:cstheme="minorHAnsi"/>
          <w:sz w:val="28"/>
          <w:szCs w:val="28"/>
        </w:rPr>
        <w:t>(the so-called bra</w:t>
      </w:r>
      <w:r w:rsidR="00B9124D">
        <w:rPr>
          <w:rFonts w:cstheme="minorHAnsi"/>
          <w:sz w:val="28"/>
          <w:szCs w:val="28"/>
        </w:rPr>
        <w:t>nding effect)</w:t>
      </w:r>
      <w:r>
        <w:rPr>
          <w:rFonts w:cstheme="minorHAnsi"/>
          <w:sz w:val="28"/>
          <w:szCs w:val="28"/>
        </w:rPr>
        <w:t>; and (ii)</w:t>
      </w:r>
      <w:r w:rsidR="00B9124D">
        <w:rPr>
          <w:rFonts w:cstheme="minorHAnsi"/>
          <w:sz w:val="28"/>
          <w:szCs w:val="28"/>
        </w:rPr>
        <w:t xml:space="preserve"> </w:t>
      </w:r>
      <w:r>
        <w:rPr>
          <w:rFonts w:cstheme="minorHAnsi"/>
          <w:sz w:val="28"/>
          <w:szCs w:val="28"/>
        </w:rPr>
        <w:t xml:space="preserve">where </w:t>
      </w:r>
      <w:r w:rsidR="0031077B">
        <w:rPr>
          <w:rFonts w:cstheme="minorHAnsi"/>
          <w:sz w:val="28"/>
          <w:szCs w:val="28"/>
        </w:rPr>
        <w:t>offshore</w:t>
      </w:r>
      <w:r>
        <w:rPr>
          <w:rFonts w:cstheme="minorHAnsi"/>
          <w:sz w:val="28"/>
          <w:szCs w:val="28"/>
        </w:rPr>
        <w:t xml:space="preserve"> </w:t>
      </w:r>
      <w:r w:rsidR="00B9124D">
        <w:rPr>
          <w:rFonts w:cstheme="minorHAnsi"/>
          <w:sz w:val="28"/>
          <w:szCs w:val="28"/>
        </w:rPr>
        <w:t>students</w:t>
      </w:r>
      <w:r w:rsidR="00384ACB">
        <w:rPr>
          <w:rFonts w:cstheme="minorHAnsi"/>
          <w:sz w:val="28"/>
          <w:szCs w:val="28"/>
        </w:rPr>
        <w:t>,</w:t>
      </w:r>
      <w:r>
        <w:rPr>
          <w:rFonts w:cstheme="minorHAnsi"/>
          <w:sz w:val="28"/>
          <w:szCs w:val="28"/>
        </w:rPr>
        <w:t xml:space="preserve"> particularly </w:t>
      </w:r>
      <w:r w:rsidR="00B9124D">
        <w:rPr>
          <w:rFonts w:cstheme="minorHAnsi"/>
          <w:sz w:val="28"/>
          <w:szCs w:val="28"/>
        </w:rPr>
        <w:t>from an overseas branch campus</w:t>
      </w:r>
      <w:r w:rsidR="00384ACB">
        <w:rPr>
          <w:rFonts w:cstheme="minorHAnsi"/>
          <w:sz w:val="28"/>
          <w:szCs w:val="28"/>
        </w:rPr>
        <w:t>,</w:t>
      </w:r>
      <w:r w:rsidR="00B9124D">
        <w:rPr>
          <w:rFonts w:cstheme="minorHAnsi"/>
          <w:sz w:val="28"/>
          <w:szCs w:val="28"/>
        </w:rPr>
        <w:t xml:space="preserve"> are allowed</w:t>
      </w:r>
      <w:r w:rsidR="00FA3BA8">
        <w:rPr>
          <w:rFonts w:cstheme="minorHAnsi"/>
          <w:sz w:val="28"/>
          <w:szCs w:val="28"/>
        </w:rPr>
        <w:t xml:space="preserve">, </w:t>
      </w:r>
      <w:r w:rsidR="00B9124D">
        <w:rPr>
          <w:rFonts w:cstheme="minorHAnsi"/>
          <w:sz w:val="28"/>
          <w:szCs w:val="28"/>
        </w:rPr>
        <w:t xml:space="preserve">actively encouraged or even expected to complete part of their </w:t>
      </w:r>
      <w:r w:rsidR="00384ACB">
        <w:rPr>
          <w:rFonts w:cstheme="minorHAnsi"/>
          <w:sz w:val="28"/>
          <w:szCs w:val="28"/>
        </w:rPr>
        <w:t xml:space="preserve">under-graduate </w:t>
      </w:r>
      <w:r w:rsidR="00B9124D">
        <w:rPr>
          <w:rFonts w:cstheme="minorHAnsi"/>
          <w:sz w:val="28"/>
          <w:szCs w:val="28"/>
        </w:rPr>
        <w:t>degree</w:t>
      </w:r>
      <w:r w:rsidR="00384ACB">
        <w:rPr>
          <w:rFonts w:cstheme="minorHAnsi"/>
          <w:sz w:val="28"/>
          <w:szCs w:val="28"/>
        </w:rPr>
        <w:t xml:space="preserve"> in the UK</w:t>
      </w:r>
      <w:r w:rsidR="00B9124D">
        <w:rPr>
          <w:rFonts w:cstheme="minorHAnsi"/>
          <w:sz w:val="28"/>
          <w:szCs w:val="28"/>
        </w:rPr>
        <w:t xml:space="preserve"> </w:t>
      </w:r>
      <w:r>
        <w:rPr>
          <w:rFonts w:cstheme="minorHAnsi"/>
          <w:sz w:val="28"/>
          <w:szCs w:val="28"/>
        </w:rPr>
        <w:t>and/or can progress more easily to a postgraduate degree at the UK campus</w:t>
      </w:r>
      <w:r w:rsidR="00B9124D">
        <w:rPr>
          <w:rFonts w:cstheme="minorHAnsi"/>
          <w:sz w:val="28"/>
          <w:szCs w:val="28"/>
        </w:rPr>
        <w:t xml:space="preserve">. </w:t>
      </w:r>
      <w:r w:rsidR="00384ACB">
        <w:rPr>
          <w:rFonts w:cstheme="minorHAnsi"/>
          <w:sz w:val="28"/>
          <w:szCs w:val="28"/>
        </w:rPr>
        <w:t>As noted earlier, a</w:t>
      </w:r>
      <w:r w:rsidR="00B9124D">
        <w:rPr>
          <w:rFonts w:cstheme="minorHAnsi"/>
          <w:sz w:val="28"/>
          <w:szCs w:val="28"/>
        </w:rPr>
        <w:t xml:space="preserve">rticulation </w:t>
      </w:r>
      <w:r>
        <w:rPr>
          <w:rFonts w:cstheme="minorHAnsi"/>
          <w:sz w:val="28"/>
          <w:szCs w:val="28"/>
        </w:rPr>
        <w:t xml:space="preserve">and progression </w:t>
      </w:r>
      <w:r w:rsidR="00B9124D">
        <w:rPr>
          <w:rFonts w:cstheme="minorHAnsi"/>
          <w:sz w:val="28"/>
          <w:szCs w:val="28"/>
        </w:rPr>
        <w:t xml:space="preserve">arrangements of this kind are now </w:t>
      </w:r>
      <w:r w:rsidR="00FA3BA8">
        <w:rPr>
          <w:rFonts w:cstheme="minorHAnsi"/>
          <w:sz w:val="28"/>
          <w:szCs w:val="28"/>
        </w:rPr>
        <w:t xml:space="preserve">commonplace at </w:t>
      </w:r>
      <w:r w:rsidR="00384ACB">
        <w:rPr>
          <w:rFonts w:cstheme="minorHAnsi"/>
          <w:sz w:val="28"/>
          <w:szCs w:val="28"/>
        </w:rPr>
        <w:t xml:space="preserve">a number of </w:t>
      </w:r>
      <w:r w:rsidR="00FA3BA8">
        <w:rPr>
          <w:rFonts w:cstheme="minorHAnsi"/>
          <w:sz w:val="28"/>
          <w:szCs w:val="28"/>
        </w:rPr>
        <w:t>UK univer</w:t>
      </w:r>
      <w:r w:rsidR="00B9124D">
        <w:rPr>
          <w:rFonts w:cstheme="minorHAnsi"/>
          <w:sz w:val="28"/>
          <w:szCs w:val="28"/>
        </w:rPr>
        <w:t>sit</w:t>
      </w:r>
      <w:r w:rsidR="00FA3BA8">
        <w:rPr>
          <w:rFonts w:cstheme="minorHAnsi"/>
          <w:sz w:val="28"/>
          <w:szCs w:val="28"/>
        </w:rPr>
        <w:t>i</w:t>
      </w:r>
      <w:r w:rsidR="00B9124D">
        <w:rPr>
          <w:rFonts w:cstheme="minorHAnsi"/>
          <w:sz w:val="28"/>
          <w:szCs w:val="28"/>
        </w:rPr>
        <w:t>es.</w:t>
      </w:r>
      <w:r w:rsidR="00FA3BA8">
        <w:rPr>
          <w:rFonts w:cstheme="minorHAnsi"/>
          <w:sz w:val="28"/>
          <w:szCs w:val="28"/>
        </w:rPr>
        <w:t xml:space="preserve"> </w:t>
      </w:r>
    </w:p>
    <w:p w14:paraId="5E124EDD" w14:textId="4DCF00CF" w:rsidR="003A23E3" w:rsidRPr="00285D82" w:rsidRDefault="000033D0" w:rsidP="00220005">
      <w:pPr>
        <w:jc w:val="both"/>
        <w:rPr>
          <w:rFonts w:cstheme="minorHAnsi"/>
          <w:b/>
          <w:sz w:val="28"/>
          <w:szCs w:val="28"/>
        </w:rPr>
      </w:pPr>
      <w:r>
        <w:rPr>
          <w:rFonts w:cstheme="minorHAnsi"/>
          <w:b/>
          <w:sz w:val="28"/>
          <w:szCs w:val="28"/>
        </w:rPr>
        <w:t>6</w:t>
      </w:r>
      <w:r w:rsidR="00285D82" w:rsidRPr="00285D82">
        <w:rPr>
          <w:rFonts w:cstheme="minorHAnsi"/>
          <w:b/>
          <w:sz w:val="28"/>
          <w:szCs w:val="28"/>
        </w:rPr>
        <w:t xml:space="preserve">.2.1 </w:t>
      </w:r>
      <w:r w:rsidR="00220005" w:rsidRPr="00285D82">
        <w:rPr>
          <w:rFonts w:cstheme="minorHAnsi"/>
          <w:b/>
          <w:sz w:val="28"/>
          <w:szCs w:val="28"/>
        </w:rPr>
        <w:t>Branding effects</w:t>
      </w:r>
    </w:p>
    <w:p w14:paraId="7843182E" w14:textId="094D241E" w:rsidR="00285D82" w:rsidRDefault="00220005" w:rsidP="004C57CA">
      <w:pPr>
        <w:jc w:val="both"/>
        <w:rPr>
          <w:rFonts w:cstheme="minorHAnsi"/>
          <w:sz w:val="28"/>
          <w:szCs w:val="28"/>
        </w:rPr>
      </w:pPr>
      <w:r w:rsidRPr="003F67EF">
        <w:rPr>
          <w:rFonts w:cstheme="minorHAnsi"/>
          <w:sz w:val="28"/>
          <w:szCs w:val="28"/>
        </w:rPr>
        <w:t xml:space="preserve">A possible causal linkage between onshore and </w:t>
      </w:r>
      <w:r w:rsidR="0031077B">
        <w:rPr>
          <w:rFonts w:cstheme="minorHAnsi"/>
          <w:sz w:val="28"/>
          <w:szCs w:val="28"/>
        </w:rPr>
        <w:t>offshore</w:t>
      </w:r>
      <w:r w:rsidRPr="003F67EF">
        <w:rPr>
          <w:rFonts w:cstheme="minorHAnsi"/>
          <w:sz w:val="28"/>
          <w:szCs w:val="28"/>
        </w:rPr>
        <w:t xml:space="preserve"> overseas student enrolments is when large number of </w:t>
      </w:r>
      <w:r w:rsidR="0031077B">
        <w:rPr>
          <w:rFonts w:cstheme="minorHAnsi"/>
          <w:sz w:val="28"/>
          <w:szCs w:val="28"/>
        </w:rPr>
        <w:t>offshore</w:t>
      </w:r>
      <w:r w:rsidRPr="003F67EF">
        <w:rPr>
          <w:rFonts w:cstheme="minorHAnsi"/>
          <w:sz w:val="28"/>
          <w:szCs w:val="28"/>
        </w:rPr>
        <w:t xml:space="preserve"> students in a particular country generates more onshore overseas students from that country in the UK than would otherwise be the case in the absence of </w:t>
      </w:r>
      <w:r w:rsidR="0031077B">
        <w:rPr>
          <w:rFonts w:cstheme="minorHAnsi"/>
          <w:sz w:val="28"/>
          <w:szCs w:val="28"/>
        </w:rPr>
        <w:t>offshore</w:t>
      </w:r>
      <w:r w:rsidRPr="003F67EF">
        <w:rPr>
          <w:rFonts w:cstheme="minorHAnsi"/>
          <w:sz w:val="28"/>
          <w:szCs w:val="28"/>
        </w:rPr>
        <w:t xml:space="preserve"> partnerships.  While it is </w:t>
      </w:r>
      <w:r>
        <w:rPr>
          <w:rFonts w:cstheme="minorHAnsi"/>
          <w:sz w:val="28"/>
          <w:szCs w:val="28"/>
        </w:rPr>
        <w:t>very difficult</w:t>
      </w:r>
      <w:r w:rsidRPr="003F67EF">
        <w:rPr>
          <w:rFonts w:cstheme="minorHAnsi"/>
          <w:sz w:val="28"/>
          <w:szCs w:val="28"/>
        </w:rPr>
        <w:t xml:space="preserve"> to establish what the counterfactual outcome would have been, generally speaking</w:t>
      </w:r>
      <w:r>
        <w:rPr>
          <w:rFonts w:cstheme="minorHAnsi"/>
          <w:sz w:val="28"/>
          <w:szCs w:val="28"/>
        </w:rPr>
        <w:t>,</w:t>
      </w:r>
      <w:r w:rsidRPr="003F67EF">
        <w:rPr>
          <w:rFonts w:cstheme="minorHAnsi"/>
          <w:sz w:val="28"/>
          <w:szCs w:val="28"/>
        </w:rPr>
        <w:t xml:space="preserve"> large </w:t>
      </w:r>
      <w:r w:rsidR="0031077B">
        <w:rPr>
          <w:rFonts w:cstheme="minorHAnsi"/>
          <w:sz w:val="28"/>
          <w:szCs w:val="28"/>
        </w:rPr>
        <w:t>offshore</w:t>
      </w:r>
      <w:r w:rsidRPr="003F67EF">
        <w:rPr>
          <w:rFonts w:cstheme="minorHAnsi"/>
          <w:sz w:val="28"/>
          <w:szCs w:val="28"/>
        </w:rPr>
        <w:t xml:space="preserve"> enrolments </w:t>
      </w:r>
      <w:r>
        <w:rPr>
          <w:rFonts w:cstheme="minorHAnsi"/>
          <w:sz w:val="28"/>
          <w:szCs w:val="28"/>
        </w:rPr>
        <w:t xml:space="preserve">in most countries </w:t>
      </w:r>
      <w:r w:rsidRPr="003F67EF">
        <w:rPr>
          <w:rFonts w:cstheme="minorHAnsi"/>
          <w:sz w:val="28"/>
          <w:szCs w:val="28"/>
        </w:rPr>
        <w:t xml:space="preserve">are not associated with large and/or increasing </w:t>
      </w:r>
      <w:r>
        <w:rPr>
          <w:rFonts w:cstheme="minorHAnsi"/>
          <w:sz w:val="28"/>
          <w:szCs w:val="28"/>
        </w:rPr>
        <w:t xml:space="preserve">onshore overseas </w:t>
      </w:r>
      <w:r w:rsidRPr="003F67EF">
        <w:rPr>
          <w:rFonts w:cstheme="minorHAnsi"/>
          <w:sz w:val="28"/>
          <w:szCs w:val="28"/>
        </w:rPr>
        <w:t xml:space="preserve">enrolments in the UK. A total of 29 UK universities had more than 1,000 students (and thus a </w:t>
      </w:r>
      <w:r>
        <w:rPr>
          <w:rFonts w:cstheme="minorHAnsi"/>
          <w:sz w:val="28"/>
          <w:szCs w:val="28"/>
        </w:rPr>
        <w:t xml:space="preserve">reasonably </w:t>
      </w:r>
      <w:r w:rsidRPr="003F67EF">
        <w:rPr>
          <w:rFonts w:cstheme="minorHAnsi"/>
          <w:sz w:val="28"/>
          <w:szCs w:val="28"/>
        </w:rPr>
        <w:t xml:space="preserve">sizeable presence) in their top </w:t>
      </w:r>
      <w:r w:rsidR="0031077B">
        <w:rPr>
          <w:rFonts w:cstheme="minorHAnsi"/>
          <w:sz w:val="28"/>
          <w:szCs w:val="28"/>
        </w:rPr>
        <w:t>offshore</w:t>
      </w:r>
      <w:r w:rsidRPr="003F67EF">
        <w:rPr>
          <w:rFonts w:cstheme="minorHAnsi"/>
          <w:sz w:val="28"/>
          <w:szCs w:val="28"/>
        </w:rPr>
        <w:t xml:space="preserve"> enrolment country in 2015/16. </w:t>
      </w:r>
      <w:r>
        <w:rPr>
          <w:rFonts w:cstheme="minorHAnsi"/>
          <w:sz w:val="28"/>
          <w:szCs w:val="28"/>
        </w:rPr>
        <w:t>However, t</w:t>
      </w:r>
      <w:r w:rsidRPr="003F67EF">
        <w:rPr>
          <w:rFonts w:cstheme="minorHAnsi"/>
          <w:sz w:val="28"/>
          <w:szCs w:val="28"/>
        </w:rPr>
        <w:t xml:space="preserve">he number of students from these countries who were studying onshore in the UK was less than 2% of total </w:t>
      </w:r>
      <w:r w:rsidR="0031077B">
        <w:rPr>
          <w:rFonts w:cstheme="minorHAnsi"/>
          <w:sz w:val="28"/>
          <w:szCs w:val="28"/>
        </w:rPr>
        <w:t>offshore</w:t>
      </w:r>
      <w:r w:rsidRPr="003F67EF">
        <w:rPr>
          <w:rFonts w:cstheme="minorHAnsi"/>
          <w:sz w:val="28"/>
          <w:szCs w:val="28"/>
        </w:rPr>
        <w:t xml:space="preserve"> enrolments in 20 of these 29 countries. For example, over 10,000 Malaysian students were studying for Staffordshire University degrees</w:t>
      </w:r>
      <w:r>
        <w:rPr>
          <w:rFonts w:cstheme="minorHAnsi"/>
          <w:sz w:val="28"/>
          <w:szCs w:val="28"/>
        </w:rPr>
        <w:t xml:space="preserve"> in Malaysia</w:t>
      </w:r>
      <w:r w:rsidRPr="003F67EF">
        <w:rPr>
          <w:rFonts w:cstheme="minorHAnsi"/>
          <w:sz w:val="28"/>
          <w:szCs w:val="28"/>
        </w:rPr>
        <w:t>, but only 18 students from Malaysia were studying at the university’s campuses in the UK.</w:t>
      </w:r>
      <w:r w:rsidR="0093169F">
        <w:rPr>
          <w:rFonts w:cstheme="minorHAnsi"/>
          <w:sz w:val="28"/>
          <w:szCs w:val="28"/>
        </w:rPr>
        <w:t xml:space="preserve"> Table 7</w:t>
      </w:r>
      <w:r w:rsidRPr="003F67EF">
        <w:rPr>
          <w:rFonts w:cstheme="minorHAnsi"/>
          <w:sz w:val="28"/>
          <w:szCs w:val="28"/>
        </w:rPr>
        <w:t xml:space="preserve"> presents other notable examples among the top </w:t>
      </w:r>
      <w:r w:rsidR="0031077B">
        <w:rPr>
          <w:rFonts w:cstheme="minorHAnsi"/>
          <w:sz w:val="28"/>
          <w:szCs w:val="28"/>
        </w:rPr>
        <w:t>offshore</w:t>
      </w:r>
      <w:r w:rsidRPr="003F67EF">
        <w:rPr>
          <w:rFonts w:cstheme="minorHAnsi"/>
          <w:sz w:val="28"/>
          <w:szCs w:val="28"/>
        </w:rPr>
        <w:t xml:space="preserve"> UK universities.  </w:t>
      </w:r>
    </w:p>
    <w:p w14:paraId="48863918" w14:textId="24889987" w:rsidR="004C57CA" w:rsidRDefault="004C57CA" w:rsidP="004C57CA">
      <w:pPr>
        <w:jc w:val="both"/>
        <w:rPr>
          <w:rFonts w:cstheme="minorHAnsi"/>
          <w:sz w:val="28"/>
          <w:szCs w:val="28"/>
        </w:rPr>
      </w:pPr>
      <w:r w:rsidRPr="003F67EF">
        <w:rPr>
          <w:rFonts w:cstheme="minorHAnsi"/>
          <w:sz w:val="28"/>
          <w:szCs w:val="28"/>
        </w:rPr>
        <w:t>O</w:t>
      </w:r>
      <w:r>
        <w:rPr>
          <w:rFonts w:cstheme="minorHAnsi"/>
          <w:sz w:val="28"/>
          <w:szCs w:val="28"/>
        </w:rPr>
        <w:t xml:space="preserve">nshore overseas student </w:t>
      </w:r>
      <w:r w:rsidRPr="003F67EF">
        <w:rPr>
          <w:rFonts w:cstheme="minorHAnsi"/>
          <w:sz w:val="28"/>
          <w:szCs w:val="28"/>
        </w:rPr>
        <w:t xml:space="preserve">enrolments </w:t>
      </w:r>
      <w:r>
        <w:rPr>
          <w:rFonts w:cstheme="minorHAnsi"/>
          <w:sz w:val="28"/>
          <w:szCs w:val="28"/>
        </w:rPr>
        <w:t xml:space="preserve">from the </w:t>
      </w:r>
      <w:r w:rsidRPr="003F67EF">
        <w:rPr>
          <w:rFonts w:cstheme="minorHAnsi"/>
          <w:sz w:val="28"/>
          <w:szCs w:val="28"/>
        </w:rPr>
        <w:t xml:space="preserve">top </w:t>
      </w:r>
      <w:r w:rsidR="0031077B">
        <w:rPr>
          <w:rFonts w:cstheme="minorHAnsi"/>
          <w:sz w:val="28"/>
          <w:szCs w:val="28"/>
        </w:rPr>
        <w:t>offshore</w:t>
      </w:r>
      <w:r>
        <w:rPr>
          <w:rFonts w:cstheme="minorHAnsi"/>
          <w:sz w:val="28"/>
          <w:szCs w:val="28"/>
        </w:rPr>
        <w:t xml:space="preserve"> </w:t>
      </w:r>
      <w:r w:rsidRPr="003F67EF">
        <w:rPr>
          <w:rFonts w:cstheme="minorHAnsi"/>
          <w:sz w:val="28"/>
          <w:szCs w:val="28"/>
        </w:rPr>
        <w:t>enrolment countries</w:t>
      </w:r>
      <w:r>
        <w:rPr>
          <w:rFonts w:cstheme="minorHAnsi"/>
          <w:sz w:val="28"/>
          <w:szCs w:val="28"/>
        </w:rPr>
        <w:t xml:space="preserve"> are only greater than 10% of </w:t>
      </w:r>
      <w:r w:rsidR="0031077B">
        <w:rPr>
          <w:rFonts w:cstheme="minorHAnsi"/>
          <w:sz w:val="28"/>
          <w:szCs w:val="28"/>
        </w:rPr>
        <w:t>offshore</w:t>
      </w:r>
      <w:r w:rsidRPr="003F67EF">
        <w:rPr>
          <w:rFonts w:cstheme="minorHAnsi"/>
          <w:sz w:val="28"/>
          <w:szCs w:val="28"/>
        </w:rPr>
        <w:t xml:space="preserve"> students in a handful of countries</w:t>
      </w:r>
      <w:r w:rsidR="00384ACB">
        <w:rPr>
          <w:rFonts w:cstheme="minorHAnsi"/>
          <w:sz w:val="28"/>
          <w:szCs w:val="28"/>
        </w:rPr>
        <w:t>,</w:t>
      </w:r>
      <w:r w:rsidRPr="003F67EF">
        <w:rPr>
          <w:rFonts w:cstheme="minorHAnsi"/>
          <w:sz w:val="28"/>
          <w:szCs w:val="28"/>
        </w:rPr>
        <w:t xml:space="preserve"> most notably China and Greece.</w:t>
      </w:r>
      <w:r>
        <w:rPr>
          <w:rFonts w:cstheme="minorHAnsi"/>
          <w:sz w:val="28"/>
          <w:szCs w:val="28"/>
        </w:rPr>
        <w:t xml:space="preserve"> </w:t>
      </w:r>
      <w:r w:rsidRPr="003F67EF">
        <w:rPr>
          <w:rFonts w:cstheme="minorHAnsi"/>
          <w:sz w:val="28"/>
          <w:szCs w:val="28"/>
        </w:rPr>
        <w:t xml:space="preserve">As noted above, a major reason for this is that low-income countries are too poor to send more than a small number of students to the UK, even </w:t>
      </w:r>
      <w:r w:rsidR="00030D0F">
        <w:rPr>
          <w:rFonts w:cstheme="minorHAnsi"/>
          <w:sz w:val="28"/>
          <w:szCs w:val="28"/>
        </w:rPr>
        <w:t xml:space="preserve">in </w:t>
      </w:r>
      <w:r w:rsidRPr="003F67EF">
        <w:rPr>
          <w:rFonts w:cstheme="minorHAnsi"/>
          <w:sz w:val="28"/>
          <w:szCs w:val="28"/>
        </w:rPr>
        <w:t>large</w:t>
      </w:r>
      <w:r>
        <w:rPr>
          <w:rFonts w:cstheme="minorHAnsi"/>
          <w:sz w:val="28"/>
          <w:szCs w:val="28"/>
        </w:rPr>
        <w:t xml:space="preserve"> population </w:t>
      </w:r>
      <w:r w:rsidRPr="003F67EF">
        <w:rPr>
          <w:rFonts w:cstheme="minorHAnsi"/>
          <w:sz w:val="28"/>
          <w:szCs w:val="28"/>
        </w:rPr>
        <w:t xml:space="preserve">countries such </w:t>
      </w:r>
      <w:r>
        <w:rPr>
          <w:rFonts w:cstheme="minorHAnsi"/>
          <w:sz w:val="28"/>
          <w:szCs w:val="28"/>
        </w:rPr>
        <w:t xml:space="preserve">as </w:t>
      </w:r>
      <w:r w:rsidRPr="003F67EF">
        <w:rPr>
          <w:rFonts w:cstheme="minorHAnsi"/>
          <w:sz w:val="28"/>
          <w:szCs w:val="28"/>
        </w:rPr>
        <w:t xml:space="preserve">Egypt. Thus, it would appear that </w:t>
      </w:r>
      <w:r w:rsidR="0031077B">
        <w:rPr>
          <w:rFonts w:cstheme="minorHAnsi"/>
          <w:sz w:val="28"/>
          <w:szCs w:val="28"/>
        </w:rPr>
        <w:t>offshore</w:t>
      </w:r>
      <w:r w:rsidRPr="003F67EF">
        <w:rPr>
          <w:rFonts w:cstheme="minorHAnsi"/>
          <w:sz w:val="28"/>
          <w:szCs w:val="28"/>
        </w:rPr>
        <w:t xml:space="preserve"> provision in these countries expands the international student market without any </w:t>
      </w:r>
      <w:r>
        <w:rPr>
          <w:rFonts w:cstheme="minorHAnsi"/>
          <w:sz w:val="28"/>
          <w:szCs w:val="28"/>
        </w:rPr>
        <w:t xml:space="preserve">significant </w:t>
      </w:r>
      <w:r w:rsidRPr="003F67EF">
        <w:rPr>
          <w:rFonts w:cstheme="minorHAnsi"/>
          <w:sz w:val="28"/>
          <w:szCs w:val="28"/>
        </w:rPr>
        <w:t xml:space="preserve">negative impact on onshore </w:t>
      </w:r>
      <w:r w:rsidR="00030D0F">
        <w:rPr>
          <w:rFonts w:cstheme="minorHAnsi"/>
          <w:sz w:val="28"/>
          <w:szCs w:val="28"/>
        </w:rPr>
        <w:t xml:space="preserve">overseas student </w:t>
      </w:r>
      <w:r w:rsidRPr="003F67EF">
        <w:rPr>
          <w:rFonts w:cstheme="minorHAnsi"/>
          <w:sz w:val="28"/>
          <w:szCs w:val="28"/>
        </w:rPr>
        <w:t>enrolments.</w:t>
      </w:r>
    </w:p>
    <w:p w14:paraId="59F9554B" w14:textId="77777777" w:rsidR="007541CF" w:rsidRDefault="007541CF">
      <w:pPr>
        <w:spacing w:after="160" w:line="259" w:lineRule="auto"/>
        <w:rPr>
          <w:rFonts w:cstheme="minorHAnsi"/>
          <w:b/>
          <w:sz w:val="28"/>
          <w:szCs w:val="28"/>
        </w:rPr>
      </w:pPr>
      <w:r>
        <w:rPr>
          <w:rFonts w:cstheme="minorHAnsi"/>
          <w:b/>
          <w:sz w:val="28"/>
          <w:szCs w:val="28"/>
        </w:rPr>
        <w:br w:type="page"/>
      </w:r>
    </w:p>
    <w:p w14:paraId="648B8E4D" w14:textId="460F749C" w:rsidR="00FF708C" w:rsidRPr="007C35EA" w:rsidRDefault="000033D0" w:rsidP="009A1611">
      <w:pPr>
        <w:jc w:val="both"/>
        <w:rPr>
          <w:rFonts w:cstheme="minorHAnsi"/>
          <w:b/>
          <w:sz w:val="28"/>
          <w:szCs w:val="28"/>
        </w:rPr>
      </w:pPr>
      <w:r>
        <w:rPr>
          <w:rFonts w:cstheme="minorHAnsi"/>
          <w:b/>
          <w:sz w:val="28"/>
          <w:szCs w:val="28"/>
        </w:rPr>
        <w:lastRenderedPageBreak/>
        <w:t>6</w:t>
      </w:r>
      <w:r w:rsidR="00FF708C" w:rsidRPr="007C35EA">
        <w:rPr>
          <w:rFonts w:cstheme="minorHAnsi"/>
          <w:b/>
          <w:sz w:val="28"/>
          <w:szCs w:val="28"/>
        </w:rPr>
        <w:t>.2.2 Articulation and progression</w:t>
      </w:r>
    </w:p>
    <w:p w14:paraId="47B31B37" w14:textId="4D4A092B" w:rsidR="003F1803" w:rsidRDefault="007C35EA" w:rsidP="009A1611">
      <w:pPr>
        <w:jc w:val="both"/>
        <w:rPr>
          <w:rFonts w:cstheme="minorHAnsi"/>
          <w:sz w:val="28"/>
          <w:szCs w:val="28"/>
        </w:rPr>
      </w:pPr>
      <w:r>
        <w:rPr>
          <w:rFonts w:cstheme="minorHAnsi"/>
          <w:sz w:val="28"/>
          <w:szCs w:val="28"/>
        </w:rPr>
        <w:t>There are around 22</w:t>
      </w:r>
      <w:r w:rsidR="00FF708C" w:rsidRPr="00FF708C">
        <w:rPr>
          <w:rFonts w:cstheme="minorHAnsi"/>
          <w:sz w:val="28"/>
          <w:szCs w:val="28"/>
        </w:rPr>
        <w:t>,000 students studying at UK universities as part of articulation and progression arrangements with overseas partners. Around 80% of these s</w:t>
      </w:r>
      <w:r>
        <w:rPr>
          <w:rFonts w:cstheme="minorHAnsi"/>
          <w:sz w:val="28"/>
          <w:szCs w:val="28"/>
        </w:rPr>
        <w:t xml:space="preserve">tudents are from China. </w:t>
      </w:r>
      <w:r w:rsidR="003F1803">
        <w:rPr>
          <w:rFonts w:cstheme="minorHAnsi"/>
          <w:sz w:val="28"/>
          <w:szCs w:val="28"/>
        </w:rPr>
        <w:t>In 2016/17, there were at least seven universities with more than 500 articulation/progression students</w:t>
      </w:r>
      <w:r w:rsidR="003F1803">
        <w:rPr>
          <w:rStyle w:val="FootnoteReference"/>
          <w:rFonts w:cstheme="minorHAnsi"/>
          <w:sz w:val="28"/>
          <w:szCs w:val="28"/>
        </w:rPr>
        <w:footnoteReference w:id="6"/>
      </w:r>
      <w:r w:rsidR="00FF708C" w:rsidRPr="00FF708C">
        <w:rPr>
          <w:rFonts w:cstheme="minorHAnsi"/>
          <w:sz w:val="28"/>
          <w:szCs w:val="28"/>
        </w:rPr>
        <w:t xml:space="preserve">. </w:t>
      </w:r>
      <w:r w:rsidR="000F0E31">
        <w:rPr>
          <w:rFonts w:cstheme="minorHAnsi"/>
          <w:sz w:val="28"/>
          <w:szCs w:val="28"/>
        </w:rPr>
        <w:t xml:space="preserve">Although the </w:t>
      </w:r>
      <w:r w:rsidR="003F1803">
        <w:rPr>
          <w:rFonts w:cstheme="minorHAnsi"/>
          <w:sz w:val="28"/>
          <w:szCs w:val="28"/>
        </w:rPr>
        <w:t>total number</w:t>
      </w:r>
      <w:r w:rsidR="000F0E31">
        <w:rPr>
          <w:rFonts w:cstheme="minorHAnsi"/>
          <w:sz w:val="28"/>
          <w:szCs w:val="28"/>
        </w:rPr>
        <w:t xml:space="preserve"> of these students is relatively small (</w:t>
      </w:r>
      <w:r w:rsidR="00927EFE">
        <w:rPr>
          <w:rFonts w:cstheme="minorHAnsi"/>
          <w:sz w:val="28"/>
          <w:szCs w:val="28"/>
        </w:rPr>
        <w:t>8</w:t>
      </w:r>
      <w:r w:rsidR="000F0E31">
        <w:rPr>
          <w:rFonts w:cstheme="minorHAnsi"/>
          <w:sz w:val="28"/>
          <w:szCs w:val="28"/>
        </w:rPr>
        <w:t>% of franchised/validation and branch campus enrolments), t</w:t>
      </w:r>
      <w:r w:rsidR="00927EFE">
        <w:rPr>
          <w:rFonts w:cstheme="minorHAnsi"/>
          <w:sz w:val="28"/>
          <w:szCs w:val="28"/>
        </w:rPr>
        <w:t>hey generate fee</w:t>
      </w:r>
      <w:r w:rsidR="00366A93">
        <w:rPr>
          <w:rFonts w:cstheme="minorHAnsi"/>
          <w:sz w:val="28"/>
          <w:szCs w:val="28"/>
        </w:rPr>
        <w:t xml:space="preserve"> income </w:t>
      </w:r>
      <w:r w:rsidR="00927EFE">
        <w:rPr>
          <w:rFonts w:cstheme="minorHAnsi"/>
          <w:sz w:val="28"/>
          <w:szCs w:val="28"/>
        </w:rPr>
        <w:t>of around £330 million which is 60</w:t>
      </w:r>
      <w:r w:rsidR="000F0E31">
        <w:rPr>
          <w:rFonts w:cstheme="minorHAnsi"/>
          <w:sz w:val="28"/>
          <w:szCs w:val="28"/>
        </w:rPr>
        <w:t xml:space="preserve">% of total revenue from all </w:t>
      </w:r>
      <w:r w:rsidR="0031077B">
        <w:rPr>
          <w:rFonts w:cstheme="minorHAnsi"/>
          <w:sz w:val="28"/>
          <w:szCs w:val="28"/>
        </w:rPr>
        <w:t>offshore</w:t>
      </w:r>
      <w:r w:rsidR="000F0E31">
        <w:rPr>
          <w:rFonts w:cstheme="minorHAnsi"/>
          <w:sz w:val="28"/>
          <w:szCs w:val="28"/>
        </w:rPr>
        <w:t xml:space="preserve"> provision. </w:t>
      </w:r>
      <w:r w:rsidR="00384ACB">
        <w:rPr>
          <w:rFonts w:cstheme="minorHAnsi"/>
          <w:sz w:val="28"/>
          <w:szCs w:val="28"/>
        </w:rPr>
        <w:t xml:space="preserve">The most notable example is </w:t>
      </w:r>
      <w:r w:rsidR="00FF708C">
        <w:rPr>
          <w:rFonts w:cstheme="minorHAnsi"/>
          <w:sz w:val="28"/>
          <w:szCs w:val="28"/>
        </w:rPr>
        <w:t>L</w:t>
      </w:r>
      <w:r w:rsidR="00E51B3B">
        <w:rPr>
          <w:rFonts w:cstheme="minorHAnsi"/>
          <w:sz w:val="28"/>
          <w:szCs w:val="28"/>
        </w:rPr>
        <w:t>iverpool University</w:t>
      </w:r>
      <w:r w:rsidR="00384ACB">
        <w:rPr>
          <w:rFonts w:cstheme="minorHAnsi"/>
          <w:sz w:val="28"/>
          <w:szCs w:val="28"/>
        </w:rPr>
        <w:t xml:space="preserve"> which, </w:t>
      </w:r>
      <w:r w:rsidR="007541CF">
        <w:rPr>
          <w:rFonts w:cstheme="minorHAnsi"/>
          <w:sz w:val="28"/>
          <w:szCs w:val="28"/>
        </w:rPr>
        <w:t xml:space="preserve">in </w:t>
      </w:r>
      <w:r w:rsidR="00384ACB">
        <w:rPr>
          <w:rFonts w:cstheme="minorHAnsi"/>
          <w:sz w:val="28"/>
          <w:szCs w:val="28"/>
        </w:rPr>
        <w:t>2017/18,</w:t>
      </w:r>
      <w:r w:rsidR="00E51B3B">
        <w:rPr>
          <w:rFonts w:cstheme="minorHAnsi"/>
          <w:sz w:val="28"/>
          <w:szCs w:val="28"/>
        </w:rPr>
        <w:t xml:space="preserve"> had 3,287</w:t>
      </w:r>
      <w:r w:rsidR="00FF708C">
        <w:rPr>
          <w:rFonts w:cstheme="minorHAnsi"/>
          <w:sz w:val="28"/>
          <w:szCs w:val="28"/>
        </w:rPr>
        <w:t xml:space="preserve"> </w:t>
      </w:r>
      <w:r w:rsidR="000F0E31">
        <w:rPr>
          <w:rFonts w:cstheme="minorHAnsi"/>
          <w:sz w:val="28"/>
          <w:szCs w:val="28"/>
        </w:rPr>
        <w:t xml:space="preserve">articulation </w:t>
      </w:r>
      <w:r w:rsidR="00FF708C">
        <w:rPr>
          <w:rFonts w:cstheme="minorHAnsi"/>
          <w:sz w:val="28"/>
          <w:szCs w:val="28"/>
        </w:rPr>
        <w:t>students from its collaborative joint venture with Jiaotong University in China which earn</w:t>
      </w:r>
      <w:r w:rsidR="000F0E31">
        <w:rPr>
          <w:rFonts w:cstheme="minorHAnsi"/>
          <w:sz w:val="28"/>
          <w:szCs w:val="28"/>
        </w:rPr>
        <w:t>s</w:t>
      </w:r>
      <w:r w:rsidR="00FF708C">
        <w:rPr>
          <w:rFonts w:cstheme="minorHAnsi"/>
          <w:sz w:val="28"/>
          <w:szCs w:val="28"/>
        </w:rPr>
        <w:t xml:space="preserve"> the university in the region of £45-50 million per annum</w:t>
      </w:r>
      <w:r w:rsidR="00FF445E">
        <w:rPr>
          <w:rStyle w:val="FootnoteReference"/>
          <w:rFonts w:cstheme="minorHAnsi"/>
          <w:sz w:val="28"/>
          <w:szCs w:val="28"/>
        </w:rPr>
        <w:footnoteReference w:id="7"/>
      </w:r>
      <w:r w:rsidR="00FF708C">
        <w:rPr>
          <w:rFonts w:cstheme="minorHAnsi"/>
          <w:sz w:val="28"/>
          <w:szCs w:val="28"/>
        </w:rPr>
        <w:t>.</w:t>
      </w:r>
      <w:r w:rsidR="000F0E31">
        <w:rPr>
          <w:rFonts w:cstheme="minorHAnsi"/>
          <w:sz w:val="28"/>
          <w:szCs w:val="28"/>
        </w:rPr>
        <w:t xml:space="preserve"> The three other universities with major overseas campuses are Nottingham, Middlesex, and Heriot</w:t>
      </w:r>
      <w:r w:rsidR="00FF445E">
        <w:rPr>
          <w:rFonts w:cstheme="minorHAnsi"/>
          <w:sz w:val="28"/>
          <w:szCs w:val="28"/>
        </w:rPr>
        <w:t xml:space="preserve"> Watt. They enrol 87, 248</w:t>
      </w:r>
      <w:r w:rsidR="007D2C01">
        <w:rPr>
          <w:rFonts w:cstheme="minorHAnsi"/>
          <w:sz w:val="28"/>
          <w:szCs w:val="28"/>
        </w:rPr>
        <w:t>, and 714</w:t>
      </w:r>
      <w:r w:rsidR="000F0E31">
        <w:rPr>
          <w:rFonts w:cstheme="minorHAnsi"/>
          <w:sz w:val="28"/>
          <w:szCs w:val="28"/>
        </w:rPr>
        <w:t xml:space="preserve"> articulation students respectively.</w:t>
      </w:r>
    </w:p>
    <w:p w14:paraId="58DEFCE2" w14:textId="7119EF09" w:rsidR="00FF708C" w:rsidRPr="006B09CE" w:rsidRDefault="000F0E31" w:rsidP="004B7172">
      <w:pPr>
        <w:pStyle w:val="ListParagraph"/>
        <w:numPr>
          <w:ilvl w:val="0"/>
          <w:numId w:val="19"/>
        </w:numPr>
        <w:jc w:val="both"/>
        <w:rPr>
          <w:rFonts w:cstheme="minorHAnsi"/>
          <w:b/>
          <w:sz w:val="32"/>
          <w:szCs w:val="32"/>
        </w:rPr>
      </w:pPr>
      <w:r w:rsidRPr="006B09CE">
        <w:rPr>
          <w:rFonts w:cstheme="minorHAnsi"/>
          <w:b/>
          <w:sz w:val="32"/>
          <w:szCs w:val="32"/>
        </w:rPr>
        <w:t xml:space="preserve">CONCLUSION </w:t>
      </w:r>
    </w:p>
    <w:p w14:paraId="6F139CB5" w14:textId="056C2C08" w:rsidR="00F95B5E" w:rsidRPr="00F95B5E" w:rsidRDefault="00F95B5E" w:rsidP="00F95B5E">
      <w:pPr>
        <w:jc w:val="both"/>
        <w:rPr>
          <w:rFonts w:cstheme="minorHAnsi"/>
          <w:b/>
          <w:sz w:val="28"/>
          <w:szCs w:val="28"/>
        </w:rPr>
      </w:pPr>
      <w:r w:rsidRPr="00F95B5E">
        <w:rPr>
          <w:rFonts w:cstheme="minorHAnsi"/>
          <w:b/>
          <w:sz w:val="28"/>
          <w:szCs w:val="28"/>
        </w:rPr>
        <w:t>7.1 MAIN CONCLUSIONS</w:t>
      </w:r>
    </w:p>
    <w:p w14:paraId="6113C2E5" w14:textId="1912DFDC" w:rsidR="00F95B5E" w:rsidRPr="00F95B5E" w:rsidRDefault="00927EFE" w:rsidP="00F95B5E">
      <w:pPr>
        <w:jc w:val="both"/>
        <w:rPr>
          <w:rFonts w:cstheme="minorHAnsi"/>
          <w:sz w:val="28"/>
          <w:szCs w:val="28"/>
        </w:rPr>
      </w:pPr>
      <w:r w:rsidRPr="00F95B5E">
        <w:rPr>
          <w:rFonts w:cstheme="minorHAnsi"/>
          <w:sz w:val="28"/>
          <w:szCs w:val="28"/>
        </w:rPr>
        <w:t xml:space="preserve">Three main conclusions can be drawn concerning the patterns and relationships between overseas student onshore and </w:t>
      </w:r>
      <w:r w:rsidR="0031077B">
        <w:rPr>
          <w:rFonts w:cstheme="minorHAnsi"/>
          <w:sz w:val="28"/>
          <w:szCs w:val="28"/>
        </w:rPr>
        <w:t>offshore</w:t>
      </w:r>
      <w:r w:rsidRPr="00F95B5E">
        <w:rPr>
          <w:rFonts w:cstheme="minorHAnsi"/>
          <w:sz w:val="28"/>
          <w:szCs w:val="28"/>
        </w:rPr>
        <w:t xml:space="preserve"> provision at UK universities. Firstly, the most dominant pattern is the inverse relationship between the status and ranking of a university and the relative importance of </w:t>
      </w:r>
      <w:r w:rsidR="0031077B">
        <w:rPr>
          <w:rFonts w:cstheme="minorHAnsi"/>
          <w:sz w:val="28"/>
          <w:szCs w:val="28"/>
        </w:rPr>
        <w:t>offshore</w:t>
      </w:r>
      <w:r w:rsidRPr="00F95B5E">
        <w:rPr>
          <w:rFonts w:cstheme="minorHAnsi"/>
          <w:sz w:val="28"/>
          <w:szCs w:val="28"/>
        </w:rPr>
        <w:t xml:space="preserve"> enro</w:t>
      </w:r>
      <w:r w:rsidR="00384ACB" w:rsidRPr="00F95B5E">
        <w:rPr>
          <w:rFonts w:cstheme="minorHAnsi"/>
          <w:sz w:val="28"/>
          <w:szCs w:val="28"/>
        </w:rPr>
        <w:t>lments. Redbrick and the higher-</w:t>
      </w:r>
      <w:r w:rsidRPr="00F95B5E">
        <w:rPr>
          <w:rFonts w:cstheme="minorHAnsi"/>
          <w:sz w:val="28"/>
          <w:szCs w:val="28"/>
        </w:rPr>
        <w:t>status plate glass universities (</w:t>
      </w:r>
      <w:r w:rsidR="000C7F08" w:rsidRPr="00F95B5E">
        <w:rPr>
          <w:rFonts w:cstheme="minorHAnsi"/>
          <w:sz w:val="28"/>
          <w:szCs w:val="28"/>
        </w:rPr>
        <w:t xml:space="preserve">such as </w:t>
      </w:r>
      <w:r w:rsidRPr="00F95B5E">
        <w:rPr>
          <w:rFonts w:cstheme="minorHAnsi"/>
          <w:sz w:val="28"/>
          <w:szCs w:val="28"/>
        </w:rPr>
        <w:t>Warwick and</w:t>
      </w:r>
      <w:r w:rsidR="000C7F08" w:rsidRPr="00F95B5E">
        <w:rPr>
          <w:rFonts w:cstheme="minorHAnsi"/>
          <w:sz w:val="28"/>
          <w:szCs w:val="28"/>
        </w:rPr>
        <w:t xml:space="preserve"> Sussex</w:t>
      </w:r>
      <w:r w:rsidRPr="00F95B5E">
        <w:rPr>
          <w:rFonts w:cstheme="minorHAnsi"/>
          <w:sz w:val="28"/>
          <w:szCs w:val="28"/>
        </w:rPr>
        <w:t xml:space="preserve">) have such large numbers of onshore overseas students that they </w:t>
      </w:r>
      <w:r w:rsidR="00452D9F" w:rsidRPr="00F95B5E">
        <w:rPr>
          <w:rFonts w:cstheme="minorHAnsi"/>
          <w:sz w:val="28"/>
          <w:szCs w:val="28"/>
        </w:rPr>
        <w:t xml:space="preserve">have </w:t>
      </w:r>
      <w:r w:rsidRPr="00F95B5E">
        <w:rPr>
          <w:rFonts w:cstheme="minorHAnsi"/>
          <w:sz w:val="28"/>
          <w:szCs w:val="28"/>
        </w:rPr>
        <w:t xml:space="preserve">little financial or other non-financial </w:t>
      </w:r>
      <w:r w:rsidR="00384ACB" w:rsidRPr="00F95B5E">
        <w:rPr>
          <w:rFonts w:cstheme="minorHAnsi"/>
          <w:sz w:val="28"/>
          <w:szCs w:val="28"/>
        </w:rPr>
        <w:t>incentives</w:t>
      </w:r>
      <w:r w:rsidRPr="00F95B5E">
        <w:rPr>
          <w:rFonts w:cstheme="minorHAnsi"/>
          <w:sz w:val="28"/>
          <w:szCs w:val="28"/>
        </w:rPr>
        <w:t xml:space="preserve"> to become heavily involved in </w:t>
      </w:r>
      <w:r w:rsidR="0031077B">
        <w:rPr>
          <w:rFonts w:cstheme="minorHAnsi"/>
          <w:sz w:val="28"/>
          <w:szCs w:val="28"/>
        </w:rPr>
        <w:t>offshore</w:t>
      </w:r>
      <w:r w:rsidRPr="00F95B5E">
        <w:rPr>
          <w:rFonts w:cstheme="minorHAnsi"/>
          <w:sz w:val="28"/>
          <w:szCs w:val="28"/>
        </w:rPr>
        <w:t xml:space="preserve"> provision. Secondly, direct substitution </w:t>
      </w:r>
      <w:r w:rsidR="000C7F08" w:rsidRPr="00F95B5E">
        <w:rPr>
          <w:rFonts w:cstheme="minorHAnsi"/>
          <w:sz w:val="28"/>
          <w:szCs w:val="28"/>
        </w:rPr>
        <w:t>effects between the two</w:t>
      </w:r>
      <w:r w:rsidRPr="00F95B5E">
        <w:rPr>
          <w:rFonts w:cstheme="minorHAnsi"/>
          <w:sz w:val="28"/>
          <w:szCs w:val="28"/>
        </w:rPr>
        <w:t xml:space="preserve"> forms of provision are generally quite limited.</w:t>
      </w:r>
      <w:r w:rsidR="000C7F08" w:rsidRPr="00F95B5E">
        <w:rPr>
          <w:rFonts w:cstheme="minorHAnsi"/>
          <w:sz w:val="28"/>
          <w:szCs w:val="28"/>
        </w:rPr>
        <w:t xml:space="preserve"> And thirdly, articulation and progression en</w:t>
      </w:r>
      <w:r w:rsidR="00717C91" w:rsidRPr="00F95B5E">
        <w:rPr>
          <w:rFonts w:cstheme="minorHAnsi"/>
          <w:sz w:val="28"/>
          <w:szCs w:val="28"/>
        </w:rPr>
        <w:t xml:space="preserve">rolment is the only significant </w:t>
      </w:r>
      <w:r w:rsidR="000C7F08" w:rsidRPr="00F95B5E">
        <w:rPr>
          <w:rFonts w:cstheme="minorHAnsi"/>
          <w:sz w:val="28"/>
          <w:szCs w:val="28"/>
        </w:rPr>
        <w:t>complementary effect.</w:t>
      </w:r>
    </w:p>
    <w:p w14:paraId="6A316A49" w14:textId="21E1EFA5" w:rsidR="00F95B5E" w:rsidRPr="00F95B5E" w:rsidRDefault="00F95B5E" w:rsidP="00F95B5E">
      <w:pPr>
        <w:jc w:val="both"/>
        <w:rPr>
          <w:rFonts w:cstheme="minorHAnsi"/>
          <w:b/>
          <w:sz w:val="28"/>
          <w:szCs w:val="28"/>
        </w:rPr>
      </w:pPr>
      <w:r w:rsidRPr="00F95B5E">
        <w:rPr>
          <w:rFonts w:cstheme="minorHAnsi"/>
          <w:b/>
          <w:sz w:val="28"/>
          <w:szCs w:val="28"/>
        </w:rPr>
        <w:t>7.2 STRENGTHS AND WEAKNESSES</w:t>
      </w:r>
    </w:p>
    <w:p w14:paraId="372A3B4A" w14:textId="722CEBEF" w:rsidR="00F95B5E" w:rsidRDefault="00F95B5E" w:rsidP="00F95B5E">
      <w:pPr>
        <w:jc w:val="both"/>
        <w:rPr>
          <w:rFonts w:cstheme="minorHAnsi"/>
          <w:sz w:val="28"/>
          <w:szCs w:val="28"/>
        </w:rPr>
      </w:pPr>
      <w:r>
        <w:rPr>
          <w:rFonts w:cstheme="minorHAnsi"/>
          <w:sz w:val="28"/>
          <w:szCs w:val="28"/>
        </w:rPr>
        <w:t xml:space="preserve">This paper is the first in-depth contextual analysis of the patterns and relationships between onshore and </w:t>
      </w:r>
      <w:r w:rsidR="0031077B">
        <w:rPr>
          <w:rFonts w:cstheme="minorHAnsi"/>
          <w:sz w:val="28"/>
          <w:szCs w:val="28"/>
        </w:rPr>
        <w:t>offshore</w:t>
      </w:r>
      <w:r>
        <w:rPr>
          <w:rFonts w:cstheme="minorHAnsi"/>
          <w:sz w:val="28"/>
          <w:szCs w:val="28"/>
        </w:rPr>
        <w:t xml:space="preserve"> provision in the leading </w:t>
      </w:r>
      <w:r w:rsidR="0031077B">
        <w:rPr>
          <w:rFonts w:cstheme="minorHAnsi"/>
          <w:sz w:val="28"/>
          <w:szCs w:val="28"/>
        </w:rPr>
        <w:t>offshore</w:t>
      </w:r>
      <w:r>
        <w:rPr>
          <w:rFonts w:cstheme="minorHAnsi"/>
          <w:sz w:val="28"/>
          <w:szCs w:val="28"/>
        </w:rPr>
        <w:t xml:space="preserve"> </w:t>
      </w:r>
      <w:r>
        <w:rPr>
          <w:rFonts w:cstheme="minorHAnsi"/>
          <w:sz w:val="28"/>
          <w:szCs w:val="28"/>
        </w:rPr>
        <w:lastRenderedPageBreak/>
        <w:t xml:space="preserve">course provider group, namely UK universities. It comprehensively identifies and analyses the main forms of substitutive and complementary relationships not just at a global level but at the sub-regional and country level as well as for individual and groups of UK universities. For the first time, relationships between different types of </w:t>
      </w:r>
      <w:r w:rsidR="0031077B">
        <w:rPr>
          <w:rFonts w:cstheme="minorHAnsi"/>
          <w:sz w:val="28"/>
          <w:szCs w:val="28"/>
        </w:rPr>
        <w:t>offshore</w:t>
      </w:r>
      <w:r>
        <w:rPr>
          <w:rFonts w:cstheme="minorHAnsi"/>
          <w:sz w:val="28"/>
          <w:szCs w:val="28"/>
        </w:rPr>
        <w:t xml:space="preserve"> provision are also considered as well data presented and a preliminary analysis undertaken of onshore and </w:t>
      </w:r>
      <w:r w:rsidR="0031077B">
        <w:rPr>
          <w:rFonts w:cstheme="minorHAnsi"/>
          <w:sz w:val="28"/>
          <w:szCs w:val="28"/>
        </w:rPr>
        <w:t>offshore</w:t>
      </w:r>
      <w:r>
        <w:rPr>
          <w:rFonts w:cstheme="minorHAnsi"/>
          <w:sz w:val="28"/>
          <w:szCs w:val="28"/>
        </w:rPr>
        <w:t xml:space="preserve"> fee differentials.   </w:t>
      </w:r>
    </w:p>
    <w:p w14:paraId="304C219D" w14:textId="5E30E338" w:rsidR="00FB6E4D" w:rsidRDefault="00F95B5E" w:rsidP="00717C91">
      <w:pPr>
        <w:jc w:val="both"/>
        <w:rPr>
          <w:rFonts w:cstheme="minorHAnsi"/>
          <w:sz w:val="28"/>
          <w:szCs w:val="28"/>
        </w:rPr>
      </w:pPr>
      <w:r>
        <w:rPr>
          <w:rFonts w:cstheme="minorHAnsi"/>
          <w:sz w:val="28"/>
          <w:szCs w:val="28"/>
        </w:rPr>
        <w:t xml:space="preserve">The main </w:t>
      </w:r>
      <w:r w:rsidR="00FB6E4D">
        <w:rPr>
          <w:rFonts w:cstheme="minorHAnsi"/>
          <w:sz w:val="28"/>
          <w:szCs w:val="28"/>
        </w:rPr>
        <w:t xml:space="preserve">limitations this research is the lack of comprehensive, detailed </w:t>
      </w:r>
      <w:r w:rsidR="007541CF">
        <w:rPr>
          <w:rFonts w:cstheme="minorHAnsi"/>
          <w:sz w:val="28"/>
          <w:szCs w:val="28"/>
        </w:rPr>
        <w:t>time-series data for the 30-</w:t>
      </w:r>
      <w:r w:rsidR="00FB6E4D">
        <w:rPr>
          <w:rFonts w:cstheme="minorHAnsi"/>
          <w:sz w:val="28"/>
          <w:szCs w:val="28"/>
        </w:rPr>
        <w:t xml:space="preserve">year period since </w:t>
      </w:r>
      <w:r w:rsidR="0031077B">
        <w:rPr>
          <w:rFonts w:cstheme="minorHAnsi"/>
          <w:sz w:val="28"/>
          <w:szCs w:val="28"/>
        </w:rPr>
        <w:t>offshore</w:t>
      </w:r>
      <w:r w:rsidR="00FB6E4D">
        <w:rPr>
          <w:rFonts w:cstheme="minorHAnsi"/>
          <w:sz w:val="28"/>
          <w:szCs w:val="28"/>
        </w:rPr>
        <w:t xml:space="preserve"> provision began to grow rapidly among a sizeable group of UK universities. Without this data, it is not possible to model adequately the key factors that determine the supply of and demand for both onshore and </w:t>
      </w:r>
      <w:r w:rsidR="0031077B">
        <w:rPr>
          <w:rFonts w:cstheme="minorHAnsi"/>
          <w:sz w:val="28"/>
          <w:szCs w:val="28"/>
        </w:rPr>
        <w:t>offshore</w:t>
      </w:r>
      <w:r w:rsidR="00FB6E4D">
        <w:rPr>
          <w:rFonts w:cstheme="minorHAnsi"/>
          <w:sz w:val="28"/>
          <w:szCs w:val="28"/>
        </w:rPr>
        <w:t xml:space="preserve"> courses including any causal links between them.</w:t>
      </w:r>
    </w:p>
    <w:p w14:paraId="1C49B1BD" w14:textId="6317C48F" w:rsidR="00FB6E4D" w:rsidRDefault="00FB6E4D" w:rsidP="00717C91">
      <w:pPr>
        <w:jc w:val="both"/>
        <w:rPr>
          <w:rFonts w:cstheme="minorHAnsi"/>
          <w:sz w:val="28"/>
          <w:szCs w:val="28"/>
        </w:rPr>
      </w:pPr>
      <w:r>
        <w:rPr>
          <w:rFonts w:cstheme="minorHAnsi"/>
          <w:sz w:val="28"/>
          <w:szCs w:val="28"/>
        </w:rPr>
        <w:t xml:space="preserve">Future research should, therefore, seek to construct such as quantitative database which would collect information at both the individual country and university level for all the main countries involved in </w:t>
      </w:r>
      <w:r w:rsidR="0031077B">
        <w:rPr>
          <w:rFonts w:cstheme="minorHAnsi"/>
          <w:sz w:val="28"/>
          <w:szCs w:val="28"/>
        </w:rPr>
        <w:t>offshore</w:t>
      </w:r>
      <w:r>
        <w:rPr>
          <w:rFonts w:cstheme="minorHAnsi"/>
          <w:sz w:val="28"/>
          <w:szCs w:val="28"/>
        </w:rPr>
        <w:t xml:space="preserve"> provision. </w:t>
      </w:r>
      <w:r w:rsidR="00F5454F">
        <w:rPr>
          <w:rFonts w:cstheme="minorHAnsi"/>
          <w:sz w:val="28"/>
          <w:szCs w:val="28"/>
        </w:rPr>
        <w:t>In addition, t</w:t>
      </w:r>
      <w:r>
        <w:rPr>
          <w:rFonts w:cstheme="minorHAnsi"/>
          <w:sz w:val="28"/>
          <w:szCs w:val="28"/>
        </w:rPr>
        <w:t xml:space="preserve">his </w:t>
      </w:r>
      <w:r w:rsidR="00F5454F">
        <w:rPr>
          <w:rFonts w:cstheme="minorHAnsi"/>
          <w:sz w:val="28"/>
          <w:szCs w:val="28"/>
        </w:rPr>
        <w:t xml:space="preserve">should be </w:t>
      </w:r>
      <w:r>
        <w:rPr>
          <w:rFonts w:cstheme="minorHAnsi"/>
          <w:sz w:val="28"/>
          <w:szCs w:val="28"/>
        </w:rPr>
        <w:t>supplemented with detailed qualitative research which explores</w:t>
      </w:r>
      <w:r w:rsidR="00F5454F">
        <w:rPr>
          <w:rFonts w:cstheme="minorHAnsi"/>
          <w:sz w:val="28"/>
          <w:szCs w:val="28"/>
        </w:rPr>
        <w:t xml:space="preserve"> the decision-making processes among the main actors, namely individual students, universities and governments.</w:t>
      </w:r>
      <w:r>
        <w:rPr>
          <w:rFonts w:cstheme="minorHAnsi"/>
          <w:sz w:val="28"/>
          <w:szCs w:val="28"/>
        </w:rPr>
        <w:t xml:space="preserve"> </w:t>
      </w:r>
    </w:p>
    <w:p w14:paraId="0B46D371" w14:textId="73B25A93" w:rsidR="00F95B5E" w:rsidRDefault="00FB6E4D" w:rsidP="00717C91">
      <w:pPr>
        <w:jc w:val="both"/>
        <w:rPr>
          <w:rFonts w:cstheme="minorHAnsi"/>
          <w:sz w:val="28"/>
          <w:szCs w:val="28"/>
        </w:rPr>
      </w:pPr>
      <w:r>
        <w:rPr>
          <w:rFonts w:cstheme="minorHAnsi"/>
          <w:sz w:val="28"/>
          <w:szCs w:val="28"/>
        </w:rPr>
        <w:t xml:space="preserve"> </w:t>
      </w:r>
      <w:r w:rsidR="00F95B5E">
        <w:rPr>
          <w:rFonts w:cstheme="minorHAnsi"/>
          <w:sz w:val="28"/>
          <w:szCs w:val="28"/>
        </w:rPr>
        <w:t xml:space="preserve"> </w:t>
      </w:r>
    </w:p>
    <w:p w14:paraId="67AA9904" w14:textId="4E28B8D0" w:rsidR="00092BEE" w:rsidRDefault="000C7F08" w:rsidP="00717C91">
      <w:pPr>
        <w:jc w:val="both"/>
        <w:rPr>
          <w:rFonts w:cstheme="minorHAnsi"/>
          <w:b/>
          <w:sz w:val="32"/>
          <w:szCs w:val="32"/>
        </w:rPr>
      </w:pPr>
      <w:r>
        <w:rPr>
          <w:rFonts w:cstheme="minorHAnsi"/>
          <w:sz w:val="28"/>
          <w:szCs w:val="28"/>
        </w:rPr>
        <w:t xml:space="preserve">  </w:t>
      </w:r>
      <w:r w:rsidR="00220005" w:rsidRPr="008A0D31">
        <w:rPr>
          <w:rFonts w:cstheme="minorHAnsi"/>
          <w:sz w:val="32"/>
          <w:szCs w:val="32"/>
        </w:rPr>
        <w:br w:type="page"/>
      </w:r>
      <w:r w:rsidR="007E1312">
        <w:rPr>
          <w:rFonts w:cstheme="minorHAnsi"/>
          <w:b/>
          <w:sz w:val="32"/>
          <w:szCs w:val="32"/>
        </w:rPr>
        <w:lastRenderedPageBreak/>
        <w:t>REFERENCES</w:t>
      </w:r>
    </w:p>
    <w:p w14:paraId="2B412439" w14:textId="77777777" w:rsidR="003044E8" w:rsidRPr="000672E5" w:rsidRDefault="003044E8" w:rsidP="003044E8">
      <w:pPr>
        <w:jc w:val="both"/>
        <w:rPr>
          <w:rFonts w:cstheme="minorHAnsi"/>
          <w:sz w:val="28"/>
          <w:szCs w:val="28"/>
        </w:rPr>
      </w:pPr>
      <w:r w:rsidRPr="000672E5">
        <w:rPr>
          <w:rFonts w:cstheme="minorHAnsi"/>
          <w:sz w:val="28"/>
          <w:szCs w:val="28"/>
        </w:rPr>
        <w:t>Altbach, P.G. and J. Knight. 2007. The internationalisation of higher education: motivations and realities. Journal of Studies in International Education, 11:290.</w:t>
      </w:r>
    </w:p>
    <w:p w14:paraId="07840F87" w14:textId="77777777" w:rsidR="003044E8" w:rsidRDefault="003044E8" w:rsidP="003044E8">
      <w:pPr>
        <w:jc w:val="both"/>
        <w:rPr>
          <w:rFonts w:cstheme="minorHAnsi"/>
          <w:sz w:val="28"/>
          <w:szCs w:val="28"/>
        </w:rPr>
      </w:pPr>
      <w:r w:rsidRPr="000672E5">
        <w:rPr>
          <w:rFonts w:cstheme="minorHAnsi"/>
          <w:sz w:val="28"/>
          <w:szCs w:val="28"/>
        </w:rPr>
        <w:t xml:space="preserve">British Council. 2013. The shape of things to come. The evolution of transnational education: data, definitions, opportunities and impact analysis. Going Global 2013. London, British Council. </w:t>
      </w:r>
    </w:p>
    <w:p w14:paraId="1F33B2FF" w14:textId="6ADDE311" w:rsidR="003044E8" w:rsidRDefault="003044E8" w:rsidP="003044E8">
      <w:pPr>
        <w:jc w:val="both"/>
        <w:rPr>
          <w:rFonts w:cstheme="minorHAnsi"/>
          <w:sz w:val="28"/>
          <w:szCs w:val="28"/>
        </w:rPr>
      </w:pPr>
      <w:r>
        <w:rPr>
          <w:rFonts w:cstheme="minorHAnsi"/>
          <w:sz w:val="28"/>
          <w:szCs w:val="28"/>
        </w:rPr>
        <w:t xml:space="preserve">British Council. International Higher Education. 2017. The shape of global higher education: international mobility of students and education provision. Vol. 2. Manchester, British Council. </w:t>
      </w:r>
    </w:p>
    <w:p w14:paraId="192A2C04" w14:textId="0AED6643" w:rsidR="006C794C" w:rsidRPr="000672E5" w:rsidRDefault="006C794C" w:rsidP="003044E8">
      <w:pPr>
        <w:jc w:val="both"/>
        <w:rPr>
          <w:rFonts w:cstheme="minorHAnsi"/>
          <w:sz w:val="28"/>
          <w:szCs w:val="28"/>
        </w:rPr>
      </w:pPr>
      <w:r>
        <w:rPr>
          <w:rFonts w:cstheme="minorHAnsi"/>
          <w:sz w:val="28"/>
          <w:szCs w:val="28"/>
        </w:rPr>
        <w:t>Ennew, C. and D. Greenaway. 2012. The globalisation of higher education. Houndmills, Basingstoke, U.K.</w:t>
      </w:r>
    </w:p>
    <w:p w14:paraId="3D00303F" w14:textId="5F4CC523" w:rsidR="003044E8" w:rsidRDefault="003044E8" w:rsidP="003044E8">
      <w:pPr>
        <w:jc w:val="both"/>
        <w:rPr>
          <w:rFonts w:ascii="Arial" w:hAnsi="Arial" w:cs="Arial"/>
          <w:sz w:val="28"/>
          <w:szCs w:val="28"/>
        </w:rPr>
      </w:pPr>
      <w:r>
        <w:rPr>
          <w:rFonts w:cstheme="minorHAnsi"/>
          <w:sz w:val="28"/>
          <w:szCs w:val="28"/>
        </w:rPr>
        <w:t>Healey, N., 2013</w:t>
      </w:r>
      <w:r w:rsidRPr="000672E5">
        <w:rPr>
          <w:rFonts w:cstheme="minorHAnsi"/>
          <w:sz w:val="28"/>
          <w:szCs w:val="28"/>
        </w:rPr>
        <w:t xml:space="preserve">. Is UK transnational education ‘one of Britain’s great growth </w:t>
      </w:r>
      <w:r>
        <w:rPr>
          <w:rFonts w:cstheme="minorHAnsi"/>
          <w:sz w:val="28"/>
          <w:szCs w:val="28"/>
        </w:rPr>
        <w:t>industries of the future?’ Higher Education Review, 55. Pp.333-355.</w:t>
      </w:r>
    </w:p>
    <w:p w14:paraId="4729CBD6" w14:textId="3DC5C5A0" w:rsidR="006C794C" w:rsidRDefault="006C794C" w:rsidP="003044E8">
      <w:pPr>
        <w:jc w:val="both"/>
        <w:rPr>
          <w:rFonts w:cstheme="minorHAnsi"/>
          <w:sz w:val="28"/>
          <w:szCs w:val="28"/>
        </w:rPr>
      </w:pPr>
      <w:r>
        <w:rPr>
          <w:rFonts w:cstheme="minorHAnsi"/>
          <w:sz w:val="28"/>
          <w:szCs w:val="28"/>
        </w:rPr>
        <w:t>Kapur, and Crowley. 2008. Beyond the ABCs: higher education and developing countries. Washington D.C., Center for Global Development.</w:t>
      </w:r>
    </w:p>
    <w:p w14:paraId="1AA6685D" w14:textId="77777777" w:rsidR="003044E8" w:rsidRDefault="003044E8" w:rsidP="003044E8">
      <w:pPr>
        <w:jc w:val="both"/>
        <w:rPr>
          <w:rFonts w:cstheme="minorHAnsi"/>
          <w:sz w:val="28"/>
          <w:szCs w:val="28"/>
        </w:rPr>
      </w:pPr>
      <w:r w:rsidRPr="00092BEE">
        <w:rPr>
          <w:rFonts w:cstheme="minorHAnsi"/>
          <w:sz w:val="28"/>
          <w:szCs w:val="28"/>
        </w:rPr>
        <w:t>Komutsky</w:t>
      </w:r>
      <w:r>
        <w:rPr>
          <w:rFonts w:cstheme="minorHAnsi"/>
          <w:sz w:val="28"/>
          <w:szCs w:val="28"/>
        </w:rPr>
        <w:t>, A</w:t>
      </w:r>
      <w:r w:rsidRPr="00092BEE">
        <w:rPr>
          <w:rFonts w:cstheme="minorHAnsi"/>
          <w:sz w:val="28"/>
          <w:szCs w:val="28"/>
        </w:rPr>
        <w:t xml:space="preserve"> and R. Putty. 2015. Transcending borders and traversing boundaries: a systematic literature review of transnational, cross-border and borderless higher education. Journal of Studies in International Education. 20,1.</w:t>
      </w:r>
    </w:p>
    <w:p w14:paraId="771A75D4" w14:textId="79B45FE8" w:rsidR="008178CF" w:rsidRDefault="008178CF" w:rsidP="003044E8">
      <w:pPr>
        <w:jc w:val="both"/>
        <w:rPr>
          <w:rFonts w:cstheme="minorHAnsi"/>
          <w:sz w:val="28"/>
          <w:szCs w:val="28"/>
        </w:rPr>
      </w:pPr>
      <w:r>
        <w:rPr>
          <w:rFonts w:cstheme="minorHAnsi"/>
          <w:sz w:val="28"/>
          <w:szCs w:val="28"/>
        </w:rPr>
        <w:t>Levatino, A. 2017. ‘Transnational education and international student mobility: determinants and linkage’. Higher Education, vol. 73., no. 5. May.</w:t>
      </w:r>
    </w:p>
    <w:p w14:paraId="79BACB36" w14:textId="245A50FA" w:rsidR="006C794C" w:rsidRPr="00092BEE" w:rsidRDefault="006C794C" w:rsidP="003044E8">
      <w:pPr>
        <w:jc w:val="both"/>
        <w:rPr>
          <w:rFonts w:cstheme="minorHAnsi"/>
          <w:b/>
          <w:sz w:val="32"/>
          <w:szCs w:val="32"/>
        </w:rPr>
      </w:pPr>
      <w:r>
        <w:rPr>
          <w:rFonts w:cstheme="minorHAnsi"/>
          <w:sz w:val="28"/>
          <w:szCs w:val="28"/>
        </w:rPr>
        <w:t>McBurnie, G. and C. Zigura</w:t>
      </w:r>
      <w:r w:rsidR="008178CF">
        <w:rPr>
          <w:rFonts w:cstheme="minorHAnsi"/>
          <w:sz w:val="28"/>
          <w:szCs w:val="28"/>
        </w:rPr>
        <w:t>s</w:t>
      </w:r>
      <w:r>
        <w:rPr>
          <w:rFonts w:cstheme="minorHAnsi"/>
          <w:sz w:val="28"/>
          <w:szCs w:val="28"/>
        </w:rPr>
        <w:t xml:space="preserve">. 2007. Transnational education: issues and trends in </w:t>
      </w:r>
      <w:r w:rsidR="0031077B">
        <w:rPr>
          <w:rFonts w:cstheme="minorHAnsi"/>
          <w:sz w:val="28"/>
          <w:szCs w:val="28"/>
        </w:rPr>
        <w:t>offshore</w:t>
      </w:r>
      <w:r>
        <w:rPr>
          <w:rFonts w:cstheme="minorHAnsi"/>
          <w:sz w:val="28"/>
          <w:szCs w:val="28"/>
        </w:rPr>
        <w:t xml:space="preserve"> higher education. London, Taylor and Francis.</w:t>
      </w:r>
    </w:p>
    <w:p w14:paraId="673B6F27" w14:textId="0D54884F" w:rsidR="006C794C" w:rsidRDefault="006C794C" w:rsidP="003044E8">
      <w:pPr>
        <w:jc w:val="both"/>
        <w:rPr>
          <w:rFonts w:cstheme="minorHAnsi"/>
          <w:sz w:val="28"/>
          <w:szCs w:val="28"/>
        </w:rPr>
      </w:pPr>
      <w:r>
        <w:rPr>
          <w:rFonts w:cstheme="minorHAnsi"/>
          <w:sz w:val="28"/>
          <w:szCs w:val="28"/>
        </w:rPr>
        <w:t>McNamara, J., J. Knight and R.M. Fernandes-Chung. 2013.</w:t>
      </w:r>
      <w:r w:rsidR="00156332">
        <w:rPr>
          <w:rFonts w:cstheme="minorHAnsi"/>
          <w:sz w:val="28"/>
          <w:szCs w:val="28"/>
        </w:rPr>
        <w:t xml:space="preserve"> The shape of things to come 2: T</w:t>
      </w:r>
      <w:r>
        <w:rPr>
          <w:rFonts w:cstheme="minorHAnsi"/>
          <w:sz w:val="28"/>
          <w:szCs w:val="28"/>
        </w:rPr>
        <w:t>he evolution of transnational education: data, definitions, opportunities and impact analysis. Manchester, British Council.</w:t>
      </w:r>
    </w:p>
    <w:p w14:paraId="5D5CFBA9" w14:textId="0C92F89E" w:rsidR="003044E8" w:rsidRDefault="003044E8" w:rsidP="003044E8">
      <w:pPr>
        <w:jc w:val="both"/>
        <w:rPr>
          <w:rFonts w:cstheme="minorHAnsi"/>
          <w:sz w:val="28"/>
          <w:szCs w:val="28"/>
        </w:rPr>
      </w:pPr>
      <w:r>
        <w:rPr>
          <w:rFonts w:cstheme="minorHAnsi"/>
          <w:sz w:val="28"/>
          <w:szCs w:val="28"/>
        </w:rPr>
        <w:t xml:space="preserve">Tsiligiris, V. 2014. ‘Does transnational education compete with </w:t>
      </w:r>
      <w:r w:rsidR="00156332">
        <w:rPr>
          <w:rFonts w:cstheme="minorHAnsi"/>
          <w:sz w:val="28"/>
          <w:szCs w:val="28"/>
        </w:rPr>
        <w:t>international student mobility? E</w:t>
      </w:r>
      <w:r>
        <w:rPr>
          <w:rFonts w:cstheme="minorHAnsi"/>
          <w:sz w:val="28"/>
          <w:szCs w:val="28"/>
        </w:rPr>
        <w:t>vidence and considerations’. Presentation to the Council of Validating Universities annual Conference, Birmingham, UK.</w:t>
      </w:r>
    </w:p>
    <w:p w14:paraId="532F5F3B" w14:textId="62600845" w:rsidR="003044E8" w:rsidRDefault="006C794C" w:rsidP="003044E8">
      <w:pPr>
        <w:jc w:val="both"/>
        <w:rPr>
          <w:rFonts w:cstheme="minorHAnsi"/>
          <w:sz w:val="28"/>
          <w:szCs w:val="28"/>
        </w:rPr>
      </w:pPr>
      <w:r>
        <w:rPr>
          <w:rFonts w:cstheme="minorHAnsi"/>
          <w:sz w:val="28"/>
          <w:szCs w:val="28"/>
        </w:rPr>
        <w:lastRenderedPageBreak/>
        <w:t>Tsiligiris, V. 2014. Transnational education vs international student mobility:substitutes or distinct markets? London, The Observatory on Borderless Higher Education.</w:t>
      </w:r>
    </w:p>
    <w:p w14:paraId="48C51017" w14:textId="341DCFCE" w:rsidR="00156332" w:rsidRDefault="00156332" w:rsidP="003044E8">
      <w:pPr>
        <w:jc w:val="both"/>
        <w:rPr>
          <w:rFonts w:cstheme="minorHAnsi"/>
          <w:sz w:val="28"/>
          <w:szCs w:val="28"/>
        </w:rPr>
      </w:pPr>
      <w:r>
        <w:rPr>
          <w:rFonts w:cstheme="minorHAnsi"/>
          <w:sz w:val="28"/>
          <w:szCs w:val="28"/>
        </w:rPr>
        <w:t>U.K. Higher Education Funding Council. 2015. Transnational pathways to higher education in England. London, HFCE.</w:t>
      </w:r>
    </w:p>
    <w:p w14:paraId="4B47C4C4" w14:textId="77777777" w:rsidR="003044E8" w:rsidRPr="000672E5" w:rsidRDefault="003044E8" w:rsidP="003044E8">
      <w:pPr>
        <w:jc w:val="both"/>
        <w:rPr>
          <w:rFonts w:cstheme="minorHAnsi"/>
          <w:sz w:val="28"/>
          <w:szCs w:val="28"/>
        </w:rPr>
      </w:pPr>
      <w:r>
        <w:rPr>
          <w:rFonts w:cstheme="minorHAnsi"/>
          <w:sz w:val="28"/>
          <w:szCs w:val="28"/>
        </w:rPr>
        <w:t>Universities UK. 2017</w:t>
      </w:r>
      <w:r w:rsidRPr="000672E5">
        <w:rPr>
          <w:rFonts w:cstheme="minorHAnsi"/>
          <w:sz w:val="28"/>
          <w:szCs w:val="28"/>
        </w:rPr>
        <w:t>. The scale and scope of UK higher education transnational education. Universities UK and British Council. June. London.</w:t>
      </w:r>
    </w:p>
    <w:p w14:paraId="364F0ED3" w14:textId="77777777" w:rsidR="009A70C8" w:rsidRDefault="003044E8" w:rsidP="009A70C8">
      <w:r>
        <w:rPr>
          <w:rFonts w:ascii="Arial" w:hAnsi="Arial" w:cs="Arial"/>
          <w:sz w:val="28"/>
          <w:szCs w:val="28"/>
        </w:rPr>
        <w:br w:type="page"/>
      </w:r>
    </w:p>
    <w:p w14:paraId="11F87D1C" w14:textId="77777777" w:rsidR="009A70C8" w:rsidRDefault="009A70C8" w:rsidP="009A70C8">
      <w:r>
        <w:lastRenderedPageBreak/>
        <w:t>Figure 1.</w:t>
      </w:r>
    </w:p>
    <w:p w14:paraId="04E46774" w14:textId="77777777" w:rsidR="009A70C8" w:rsidRDefault="009A70C8" w:rsidP="009A70C8">
      <w:r>
        <w:t>Possible complimentary and substitution relationship between onshore and offshore overseas student provision</w:t>
      </w:r>
    </w:p>
    <w:p w14:paraId="49617D2B" w14:textId="77777777" w:rsidR="009A70C8" w:rsidRDefault="009A70C8" w:rsidP="009A70C8">
      <w:r>
        <w:rPr>
          <w:noProof/>
          <w:lang w:eastAsia="en-GB"/>
        </w:rPr>
        <mc:AlternateContent>
          <mc:Choice Requires="wps">
            <w:drawing>
              <wp:anchor distT="0" distB="0" distL="114300" distR="114300" simplePos="0" relativeHeight="251670528" behindDoc="0" locked="0" layoutInCell="1" allowOverlap="1" wp14:anchorId="2A9227F6" wp14:editId="4413C55C">
                <wp:simplePos x="0" y="0"/>
                <wp:positionH relativeFrom="column">
                  <wp:posOffset>1082040</wp:posOffset>
                </wp:positionH>
                <wp:positionV relativeFrom="paragraph">
                  <wp:posOffset>117475</wp:posOffset>
                </wp:positionV>
                <wp:extent cx="434340" cy="251460"/>
                <wp:effectExtent l="0" t="0" r="3810" b="0"/>
                <wp:wrapNone/>
                <wp:docPr id="11" name="Text Box 11"/>
                <wp:cNvGraphicFramePr/>
                <a:graphic xmlns:a="http://schemas.openxmlformats.org/drawingml/2006/main">
                  <a:graphicData uri="http://schemas.microsoft.com/office/word/2010/wordprocessingShape">
                    <wps:wsp>
                      <wps:cNvSpPr txBox="1"/>
                      <wps:spPr>
                        <a:xfrm>
                          <a:off x="0" y="0"/>
                          <a:ext cx="434340" cy="251460"/>
                        </a:xfrm>
                        <a:prstGeom prst="rect">
                          <a:avLst/>
                        </a:prstGeom>
                        <a:solidFill>
                          <a:schemeClr val="lt1"/>
                        </a:solidFill>
                        <a:ln w="6350">
                          <a:noFill/>
                        </a:ln>
                      </wps:spPr>
                      <wps:txbx>
                        <w:txbxContent>
                          <w:p w14:paraId="0257CAD7" w14:textId="77777777" w:rsidR="009A70C8" w:rsidRDefault="009A70C8" w:rsidP="009A70C8">
                            <w:r>
                              <w:t>+ve</w:t>
                            </w:r>
                          </w:p>
                          <w:p w14:paraId="7D0D4C14" w14:textId="77777777" w:rsidR="009A70C8" w:rsidRDefault="009A70C8" w:rsidP="009A70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227F6" id="_x0000_t202" coordsize="21600,21600" o:spt="202" path="m,l,21600r21600,l21600,xe">
                <v:stroke joinstyle="miter"/>
                <v:path gradientshapeok="t" o:connecttype="rect"/>
              </v:shapetype>
              <v:shape id="Text Box 11" o:spid="_x0000_s1026" type="#_x0000_t202" style="position:absolute;margin-left:85.2pt;margin-top:9.25pt;width:34.2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" fillcolor="white [3201]" stroked="f" strokeweight=".5pt">
                <v:textbox>
                  <w:txbxContent>
                    <w:p w14:paraId="0257CAD7" w14:textId="77777777" w:rsidR="009A70C8" w:rsidRDefault="009A70C8" w:rsidP="009A70C8">
                      <w:r>
                        <w:t>+ve</w:t>
                      </w:r>
                    </w:p>
                    <w:p w14:paraId="7D0D4C14" w14:textId="77777777" w:rsidR="009A70C8" w:rsidRDefault="009A70C8" w:rsidP="009A70C8"/>
                  </w:txbxContent>
                </v:textbox>
              </v:shape>
            </w:pict>
          </mc:Fallback>
        </mc:AlternateContent>
      </w:r>
    </w:p>
    <w:p w14:paraId="3C0BC505" w14:textId="77777777" w:rsidR="009A70C8" w:rsidRDefault="009A70C8" w:rsidP="009A70C8">
      <w:r>
        <w:rPr>
          <w:noProof/>
          <w:lang w:eastAsia="en-GB"/>
        </w:rPr>
        <mc:AlternateContent>
          <mc:Choice Requires="wps">
            <w:drawing>
              <wp:anchor distT="0" distB="0" distL="114300" distR="114300" simplePos="0" relativeHeight="251671552" behindDoc="0" locked="0" layoutInCell="1" allowOverlap="1" wp14:anchorId="45872EB7" wp14:editId="6E180994">
                <wp:simplePos x="0" y="0"/>
                <wp:positionH relativeFrom="margin">
                  <wp:align>center</wp:align>
                </wp:positionH>
                <wp:positionV relativeFrom="paragraph">
                  <wp:posOffset>1226185</wp:posOffset>
                </wp:positionV>
                <wp:extent cx="434340" cy="25146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434340" cy="251460"/>
                        </a:xfrm>
                        <a:prstGeom prst="rect">
                          <a:avLst/>
                        </a:prstGeom>
                        <a:solidFill>
                          <a:schemeClr val="lt1"/>
                        </a:solidFill>
                        <a:ln w="6350">
                          <a:noFill/>
                        </a:ln>
                      </wps:spPr>
                      <wps:txbx>
                        <w:txbxContent>
                          <w:p w14:paraId="05384921" w14:textId="77777777" w:rsidR="009A70C8" w:rsidRDefault="009A70C8" w:rsidP="009A70C8">
                            <w:r>
                              <w:t>+ve</w:t>
                            </w:r>
                          </w:p>
                          <w:p w14:paraId="5B5A3BA0" w14:textId="77777777" w:rsidR="009A70C8" w:rsidRDefault="009A70C8" w:rsidP="009A70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72EB7" id="Text Box 13" o:spid="_x0000_s1027" type="#_x0000_t202" style="position:absolute;margin-left:0;margin-top:96.55pt;width:34.2pt;height:19.8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" fillcolor="white [3201]" stroked="f" strokeweight=".5pt">
                <v:textbox>
                  <w:txbxContent>
                    <w:p w14:paraId="05384921" w14:textId="77777777" w:rsidR="009A70C8" w:rsidRDefault="009A70C8" w:rsidP="009A70C8">
                      <w:r>
                        <w:t>+ve</w:t>
                      </w:r>
                    </w:p>
                    <w:p w14:paraId="5B5A3BA0" w14:textId="77777777" w:rsidR="009A70C8" w:rsidRDefault="009A70C8" w:rsidP="009A70C8"/>
                  </w:txbxContent>
                </v:textbox>
                <w10:wrap anchorx="margin"/>
              </v:shape>
            </w:pict>
          </mc:Fallback>
        </mc:AlternateContent>
      </w:r>
      <w:r>
        <w:rPr>
          <w:noProof/>
          <w:lang w:eastAsia="en-GB"/>
        </w:rPr>
        <mc:AlternateContent>
          <mc:Choice Requires="wps">
            <w:drawing>
              <wp:anchor distT="0" distB="0" distL="114300" distR="114300" simplePos="0" relativeHeight="251673600" behindDoc="0" locked="0" layoutInCell="1" allowOverlap="1" wp14:anchorId="2B347092" wp14:editId="15CF69FB">
                <wp:simplePos x="0" y="0"/>
                <wp:positionH relativeFrom="column">
                  <wp:posOffset>1165860</wp:posOffset>
                </wp:positionH>
                <wp:positionV relativeFrom="paragraph">
                  <wp:posOffset>2605405</wp:posOffset>
                </wp:positionV>
                <wp:extent cx="434340" cy="251460"/>
                <wp:effectExtent l="0" t="0" r="3810" b="0"/>
                <wp:wrapNone/>
                <wp:docPr id="16" name="Text Box 16"/>
                <wp:cNvGraphicFramePr/>
                <a:graphic xmlns:a="http://schemas.openxmlformats.org/drawingml/2006/main">
                  <a:graphicData uri="http://schemas.microsoft.com/office/word/2010/wordprocessingShape">
                    <wps:wsp>
                      <wps:cNvSpPr txBox="1"/>
                      <wps:spPr>
                        <a:xfrm>
                          <a:off x="0" y="0"/>
                          <a:ext cx="434340" cy="251460"/>
                        </a:xfrm>
                        <a:prstGeom prst="rect">
                          <a:avLst/>
                        </a:prstGeom>
                        <a:solidFill>
                          <a:schemeClr val="lt1"/>
                        </a:solidFill>
                        <a:ln w="6350">
                          <a:noFill/>
                        </a:ln>
                      </wps:spPr>
                      <wps:txbx>
                        <w:txbxContent>
                          <w:p w14:paraId="4B31948E" w14:textId="77777777" w:rsidR="009A70C8" w:rsidRDefault="009A70C8" w:rsidP="009A70C8">
                            <w:r>
                              <w:t>-ve</w:t>
                            </w:r>
                          </w:p>
                          <w:p w14:paraId="481CE19A" w14:textId="77777777" w:rsidR="009A70C8" w:rsidRDefault="009A70C8" w:rsidP="009A70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47092" id="Text Box 16" o:spid="_x0000_s1028" type="#_x0000_t202" style="position:absolute;margin-left:91.8pt;margin-top:205.15pt;width:34.2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" fillcolor="white [3201]" stroked="f" strokeweight=".5pt">
                <v:textbox>
                  <w:txbxContent>
                    <w:p w14:paraId="4B31948E" w14:textId="77777777" w:rsidR="009A70C8" w:rsidRDefault="009A70C8" w:rsidP="009A70C8">
                      <w:r>
                        <w:t>-ve</w:t>
                      </w:r>
                    </w:p>
                    <w:p w14:paraId="481CE19A" w14:textId="77777777" w:rsidR="009A70C8" w:rsidRDefault="009A70C8" w:rsidP="009A70C8"/>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1218CF6" wp14:editId="0F299DD9">
                <wp:simplePos x="0" y="0"/>
                <wp:positionH relativeFrom="column">
                  <wp:posOffset>-175260</wp:posOffset>
                </wp:positionH>
                <wp:positionV relativeFrom="paragraph">
                  <wp:posOffset>1111885</wp:posOffset>
                </wp:positionV>
                <wp:extent cx="411480" cy="251460"/>
                <wp:effectExtent l="0" t="0" r="7620" b="0"/>
                <wp:wrapNone/>
                <wp:docPr id="15" name="Text Box 15"/>
                <wp:cNvGraphicFramePr/>
                <a:graphic xmlns:a="http://schemas.openxmlformats.org/drawingml/2006/main">
                  <a:graphicData uri="http://schemas.microsoft.com/office/word/2010/wordprocessingShape">
                    <wps:wsp>
                      <wps:cNvSpPr txBox="1"/>
                      <wps:spPr>
                        <a:xfrm>
                          <a:off x="0" y="0"/>
                          <a:ext cx="411480" cy="251460"/>
                        </a:xfrm>
                        <a:prstGeom prst="rect">
                          <a:avLst/>
                        </a:prstGeom>
                        <a:solidFill>
                          <a:schemeClr val="lt1"/>
                        </a:solidFill>
                        <a:ln w="6350">
                          <a:noFill/>
                        </a:ln>
                      </wps:spPr>
                      <wps:txbx>
                        <w:txbxContent>
                          <w:p w14:paraId="1F321009" w14:textId="77777777" w:rsidR="009A70C8" w:rsidRDefault="009A70C8" w:rsidP="009A70C8">
                            <w:r>
                              <w:t>-ve</w:t>
                            </w:r>
                          </w:p>
                          <w:p w14:paraId="5E9DE463" w14:textId="77777777" w:rsidR="009A70C8" w:rsidRDefault="009A70C8" w:rsidP="009A70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18CF6" id="Text Box 15" o:spid="_x0000_s1029" type="#_x0000_t202" style="position:absolute;margin-left:-13.8pt;margin-top:87.55pt;width:32.4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" fillcolor="white [3201]" stroked="f" strokeweight=".5pt">
                <v:textbox>
                  <w:txbxContent>
                    <w:p w14:paraId="1F321009" w14:textId="77777777" w:rsidR="009A70C8" w:rsidRDefault="009A70C8" w:rsidP="009A70C8">
                      <w:r>
                        <w:t>-ve</w:t>
                      </w:r>
                    </w:p>
                    <w:p w14:paraId="5E9DE463" w14:textId="77777777" w:rsidR="009A70C8" w:rsidRDefault="009A70C8" w:rsidP="009A70C8"/>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A995790" wp14:editId="77C0FEF5">
                <wp:simplePos x="0" y="0"/>
                <wp:positionH relativeFrom="column">
                  <wp:posOffset>2087880</wp:posOffset>
                </wp:positionH>
                <wp:positionV relativeFrom="paragraph">
                  <wp:posOffset>1044575</wp:posOffset>
                </wp:positionV>
                <wp:extent cx="1150620" cy="266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50620" cy="266700"/>
                        </a:xfrm>
                        <a:prstGeom prst="rect">
                          <a:avLst/>
                        </a:prstGeom>
                        <a:solidFill>
                          <a:schemeClr val="lt1"/>
                        </a:solidFill>
                        <a:ln w="6350">
                          <a:noFill/>
                        </a:ln>
                      </wps:spPr>
                      <wps:txbx>
                        <w:txbxContent>
                          <w:p w14:paraId="094F12B1" w14:textId="77777777" w:rsidR="009A70C8" w:rsidRDefault="009A70C8" w:rsidP="009A70C8">
                            <w:r>
                              <w:t>Complimentary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95790" id="Text Box 8" o:spid="_x0000_s1030" type="#_x0000_t202" style="position:absolute;margin-left:164.4pt;margin-top:82.25pt;width:90.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" fillcolor="white [3201]" stroked="f" strokeweight=".5pt">
                <v:textbox>
                  <w:txbxContent>
                    <w:p w14:paraId="094F12B1" w14:textId="77777777" w:rsidR="009A70C8" w:rsidRDefault="009A70C8" w:rsidP="009A70C8">
                      <w:r>
                        <w:t>Complimentary</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4202006E" wp14:editId="61D74683">
                <wp:simplePos x="0" y="0"/>
                <wp:positionH relativeFrom="column">
                  <wp:posOffset>1112520</wp:posOffset>
                </wp:positionH>
                <wp:positionV relativeFrom="paragraph">
                  <wp:posOffset>1173480</wp:posOffset>
                </wp:positionV>
                <wp:extent cx="129540" cy="106680"/>
                <wp:effectExtent l="0" t="0" r="60960" b="64770"/>
                <wp:wrapNone/>
                <wp:docPr id="14" name="Straight Arrow Connector 14"/>
                <wp:cNvGraphicFramePr/>
                <a:graphic xmlns:a="http://schemas.openxmlformats.org/drawingml/2006/main">
                  <a:graphicData uri="http://schemas.microsoft.com/office/word/2010/wordprocessingShape">
                    <wps:wsp>
                      <wps:cNvCnPr/>
                      <wps:spPr>
                        <a:xfrm>
                          <a:off x="0" y="0"/>
                          <a:ext cx="129540" cy="106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EE4B70" id="_x0000_t32" coordsize="21600,21600" o:spt="32" o:oned="t" path="m,l21600,21600e" filled="f">
                <v:path arrowok="t" fillok="f" o:connecttype="none"/>
                <o:lock v:ext="edit" shapetype="t"/>
              </v:shapetype>
              <v:shape id="Straight Arrow Connector 14" o:spid="_x0000_s1026" type="#_x0000_t32" style="position:absolute;margin-left:87.6pt;margin-top:92.4pt;width:10.2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" strokecolor="black [3200]" strokeweight=".5pt">
                <v:stroke endarrow="block" joinstyle="miter"/>
              </v:shape>
            </w:pict>
          </mc:Fallback>
        </mc:AlternateContent>
      </w:r>
      <w:r>
        <w:rPr>
          <w:noProof/>
          <w:lang w:eastAsia="en-GB"/>
        </w:rPr>
        <mc:AlternateContent>
          <mc:Choice Requires="wps">
            <w:drawing>
              <wp:anchor distT="0" distB="0" distL="114300" distR="114300" simplePos="0" relativeHeight="251668480" behindDoc="0" locked="0" layoutInCell="1" allowOverlap="1" wp14:anchorId="1AB90588" wp14:editId="4715E223">
                <wp:simplePos x="0" y="0"/>
                <wp:positionH relativeFrom="column">
                  <wp:posOffset>655320</wp:posOffset>
                </wp:positionH>
                <wp:positionV relativeFrom="paragraph">
                  <wp:posOffset>822960</wp:posOffset>
                </wp:positionV>
                <wp:extent cx="541020" cy="4191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41020" cy="419100"/>
                        </a:xfrm>
                        <a:prstGeom prst="rect">
                          <a:avLst/>
                        </a:prstGeom>
                        <a:solidFill>
                          <a:schemeClr val="lt1"/>
                        </a:solidFill>
                        <a:ln w="6350">
                          <a:noFill/>
                        </a:ln>
                      </wps:spPr>
                      <wps:txbx>
                        <w:txbxContent>
                          <w:p w14:paraId="667C2F44" w14:textId="77777777" w:rsidR="009A70C8" w:rsidRDefault="009A70C8" w:rsidP="009A70C8">
                            <w:r>
                              <w:t>Zero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90588" id="Text Box 12" o:spid="_x0000_s1031" type="#_x0000_t202" style="position:absolute;margin-left:51.6pt;margin-top:64.8pt;width:42.6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" fillcolor="white [3201]" stroked="f" strokeweight=".5pt">
                <v:textbox>
                  <w:txbxContent>
                    <w:p w14:paraId="667C2F44" w14:textId="77777777" w:rsidR="009A70C8" w:rsidRDefault="009A70C8" w:rsidP="009A70C8">
                      <w:r>
                        <w:t>Zero effect</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2D91273E" wp14:editId="349B36C9">
                <wp:simplePos x="0" y="0"/>
                <wp:positionH relativeFrom="column">
                  <wp:posOffset>1234440</wp:posOffset>
                </wp:positionH>
                <wp:positionV relativeFrom="paragraph">
                  <wp:posOffset>1158240</wp:posOffset>
                </wp:positionV>
                <wp:extent cx="320040" cy="342900"/>
                <wp:effectExtent l="0" t="0" r="22860" b="19050"/>
                <wp:wrapNone/>
                <wp:docPr id="10" name="Oval 10"/>
                <wp:cNvGraphicFramePr/>
                <a:graphic xmlns:a="http://schemas.openxmlformats.org/drawingml/2006/main">
                  <a:graphicData uri="http://schemas.microsoft.com/office/word/2010/wordprocessingShape">
                    <wps:wsp>
                      <wps:cNvSpPr/>
                      <wps:spPr>
                        <a:xfrm>
                          <a:off x="0" y="0"/>
                          <a:ext cx="320040" cy="342900"/>
                        </a:xfrm>
                        <a:prstGeom prst="ellipse">
                          <a:avLst/>
                        </a:prstGeom>
                      </wps:spPr>
                      <wps:style>
                        <a:lnRef idx="2">
                          <a:schemeClr val="dk1"/>
                        </a:lnRef>
                        <a:fillRef idx="1">
                          <a:schemeClr val="lt1"/>
                        </a:fillRef>
                        <a:effectRef idx="0">
                          <a:schemeClr val="dk1"/>
                        </a:effectRef>
                        <a:fontRef idx="minor">
                          <a:schemeClr val="dk1"/>
                        </a:fontRef>
                      </wps:style>
                      <wps:txbx>
                        <w:txbxContent>
                          <w:p w14:paraId="1A1856A8" w14:textId="77777777" w:rsidR="009A70C8" w:rsidRDefault="009A70C8" w:rsidP="009A70C8">
                            <w:pPr>
                              <w:jc w:val="both"/>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1273E" id="Oval 10" o:spid="_x0000_s1032" style="position:absolute;margin-left:97.2pt;margin-top:91.2pt;width:25.2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" fillcolor="white [3201]" strokecolor="black [3200]" strokeweight="1pt">
                <v:stroke joinstyle="miter"/>
                <v:textbox>
                  <w:txbxContent>
                    <w:p w14:paraId="1A1856A8" w14:textId="77777777" w:rsidR="009A70C8" w:rsidRDefault="009A70C8" w:rsidP="009A70C8">
                      <w:pPr>
                        <w:jc w:val="both"/>
                      </w:pPr>
                      <w:r>
                        <w:t>A</w:t>
                      </w:r>
                    </w:p>
                  </w:txbxContent>
                </v:textbox>
              </v:oval>
            </w:pict>
          </mc:Fallback>
        </mc:AlternateContent>
      </w:r>
      <w:r>
        <w:rPr>
          <w:noProof/>
          <w:lang w:eastAsia="en-GB"/>
        </w:rPr>
        <mc:AlternateContent>
          <mc:Choice Requires="wps">
            <w:drawing>
              <wp:anchor distT="0" distB="0" distL="114300" distR="114300" simplePos="0" relativeHeight="251666432" behindDoc="0" locked="0" layoutInCell="1" allowOverlap="1" wp14:anchorId="41919EE0" wp14:editId="0A88D9C2">
                <wp:simplePos x="0" y="0"/>
                <wp:positionH relativeFrom="column">
                  <wp:posOffset>1417320</wp:posOffset>
                </wp:positionH>
                <wp:positionV relativeFrom="paragraph">
                  <wp:posOffset>-160020</wp:posOffset>
                </wp:positionV>
                <wp:extent cx="922020" cy="251460"/>
                <wp:effectExtent l="0" t="0" r="0" b="0"/>
                <wp:wrapNone/>
                <wp:docPr id="1" name="Text Box 1"/>
                <wp:cNvGraphicFramePr/>
                <a:graphic xmlns:a="http://schemas.openxmlformats.org/drawingml/2006/main">
                  <a:graphicData uri="http://schemas.microsoft.com/office/word/2010/wordprocessingShape">
                    <wps:wsp>
                      <wps:cNvSpPr txBox="1"/>
                      <wps:spPr>
                        <a:xfrm>
                          <a:off x="0" y="0"/>
                          <a:ext cx="922020" cy="251460"/>
                        </a:xfrm>
                        <a:prstGeom prst="rect">
                          <a:avLst/>
                        </a:prstGeom>
                        <a:solidFill>
                          <a:schemeClr val="lt1"/>
                        </a:solidFill>
                        <a:ln w="6350">
                          <a:noFill/>
                        </a:ln>
                      </wps:spPr>
                      <wps:txbx>
                        <w:txbxContent>
                          <w:p w14:paraId="35FE4FED" w14:textId="77777777" w:rsidR="009A70C8" w:rsidRDefault="009A70C8" w:rsidP="009A70C8">
                            <w:r>
                              <w:t>Substitution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19EE0" id="Text Box 1" o:spid="_x0000_s1033" type="#_x0000_t202" style="position:absolute;margin-left:111.6pt;margin-top:-12.6pt;width:72.6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" fillcolor="white [3201]" stroked="f" strokeweight=".5pt">
                <v:textbox>
                  <w:txbxContent>
                    <w:p w14:paraId="35FE4FED" w14:textId="77777777" w:rsidR="009A70C8" w:rsidRDefault="009A70C8" w:rsidP="009A70C8">
                      <w:r>
                        <w:t>Substitution</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F16ADE9" wp14:editId="641A9397">
                <wp:simplePos x="0" y="0"/>
                <wp:positionH relativeFrom="column">
                  <wp:posOffset>1798320</wp:posOffset>
                </wp:positionH>
                <wp:positionV relativeFrom="paragraph">
                  <wp:posOffset>1927860</wp:posOffset>
                </wp:positionV>
                <wp:extent cx="335280" cy="342900"/>
                <wp:effectExtent l="0" t="0" r="26670" b="19050"/>
                <wp:wrapNone/>
                <wp:docPr id="6" name="Oval 6"/>
                <wp:cNvGraphicFramePr/>
                <a:graphic xmlns:a="http://schemas.openxmlformats.org/drawingml/2006/main">
                  <a:graphicData uri="http://schemas.microsoft.com/office/word/2010/wordprocessingShape">
                    <wps:wsp>
                      <wps:cNvSpPr/>
                      <wps:spPr>
                        <a:xfrm>
                          <a:off x="0" y="0"/>
                          <a:ext cx="335280" cy="342900"/>
                        </a:xfrm>
                        <a:prstGeom prst="ellipse">
                          <a:avLst/>
                        </a:prstGeom>
                      </wps:spPr>
                      <wps:style>
                        <a:lnRef idx="2">
                          <a:schemeClr val="dk1"/>
                        </a:lnRef>
                        <a:fillRef idx="1">
                          <a:schemeClr val="lt1"/>
                        </a:fillRef>
                        <a:effectRef idx="0">
                          <a:schemeClr val="dk1"/>
                        </a:effectRef>
                        <a:fontRef idx="minor">
                          <a:schemeClr val="dk1"/>
                        </a:fontRef>
                      </wps:style>
                      <wps:txbx>
                        <w:txbxContent>
                          <w:p w14:paraId="3CC998CE" w14:textId="77777777" w:rsidR="009A70C8" w:rsidRDefault="009A70C8" w:rsidP="009A70C8">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6ADE9" id="Oval 6" o:spid="_x0000_s1034" style="position:absolute;margin-left:141.6pt;margin-top:151.8pt;width:26.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" fillcolor="white [3201]" strokecolor="black [3200]" strokeweight="1pt">
                <v:stroke joinstyle="miter"/>
                <v:textbox>
                  <w:txbxContent>
                    <w:p w14:paraId="3CC998CE" w14:textId="77777777" w:rsidR="009A70C8" w:rsidRDefault="009A70C8" w:rsidP="009A70C8">
                      <w:r>
                        <w:t>4</w:t>
                      </w:r>
                    </w:p>
                  </w:txbxContent>
                </v:textbox>
              </v:oval>
            </w:pict>
          </mc:Fallback>
        </mc:AlternateContent>
      </w:r>
      <w:r>
        <w:rPr>
          <w:noProof/>
          <w:lang w:eastAsia="en-GB"/>
        </w:rPr>
        <mc:AlternateContent>
          <mc:Choice Requires="wps">
            <w:drawing>
              <wp:anchor distT="0" distB="0" distL="114300" distR="114300" simplePos="0" relativeHeight="251662336" behindDoc="0" locked="0" layoutInCell="1" allowOverlap="1" wp14:anchorId="6A9D00CA" wp14:editId="243425AB">
                <wp:simplePos x="0" y="0"/>
                <wp:positionH relativeFrom="column">
                  <wp:posOffset>457200</wp:posOffset>
                </wp:positionH>
                <wp:positionV relativeFrom="paragraph">
                  <wp:posOffset>1874520</wp:posOffset>
                </wp:positionV>
                <wp:extent cx="335280" cy="342900"/>
                <wp:effectExtent l="0" t="0" r="26670" b="19050"/>
                <wp:wrapNone/>
                <wp:docPr id="5" name="Oval 5"/>
                <wp:cNvGraphicFramePr/>
                <a:graphic xmlns:a="http://schemas.openxmlformats.org/drawingml/2006/main">
                  <a:graphicData uri="http://schemas.microsoft.com/office/word/2010/wordprocessingShape">
                    <wps:wsp>
                      <wps:cNvSpPr/>
                      <wps:spPr>
                        <a:xfrm>
                          <a:off x="0" y="0"/>
                          <a:ext cx="335280" cy="342900"/>
                        </a:xfrm>
                        <a:prstGeom prst="ellipse">
                          <a:avLst/>
                        </a:prstGeom>
                      </wps:spPr>
                      <wps:style>
                        <a:lnRef idx="2">
                          <a:schemeClr val="dk1"/>
                        </a:lnRef>
                        <a:fillRef idx="1">
                          <a:schemeClr val="lt1"/>
                        </a:fillRef>
                        <a:effectRef idx="0">
                          <a:schemeClr val="dk1"/>
                        </a:effectRef>
                        <a:fontRef idx="minor">
                          <a:schemeClr val="dk1"/>
                        </a:fontRef>
                      </wps:style>
                      <wps:txbx>
                        <w:txbxContent>
                          <w:p w14:paraId="6C1B8E13" w14:textId="77777777" w:rsidR="009A70C8" w:rsidRDefault="009A70C8" w:rsidP="009A70C8">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D00CA" id="Oval 5" o:spid="_x0000_s1035" style="position:absolute;margin-left:36pt;margin-top:147.6pt;width:26.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" fillcolor="white [3201]" strokecolor="black [3200]" strokeweight="1pt">
                <v:stroke joinstyle="miter"/>
                <v:textbox>
                  <w:txbxContent>
                    <w:p w14:paraId="6C1B8E13" w14:textId="77777777" w:rsidR="009A70C8" w:rsidRDefault="009A70C8" w:rsidP="009A70C8">
                      <w:r>
                        <w:t>3</w:t>
                      </w:r>
                    </w:p>
                  </w:txbxContent>
                </v:textbox>
              </v:oval>
            </w:pict>
          </mc:Fallback>
        </mc:AlternateContent>
      </w:r>
      <w:r>
        <w:rPr>
          <w:noProof/>
          <w:lang w:eastAsia="en-GB"/>
        </w:rPr>
        <mc:AlternateContent>
          <mc:Choice Requires="wps">
            <w:drawing>
              <wp:anchor distT="0" distB="0" distL="114300" distR="114300" simplePos="0" relativeHeight="251664384" behindDoc="0" locked="0" layoutInCell="1" allowOverlap="1" wp14:anchorId="7F95D441" wp14:editId="31FCB83A">
                <wp:simplePos x="0" y="0"/>
                <wp:positionH relativeFrom="column">
                  <wp:posOffset>1828800</wp:posOffset>
                </wp:positionH>
                <wp:positionV relativeFrom="paragraph">
                  <wp:posOffset>487680</wp:posOffset>
                </wp:positionV>
                <wp:extent cx="335280" cy="342900"/>
                <wp:effectExtent l="0" t="0" r="26670" b="19050"/>
                <wp:wrapNone/>
                <wp:docPr id="7" name="Oval 7"/>
                <wp:cNvGraphicFramePr/>
                <a:graphic xmlns:a="http://schemas.openxmlformats.org/drawingml/2006/main">
                  <a:graphicData uri="http://schemas.microsoft.com/office/word/2010/wordprocessingShape">
                    <wps:wsp>
                      <wps:cNvSpPr/>
                      <wps:spPr>
                        <a:xfrm>
                          <a:off x="0" y="0"/>
                          <a:ext cx="335280" cy="342900"/>
                        </a:xfrm>
                        <a:prstGeom prst="ellipse">
                          <a:avLst/>
                        </a:prstGeom>
                      </wps:spPr>
                      <wps:style>
                        <a:lnRef idx="2">
                          <a:schemeClr val="dk1"/>
                        </a:lnRef>
                        <a:fillRef idx="1">
                          <a:schemeClr val="lt1"/>
                        </a:fillRef>
                        <a:effectRef idx="0">
                          <a:schemeClr val="dk1"/>
                        </a:effectRef>
                        <a:fontRef idx="minor">
                          <a:schemeClr val="dk1"/>
                        </a:fontRef>
                      </wps:style>
                      <wps:txbx>
                        <w:txbxContent>
                          <w:p w14:paraId="70E6A594" w14:textId="77777777" w:rsidR="009A70C8" w:rsidRDefault="009A70C8" w:rsidP="009A70C8">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95D441" id="Oval 7" o:spid="_x0000_s1036" style="position:absolute;margin-left:2in;margin-top:38.4pt;width:26.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" fillcolor="white [3201]" strokecolor="black [3200]" strokeweight="1pt">
                <v:stroke joinstyle="miter"/>
                <v:textbox>
                  <w:txbxContent>
                    <w:p w14:paraId="70E6A594" w14:textId="77777777" w:rsidR="009A70C8" w:rsidRDefault="009A70C8" w:rsidP="009A70C8">
                      <w:r>
                        <w:t>2</w:t>
                      </w:r>
                    </w:p>
                  </w:txbxContent>
                </v:textbox>
              </v:oval>
            </w:pict>
          </mc:Fallback>
        </mc:AlternateContent>
      </w:r>
      <w:r>
        <w:rPr>
          <w:noProof/>
          <w:lang w:eastAsia="en-GB"/>
        </w:rPr>
        <mc:AlternateContent>
          <mc:Choice Requires="wps">
            <w:drawing>
              <wp:anchor distT="0" distB="0" distL="114300" distR="114300" simplePos="0" relativeHeight="251661312" behindDoc="0" locked="0" layoutInCell="1" allowOverlap="1" wp14:anchorId="4734513A" wp14:editId="3D1CF4D6">
                <wp:simplePos x="0" y="0"/>
                <wp:positionH relativeFrom="column">
                  <wp:posOffset>487680</wp:posOffset>
                </wp:positionH>
                <wp:positionV relativeFrom="paragraph">
                  <wp:posOffset>434340</wp:posOffset>
                </wp:positionV>
                <wp:extent cx="335280" cy="342900"/>
                <wp:effectExtent l="0" t="0" r="26670" b="19050"/>
                <wp:wrapNone/>
                <wp:docPr id="4" name="Oval 4"/>
                <wp:cNvGraphicFramePr/>
                <a:graphic xmlns:a="http://schemas.openxmlformats.org/drawingml/2006/main">
                  <a:graphicData uri="http://schemas.microsoft.com/office/word/2010/wordprocessingShape">
                    <wps:wsp>
                      <wps:cNvSpPr/>
                      <wps:spPr>
                        <a:xfrm>
                          <a:off x="0" y="0"/>
                          <a:ext cx="335280" cy="342900"/>
                        </a:xfrm>
                        <a:prstGeom prst="ellipse">
                          <a:avLst/>
                        </a:prstGeom>
                      </wps:spPr>
                      <wps:style>
                        <a:lnRef idx="2">
                          <a:schemeClr val="dk1"/>
                        </a:lnRef>
                        <a:fillRef idx="1">
                          <a:schemeClr val="lt1"/>
                        </a:fillRef>
                        <a:effectRef idx="0">
                          <a:schemeClr val="dk1"/>
                        </a:effectRef>
                        <a:fontRef idx="minor">
                          <a:schemeClr val="dk1"/>
                        </a:fontRef>
                      </wps:style>
                      <wps:txbx>
                        <w:txbxContent>
                          <w:p w14:paraId="330C55D5" w14:textId="77777777" w:rsidR="009A70C8" w:rsidRDefault="009A70C8" w:rsidP="009A70C8">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4513A" id="Oval 4" o:spid="_x0000_s1037" style="position:absolute;margin-left:38.4pt;margin-top:34.2pt;width:26.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" fillcolor="white [3201]" strokecolor="black [3200]" strokeweight="1pt">
                <v:stroke joinstyle="miter"/>
                <v:textbox>
                  <w:txbxContent>
                    <w:p w14:paraId="330C55D5" w14:textId="77777777" w:rsidR="009A70C8" w:rsidRDefault="009A70C8" w:rsidP="009A70C8">
                      <w:r>
                        <w:t>1</w:t>
                      </w:r>
                    </w:p>
                  </w:txbxContent>
                </v:textbox>
              </v:oval>
            </w:pict>
          </mc:Fallback>
        </mc:AlternateContent>
      </w:r>
      <w:r>
        <w:rPr>
          <w:noProof/>
          <w:lang w:eastAsia="en-GB"/>
        </w:rPr>
        <mc:AlternateContent>
          <mc:Choice Requires="wpg">
            <w:drawing>
              <wp:anchor distT="0" distB="0" distL="114300" distR="114300" simplePos="0" relativeHeight="251674624" behindDoc="0" locked="0" layoutInCell="1" allowOverlap="1" wp14:anchorId="1AE99C9F" wp14:editId="0F2A424D">
                <wp:simplePos x="0" y="0"/>
                <wp:positionH relativeFrom="margin">
                  <wp:align>left</wp:align>
                </wp:positionH>
                <wp:positionV relativeFrom="paragraph">
                  <wp:posOffset>38100</wp:posOffset>
                </wp:positionV>
                <wp:extent cx="2667000" cy="2667000"/>
                <wp:effectExtent l="38100" t="38100" r="0" b="57150"/>
                <wp:wrapNone/>
                <wp:docPr id="2" name="Group 2"/>
                <wp:cNvGraphicFramePr/>
                <a:graphic xmlns:a="http://schemas.openxmlformats.org/drawingml/2006/main">
                  <a:graphicData uri="http://schemas.microsoft.com/office/word/2010/wordprocessingGroup">
                    <wpg:wgp>
                      <wpg:cNvGrpSpPr/>
                      <wpg:grpSpPr>
                        <a:xfrm>
                          <a:off x="0" y="0"/>
                          <a:ext cx="2667000" cy="2667000"/>
                          <a:chOff x="0" y="0"/>
                          <a:chExt cx="2667000" cy="2667000"/>
                        </a:xfrm>
                      </wpg:grpSpPr>
                      <wps:wsp>
                        <wps:cNvPr id="3" name="Straight Arrow Connector 3"/>
                        <wps:cNvCnPr/>
                        <wps:spPr>
                          <a:xfrm rot="16200000" flipH="1">
                            <a:off x="1329690" y="-30480"/>
                            <a:ext cx="7620" cy="2667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flipH="1">
                            <a:off x="1337310" y="0"/>
                            <a:ext cx="7620" cy="2667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72AE4F8" id="Group 2" o:spid="_x0000_s1026" style="position:absolute;margin-left:0;margin-top:3pt;width:210pt;height:210pt;z-index:251674624;mso-position-horizontal:left;mso-position-horizontal-relative:margin" coordsize="26670,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">
                <v:shape id="Straight Arrow Connector 3" o:spid="_x0000_s1027" type="#_x0000_t32" style="position:absolute;left:13297;top:-305;width:76;height:2667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IqQcEAAADaAAAADwAAAGRycy9kb3ducmV2LnhtbESPUWvCQBCE3wv+h2MFX4peVCoSPUVC&#10;C1IoxegPWHLbJDS3F3JrjP++Jwh9HGbmG2a7H1yjeupC7dnAfJaAIi68rbk0cDl/TNeggiBbbDyT&#10;gTsF2O9GL1tMrb/xifpcShUhHFI0UIm0qdahqMhhmPmWOHo/vnMoUXalth3eItw1epEkK+2w5rhQ&#10;YUtZRcVvfnUGvr4LPg7y+va+xKw/8D37bCQ3ZjIeDhtQQoP8h5/tozWwhMeVeAP07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EipBwQAAANoAAAAPAAAAAAAAAAAAAAAA&#10;AKECAABkcnMvZG93bnJldi54bWxQSwUGAAAAAAQABAD5AAAAjwMAAAAA&#10;" strokecolor="black [3200]" strokeweight=".5pt">
                  <v:stroke startarrow="block" endarrow="block" joinstyle="miter"/>
                </v:shape>
                <v:shape id="Straight Arrow Connector 19" o:spid="_x0000_s1028" type="#_x0000_t32" style="position:absolute;left:13373;width:76;height:266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3ekcAAAADbAAAADwAAAGRycy9kb3ducmV2LnhtbERP24rCMBB9F/Yfwiz4pqnCinaNUhZW&#10;9sEL1v2AoRmbYjMpTaz1740g+DaHc53lure16Kj1lWMFk3ECgrhwuuJSwf/pdzQH4QOyxtoxKbiT&#10;h/XqY7DEVLsbH6nLQyliCPsUFZgQmlRKXxiy6MeuIY7c2bUWQ4RtKXWLtxhuazlNkpm0WHFsMNjQ&#10;j6Hikl+tAncprDPbap9ldve1yO+H7WbTKTX87LNvEIH68Ba/3H86zl/A85d4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K93pHAAAAA2wAAAA8AAAAAAAAAAAAAAAAA&#10;oQIAAGRycy9kb3ducmV2LnhtbFBLBQYAAAAABAAEAPkAAACOAwAAAAA=&#10;" strokecolor="black [3200]" strokeweight=".5pt">
                  <v:stroke startarrow="block" endarrow="block" joinstyle="miter"/>
                </v:shape>
                <w10:wrap anchorx="margin"/>
              </v:group>
            </w:pict>
          </mc:Fallback>
        </mc:AlternateContent>
      </w:r>
    </w:p>
    <w:p w14:paraId="04748F52" w14:textId="1B5471EA" w:rsidR="00260DBC" w:rsidRDefault="00260DBC" w:rsidP="003044E8">
      <w:pPr>
        <w:spacing w:after="160" w:line="259" w:lineRule="auto"/>
        <w:rPr>
          <w:sz w:val="28"/>
          <w:szCs w:val="28"/>
        </w:rPr>
      </w:pPr>
      <w:r>
        <w:rPr>
          <w:sz w:val="28"/>
          <w:szCs w:val="28"/>
        </w:rPr>
        <w:br w:type="page"/>
      </w:r>
    </w:p>
    <w:p w14:paraId="46B9C683" w14:textId="77777777" w:rsidR="00260DBC" w:rsidRDefault="00260DBC" w:rsidP="00260DBC">
      <w:pPr>
        <w:jc w:val="both"/>
        <w:rPr>
          <w:rFonts w:cstheme="minorHAnsi"/>
          <w:sz w:val="28"/>
          <w:szCs w:val="28"/>
        </w:rPr>
      </w:pPr>
      <w:r>
        <w:rPr>
          <w:noProof/>
          <w:lang w:eastAsia="en-GB"/>
        </w:rPr>
        <w:lastRenderedPageBreak/>
        <w:drawing>
          <wp:anchor distT="0" distB="0" distL="114300" distR="114300" simplePos="0" relativeHeight="251659264" behindDoc="0" locked="0" layoutInCell="1" allowOverlap="1" wp14:anchorId="6001769E" wp14:editId="6ECEC7AA">
            <wp:simplePos x="914400" y="5417820"/>
            <wp:positionH relativeFrom="column">
              <wp:align>left</wp:align>
            </wp:positionH>
            <wp:positionV relativeFrom="paragraph">
              <wp:align>top</wp:align>
            </wp:positionV>
            <wp:extent cx="4572000" cy="2743200"/>
            <wp:effectExtent l="0" t="0" r="0" b="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cstheme="minorHAnsi"/>
          <w:sz w:val="28"/>
          <w:szCs w:val="28"/>
        </w:rPr>
        <w:br w:type="textWrapping" w:clear="all"/>
      </w:r>
    </w:p>
    <w:p w14:paraId="01AC36AA" w14:textId="736EAB0B" w:rsidR="000C7F08" w:rsidRDefault="00260DBC" w:rsidP="009A1611">
      <w:pPr>
        <w:jc w:val="both"/>
        <w:rPr>
          <w:sz w:val="28"/>
          <w:szCs w:val="28"/>
        </w:rPr>
      </w:pPr>
      <w:r>
        <w:rPr>
          <w:noProof/>
          <w:lang w:eastAsia="en-GB"/>
        </w:rPr>
        <w:drawing>
          <wp:inline distT="0" distB="0" distL="0" distR="0" wp14:anchorId="77A4C858" wp14:editId="78C1CF54">
            <wp:extent cx="4572000" cy="2725420"/>
            <wp:effectExtent l="0" t="0" r="0" b="1778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D4F7BA" w14:textId="77777777" w:rsidR="00260DBC" w:rsidRDefault="00260DBC" w:rsidP="009A1611">
      <w:pPr>
        <w:jc w:val="both"/>
        <w:rPr>
          <w:sz w:val="28"/>
          <w:szCs w:val="28"/>
        </w:rPr>
      </w:pPr>
    </w:p>
    <w:p w14:paraId="12FAE179" w14:textId="77777777" w:rsidR="00260DBC" w:rsidRDefault="00260DBC" w:rsidP="009A1611">
      <w:pPr>
        <w:jc w:val="both"/>
        <w:rPr>
          <w:sz w:val="28"/>
          <w:szCs w:val="28"/>
        </w:rPr>
      </w:pPr>
      <w:r w:rsidRPr="001440E4">
        <w:rPr>
          <w:rFonts w:cstheme="minorHAnsi"/>
          <w:noProof/>
          <w:sz w:val="28"/>
          <w:szCs w:val="28"/>
          <w:lang w:eastAsia="en-GB"/>
        </w:rPr>
        <w:lastRenderedPageBreak/>
        <w:drawing>
          <wp:inline distT="0" distB="0" distL="0" distR="0" wp14:anchorId="7424B301" wp14:editId="5CAAF22C">
            <wp:extent cx="5667766" cy="2956142"/>
            <wp:effectExtent l="0" t="0" r="9525" b="15875"/>
            <wp:docPr id="4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C9C9B2" w14:textId="77777777" w:rsidR="00260DBC" w:rsidRDefault="00260DBC" w:rsidP="009A1611">
      <w:pPr>
        <w:jc w:val="both"/>
        <w:rPr>
          <w:sz w:val="28"/>
          <w:szCs w:val="28"/>
        </w:rPr>
      </w:pPr>
    </w:p>
    <w:p w14:paraId="225E804C" w14:textId="1456419F" w:rsidR="00260DBC" w:rsidRDefault="00260DBC" w:rsidP="009A1611">
      <w:pPr>
        <w:jc w:val="both"/>
        <w:rPr>
          <w:sz w:val="28"/>
          <w:szCs w:val="28"/>
        </w:rPr>
      </w:pPr>
      <w:r>
        <w:rPr>
          <w:noProof/>
          <w:lang w:eastAsia="en-GB"/>
        </w:rPr>
        <w:drawing>
          <wp:inline distT="0" distB="0" distL="0" distR="0" wp14:anchorId="48B3243B" wp14:editId="784A4737">
            <wp:extent cx="5657850" cy="30861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20268F" w14:textId="77777777" w:rsidR="00260DBC" w:rsidRDefault="00260DBC">
      <w:pPr>
        <w:spacing w:after="160" w:line="259" w:lineRule="auto"/>
        <w:rPr>
          <w:sz w:val="28"/>
          <w:szCs w:val="28"/>
        </w:rPr>
      </w:pPr>
      <w:r>
        <w:rPr>
          <w:sz w:val="28"/>
          <w:szCs w:val="28"/>
        </w:rPr>
        <w:br w:type="page"/>
      </w:r>
    </w:p>
    <w:tbl>
      <w:tblPr>
        <w:tblW w:w="10482" w:type="dxa"/>
        <w:tblLook w:val="04A0" w:firstRow="1" w:lastRow="0" w:firstColumn="1" w:lastColumn="0" w:noHBand="0" w:noVBand="1"/>
      </w:tblPr>
      <w:tblGrid>
        <w:gridCol w:w="1018"/>
        <w:gridCol w:w="660"/>
        <w:gridCol w:w="18"/>
        <w:gridCol w:w="1138"/>
        <w:gridCol w:w="260"/>
        <w:gridCol w:w="202"/>
        <w:gridCol w:w="828"/>
        <w:gridCol w:w="388"/>
        <w:gridCol w:w="376"/>
        <w:gridCol w:w="873"/>
        <w:gridCol w:w="119"/>
        <w:gridCol w:w="791"/>
        <w:gridCol w:w="575"/>
        <w:gridCol w:w="222"/>
        <w:gridCol w:w="222"/>
        <w:gridCol w:w="174"/>
        <w:gridCol w:w="48"/>
        <w:gridCol w:w="34"/>
        <w:gridCol w:w="140"/>
        <w:gridCol w:w="222"/>
        <w:gridCol w:w="222"/>
        <w:gridCol w:w="222"/>
        <w:gridCol w:w="302"/>
        <w:gridCol w:w="1428"/>
      </w:tblGrid>
      <w:tr w:rsidR="00260DBC" w:rsidRPr="0083015C" w14:paraId="7DE2D0E1" w14:textId="77777777" w:rsidTr="00E51B3B">
        <w:trPr>
          <w:gridAfter w:val="1"/>
          <w:wAfter w:w="1428" w:type="dxa"/>
          <w:trHeight w:val="368"/>
        </w:trPr>
        <w:tc>
          <w:tcPr>
            <w:tcW w:w="7946" w:type="dxa"/>
            <w:gridSpan w:val="18"/>
            <w:tcBorders>
              <w:top w:val="nil"/>
              <w:left w:val="nil"/>
              <w:bottom w:val="nil"/>
              <w:right w:val="nil"/>
            </w:tcBorders>
            <w:shd w:val="clear" w:color="auto" w:fill="auto"/>
            <w:noWrap/>
            <w:vAlign w:val="bottom"/>
            <w:hideMark/>
          </w:tcPr>
          <w:p w14:paraId="60C08403" w14:textId="59468798" w:rsidR="00260DBC" w:rsidRPr="0083015C" w:rsidRDefault="00260DBC" w:rsidP="00260DBC">
            <w:pPr>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lastRenderedPageBreak/>
              <w:t>Table 1</w:t>
            </w:r>
            <w:r w:rsidRPr="0083015C">
              <w:rPr>
                <w:rFonts w:ascii="Calibri" w:eastAsia="Times New Roman" w:hAnsi="Calibri" w:cs="Calibri"/>
                <w:b/>
                <w:bCs/>
                <w:color w:val="5F735C"/>
                <w:lang w:eastAsia="en-GB"/>
              </w:rPr>
              <w:t xml:space="preserve">:  High, medium and low levels of onshore and </w:t>
            </w:r>
            <w:r w:rsidR="0031077B">
              <w:rPr>
                <w:rFonts w:ascii="Calibri" w:eastAsia="Times New Roman" w:hAnsi="Calibri" w:cs="Calibri"/>
                <w:b/>
                <w:bCs/>
                <w:color w:val="5F735C"/>
                <w:lang w:eastAsia="en-GB"/>
              </w:rPr>
              <w:t>offshore</w:t>
            </w:r>
            <w:r w:rsidRPr="0083015C">
              <w:rPr>
                <w:rFonts w:ascii="Calibri" w:eastAsia="Times New Roman" w:hAnsi="Calibri" w:cs="Calibri"/>
                <w:b/>
                <w:bCs/>
                <w:color w:val="5F735C"/>
                <w:lang w:eastAsia="en-GB"/>
              </w:rPr>
              <w:t xml:space="preserve"> overseas</w:t>
            </w:r>
          </w:p>
        </w:tc>
        <w:tc>
          <w:tcPr>
            <w:tcW w:w="1108" w:type="dxa"/>
            <w:gridSpan w:val="5"/>
            <w:tcBorders>
              <w:top w:val="nil"/>
              <w:left w:val="nil"/>
              <w:bottom w:val="nil"/>
              <w:right w:val="nil"/>
            </w:tcBorders>
            <w:shd w:val="clear" w:color="auto" w:fill="auto"/>
            <w:noWrap/>
            <w:vAlign w:val="bottom"/>
            <w:hideMark/>
          </w:tcPr>
          <w:p w14:paraId="54954772" w14:textId="77777777" w:rsidR="00260DBC" w:rsidRPr="0083015C" w:rsidRDefault="00260DBC" w:rsidP="00260DBC">
            <w:pPr>
              <w:spacing w:after="0" w:line="240" w:lineRule="auto"/>
              <w:rPr>
                <w:rFonts w:ascii="Calibri" w:eastAsia="Times New Roman" w:hAnsi="Calibri" w:cs="Calibri"/>
                <w:b/>
                <w:bCs/>
                <w:color w:val="5F735C"/>
                <w:lang w:eastAsia="en-GB"/>
              </w:rPr>
            </w:pPr>
          </w:p>
        </w:tc>
      </w:tr>
      <w:tr w:rsidR="00260DBC" w:rsidRPr="0083015C" w14:paraId="60B7441B" w14:textId="77777777" w:rsidTr="00E51B3B">
        <w:trPr>
          <w:gridAfter w:val="1"/>
          <w:wAfter w:w="1428" w:type="dxa"/>
          <w:trHeight w:val="368"/>
        </w:trPr>
        <w:tc>
          <w:tcPr>
            <w:tcW w:w="7946" w:type="dxa"/>
            <w:gridSpan w:val="18"/>
            <w:tcBorders>
              <w:top w:val="nil"/>
              <w:left w:val="nil"/>
              <w:bottom w:val="nil"/>
              <w:right w:val="nil"/>
            </w:tcBorders>
            <w:shd w:val="clear" w:color="auto" w:fill="auto"/>
            <w:noWrap/>
            <w:vAlign w:val="bottom"/>
            <w:hideMark/>
          </w:tcPr>
          <w:p w14:paraId="01743A3C" w14:textId="77777777" w:rsidR="00260DBC" w:rsidRPr="0083015C" w:rsidRDefault="00260DBC" w:rsidP="00260DBC">
            <w:pPr>
              <w:spacing w:after="0" w:line="240" w:lineRule="auto"/>
              <w:rPr>
                <w:rFonts w:ascii="Calibri" w:eastAsia="Times New Roman" w:hAnsi="Calibri" w:cs="Calibri"/>
                <w:b/>
                <w:bCs/>
                <w:color w:val="5F735C"/>
                <w:lang w:eastAsia="en-GB"/>
              </w:rPr>
            </w:pPr>
            <w:r w:rsidRPr="0083015C">
              <w:rPr>
                <w:rFonts w:ascii="Calibri" w:eastAsia="Times New Roman" w:hAnsi="Calibri" w:cs="Calibri"/>
                <w:b/>
                <w:bCs/>
                <w:color w:val="5F735C"/>
                <w:lang w:eastAsia="en-GB"/>
              </w:rPr>
              <w:t>student enrolments amo</w:t>
            </w:r>
            <w:r>
              <w:rPr>
                <w:rFonts w:ascii="Calibri" w:eastAsia="Times New Roman" w:hAnsi="Calibri" w:cs="Calibri"/>
                <w:b/>
                <w:bCs/>
                <w:color w:val="5F735C"/>
                <w:lang w:eastAsia="en-GB"/>
              </w:rPr>
              <w:t>ng UK universities (rounded per</w:t>
            </w:r>
            <w:r w:rsidRPr="0083015C">
              <w:rPr>
                <w:rFonts w:ascii="Calibri" w:eastAsia="Times New Roman" w:hAnsi="Calibri" w:cs="Calibri"/>
                <w:b/>
                <w:bCs/>
                <w:color w:val="5F735C"/>
                <w:lang w:eastAsia="en-GB"/>
              </w:rPr>
              <w:t>centages)</w:t>
            </w:r>
          </w:p>
        </w:tc>
        <w:tc>
          <w:tcPr>
            <w:tcW w:w="1108" w:type="dxa"/>
            <w:gridSpan w:val="5"/>
            <w:tcBorders>
              <w:top w:val="nil"/>
              <w:left w:val="nil"/>
              <w:bottom w:val="nil"/>
              <w:right w:val="nil"/>
            </w:tcBorders>
            <w:shd w:val="clear" w:color="auto" w:fill="auto"/>
            <w:noWrap/>
            <w:vAlign w:val="bottom"/>
            <w:hideMark/>
          </w:tcPr>
          <w:p w14:paraId="62EAB1E3" w14:textId="77777777" w:rsidR="00260DBC" w:rsidRPr="0083015C" w:rsidRDefault="00260DBC" w:rsidP="00260DBC">
            <w:pPr>
              <w:spacing w:after="0" w:line="240" w:lineRule="auto"/>
              <w:rPr>
                <w:rFonts w:ascii="Calibri" w:eastAsia="Times New Roman" w:hAnsi="Calibri" w:cs="Calibri"/>
                <w:b/>
                <w:bCs/>
                <w:color w:val="5F735C"/>
                <w:lang w:eastAsia="en-GB"/>
              </w:rPr>
            </w:pPr>
          </w:p>
        </w:tc>
      </w:tr>
      <w:tr w:rsidR="00260DBC" w:rsidRPr="0083015C" w14:paraId="2862D778" w14:textId="77777777" w:rsidTr="00E51B3B">
        <w:trPr>
          <w:gridAfter w:val="1"/>
          <w:wAfter w:w="1428" w:type="dxa"/>
          <w:trHeight w:val="368"/>
        </w:trPr>
        <w:tc>
          <w:tcPr>
            <w:tcW w:w="1696" w:type="dxa"/>
            <w:gridSpan w:val="3"/>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71BCA1AA"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5994" w:type="dxa"/>
            <w:gridSpan w:val="12"/>
            <w:tcBorders>
              <w:top w:val="single" w:sz="4" w:space="0" w:color="FFFFFF"/>
              <w:left w:val="nil"/>
              <w:bottom w:val="single" w:sz="4" w:space="0" w:color="FFFFFF"/>
              <w:right w:val="single" w:sz="4" w:space="0" w:color="FFFFFF"/>
            </w:tcBorders>
            <w:shd w:val="clear" w:color="000000" w:fill="49723B"/>
            <w:noWrap/>
            <w:vAlign w:val="bottom"/>
            <w:hideMark/>
          </w:tcPr>
          <w:p w14:paraId="6C92D923"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xml:space="preserve">Onshore </w:t>
            </w:r>
          </w:p>
        </w:tc>
        <w:tc>
          <w:tcPr>
            <w:tcW w:w="256" w:type="dxa"/>
            <w:gridSpan w:val="3"/>
            <w:tcBorders>
              <w:top w:val="nil"/>
              <w:left w:val="nil"/>
              <w:bottom w:val="nil"/>
              <w:right w:val="nil"/>
            </w:tcBorders>
            <w:shd w:val="clear" w:color="auto" w:fill="auto"/>
            <w:noWrap/>
            <w:vAlign w:val="bottom"/>
            <w:hideMark/>
          </w:tcPr>
          <w:p w14:paraId="58A10096"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p>
        </w:tc>
        <w:tc>
          <w:tcPr>
            <w:tcW w:w="1108" w:type="dxa"/>
            <w:gridSpan w:val="5"/>
            <w:tcBorders>
              <w:top w:val="nil"/>
              <w:left w:val="nil"/>
              <w:bottom w:val="nil"/>
              <w:right w:val="nil"/>
            </w:tcBorders>
            <w:shd w:val="clear" w:color="auto" w:fill="auto"/>
            <w:noWrap/>
            <w:vAlign w:val="bottom"/>
            <w:hideMark/>
          </w:tcPr>
          <w:p w14:paraId="33A0517C" w14:textId="77777777" w:rsidR="00260DBC" w:rsidRPr="0083015C" w:rsidRDefault="00260DBC" w:rsidP="00260DBC">
            <w:pPr>
              <w:spacing w:after="0" w:line="240" w:lineRule="auto"/>
              <w:rPr>
                <w:rFonts w:ascii="Times New Roman" w:eastAsia="Times New Roman" w:hAnsi="Times New Roman" w:cs="Times New Roman"/>
                <w:sz w:val="20"/>
                <w:szCs w:val="20"/>
                <w:lang w:eastAsia="en-GB"/>
              </w:rPr>
            </w:pPr>
          </w:p>
        </w:tc>
      </w:tr>
      <w:tr w:rsidR="00260DBC" w:rsidRPr="0083015C" w14:paraId="40B68983" w14:textId="77777777" w:rsidTr="00E51B3B">
        <w:trPr>
          <w:gridAfter w:val="1"/>
          <w:wAfter w:w="1428" w:type="dxa"/>
          <w:trHeight w:val="368"/>
        </w:trPr>
        <w:tc>
          <w:tcPr>
            <w:tcW w:w="1696" w:type="dxa"/>
            <w:gridSpan w:val="3"/>
            <w:tcBorders>
              <w:top w:val="nil"/>
              <w:left w:val="single" w:sz="4" w:space="0" w:color="FFFFFF"/>
              <w:bottom w:val="single" w:sz="4" w:space="0" w:color="FFFFFF"/>
              <w:right w:val="single" w:sz="4" w:space="0" w:color="FFFFFF"/>
            </w:tcBorders>
            <w:shd w:val="clear" w:color="000000" w:fill="49723B"/>
            <w:noWrap/>
            <w:vAlign w:val="bottom"/>
            <w:hideMark/>
          </w:tcPr>
          <w:p w14:paraId="72F0CCC4"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1600" w:type="dxa"/>
            <w:gridSpan w:val="3"/>
            <w:tcBorders>
              <w:top w:val="nil"/>
              <w:left w:val="nil"/>
              <w:bottom w:val="single" w:sz="4" w:space="0" w:color="FFFFFF"/>
              <w:right w:val="single" w:sz="4" w:space="0" w:color="FFFFFF"/>
            </w:tcBorders>
            <w:shd w:val="clear" w:color="000000" w:fill="49723B"/>
            <w:noWrap/>
            <w:vAlign w:val="bottom"/>
            <w:hideMark/>
          </w:tcPr>
          <w:p w14:paraId="1AEC618F"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Level</w:t>
            </w:r>
          </w:p>
        </w:tc>
        <w:tc>
          <w:tcPr>
            <w:tcW w:w="828" w:type="dxa"/>
            <w:tcBorders>
              <w:top w:val="nil"/>
              <w:left w:val="nil"/>
              <w:bottom w:val="single" w:sz="4" w:space="0" w:color="FFFFFF"/>
              <w:right w:val="single" w:sz="4" w:space="0" w:color="FFFFFF"/>
            </w:tcBorders>
            <w:shd w:val="clear" w:color="000000" w:fill="49723B"/>
            <w:noWrap/>
            <w:vAlign w:val="bottom"/>
            <w:hideMark/>
          </w:tcPr>
          <w:p w14:paraId="79676338"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Low</w:t>
            </w:r>
          </w:p>
        </w:tc>
        <w:tc>
          <w:tcPr>
            <w:tcW w:w="1637" w:type="dxa"/>
            <w:gridSpan w:val="3"/>
            <w:tcBorders>
              <w:top w:val="nil"/>
              <w:left w:val="nil"/>
              <w:bottom w:val="single" w:sz="4" w:space="0" w:color="FFFFFF"/>
              <w:right w:val="single" w:sz="4" w:space="0" w:color="FFFFFF"/>
            </w:tcBorders>
            <w:shd w:val="clear" w:color="000000" w:fill="49723B"/>
            <w:noWrap/>
            <w:vAlign w:val="bottom"/>
            <w:hideMark/>
          </w:tcPr>
          <w:p w14:paraId="0E5644FF"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Medium</w:t>
            </w:r>
          </w:p>
        </w:tc>
        <w:tc>
          <w:tcPr>
            <w:tcW w:w="910" w:type="dxa"/>
            <w:gridSpan w:val="2"/>
            <w:tcBorders>
              <w:top w:val="nil"/>
              <w:left w:val="nil"/>
              <w:bottom w:val="single" w:sz="4" w:space="0" w:color="FFFFFF"/>
              <w:right w:val="single" w:sz="4" w:space="0" w:color="FFFFFF"/>
            </w:tcBorders>
            <w:shd w:val="clear" w:color="000000" w:fill="49723B"/>
            <w:noWrap/>
            <w:vAlign w:val="bottom"/>
            <w:hideMark/>
          </w:tcPr>
          <w:p w14:paraId="1EA1A29C"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High</w:t>
            </w:r>
          </w:p>
        </w:tc>
        <w:tc>
          <w:tcPr>
            <w:tcW w:w="1019" w:type="dxa"/>
            <w:gridSpan w:val="3"/>
            <w:tcBorders>
              <w:top w:val="nil"/>
              <w:left w:val="nil"/>
              <w:bottom w:val="single" w:sz="4" w:space="0" w:color="FFFFFF"/>
              <w:right w:val="single" w:sz="4" w:space="0" w:color="FFFFFF"/>
            </w:tcBorders>
            <w:shd w:val="clear" w:color="000000" w:fill="49723B"/>
            <w:noWrap/>
            <w:vAlign w:val="bottom"/>
            <w:hideMark/>
          </w:tcPr>
          <w:p w14:paraId="39E80873"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Total</w:t>
            </w:r>
          </w:p>
        </w:tc>
        <w:tc>
          <w:tcPr>
            <w:tcW w:w="256" w:type="dxa"/>
            <w:gridSpan w:val="3"/>
            <w:tcBorders>
              <w:top w:val="nil"/>
              <w:left w:val="nil"/>
              <w:bottom w:val="nil"/>
              <w:right w:val="nil"/>
            </w:tcBorders>
            <w:shd w:val="clear" w:color="auto" w:fill="auto"/>
            <w:noWrap/>
            <w:vAlign w:val="bottom"/>
            <w:hideMark/>
          </w:tcPr>
          <w:p w14:paraId="1598EC16"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p>
        </w:tc>
        <w:tc>
          <w:tcPr>
            <w:tcW w:w="1108" w:type="dxa"/>
            <w:gridSpan w:val="5"/>
            <w:tcBorders>
              <w:top w:val="nil"/>
              <w:left w:val="nil"/>
              <w:bottom w:val="nil"/>
              <w:right w:val="nil"/>
            </w:tcBorders>
            <w:shd w:val="clear" w:color="auto" w:fill="auto"/>
            <w:noWrap/>
            <w:vAlign w:val="bottom"/>
            <w:hideMark/>
          </w:tcPr>
          <w:p w14:paraId="26A5C656" w14:textId="77777777" w:rsidR="00260DBC" w:rsidRPr="0083015C" w:rsidRDefault="00260DBC" w:rsidP="00260DBC">
            <w:pPr>
              <w:spacing w:after="0" w:line="240" w:lineRule="auto"/>
              <w:rPr>
                <w:rFonts w:ascii="Times New Roman" w:eastAsia="Times New Roman" w:hAnsi="Times New Roman" w:cs="Times New Roman"/>
                <w:sz w:val="20"/>
                <w:szCs w:val="20"/>
                <w:lang w:eastAsia="en-GB"/>
              </w:rPr>
            </w:pPr>
          </w:p>
        </w:tc>
      </w:tr>
      <w:tr w:rsidR="00260DBC" w:rsidRPr="0083015C" w14:paraId="52E580F2" w14:textId="77777777" w:rsidTr="00E51B3B">
        <w:trPr>
          <w:gridAfter w:val="1"/>
          <w:wAfter w:w="1428" w:type="dxa"/>
          <w:trHeight w:val="368"/>
        </w:trPr>
        <w:tc>
          <w:tcPr>
            <w:tcW w:w="1696" w:type="dxa"/>
            <w:gridSpan w:val="3"/>
            <w:vMerge w:val="restart"/>
            <w:tcBorders>
              <w:top w:val="nil"/>
              <w:left w:val="single" w:sz="4" w:space="0" w:color="FFFFFF"/>
              <w:bottom w:val="single" w:sz="4" w:space="0" w:color="FFFFFF"/>
              <w:right w:val="single" w:sz="4" w:space="0" w:color="FFFFFF"/>
            </w:tcBorders>
            <w:shd w:val="clear" w:color="000000" w:fill="49723B"/>
            <w:noWrap/>
            <w:vAlign w:val="center"/>
            <w:hideMark/>
          </w:tcPr>
          <w:p w14:paraId="35C6503D" w14:textId="27CB80C4" w:rsidR="00260DBC" w:rsidRPr="0083015C" w:rsidRDefault="0031077B" w:rsidP="00260DBC">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Offshore</w:t>
            </w:r>
          </w:p>
        </w:tc>
        <w:tc>
          <w:tcPr>
            <w:tcW w:w="1600" w:type="dxa"/>
            <w:gridSpan w:val="3"/>
            <w:tcBorders>
              <w:top w:val="nil"/>
              <w:left w:val="nil"/>
              <w:bottom w:val="single" w:sz="4" w:space="0" w:color="FFFFFF"/>
              <w:right w:val="single" w:sz="4" w:space="0" w:color="FFFFFF"/>
            </w:tcBorders>
            <w:shd w:val="clear" w:color="000000" w:fill="EFEAE6"/>
            <w:noWrap/>
            <w:vAlign w:val="bottom"/>
            <w:hideMark/>
          </w:tcPr>
          <w:p w14:paraId="14011259"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High</w:t>
            </w:r>
          </w:p>
        </w:tc>
        <w:tc>
          <w:tcPr>
            <w:tcW w:w="828" w:type="dxa"/>
            <w:tcBorders>
              <w:top w:val="nil"/>
              <w:left w:val="nil"/>
              <w:bottom w:val="single" w:sz="4" w:space="0" w:color="FFFFFF"/>
              <w:right w:val="single" w:sz="4" w:space="0" w:color="FFFFFF"/>
            </w:tcBorders>
            <w:shd w:val="clear" w:color="000000" w:fill="EFEAE6"/>
            <w:noWrap/>
            <w:vAlign w:val="bottom"/>
            <w:hideMark/>
          </w:tcPr>
          <w:p w14:paraId="0829A02D"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5</w:t>
            </w:r>
          </w:p>
        </w:tc>
        <w:tc>
          <w:tcPr>
            <w:tcW w:w="1637" w:type="dxa"/>
            <w:gridSpan w:val="3"/>
            <w:tcBorders>
              <w:top w:val="nil"/>
              <w:left w:val="nil"/>
              <w:bottom w:val="single" w:sz="4" w:space="0" w:color="FFFFFF"/>
              <w:right w:val="single" w:sz="4" w:space="0" w:color="FFFFFF"/>
            </w:tcBorders>
            <w:shd w:val="clear" w:color="000000" w:fill="EFEAE6"/>
            <w:noWrap/>
            <w:vAlign w:val="bottom"/>
            <w:hideMark/>
          </w:tcPr>
          <w:p w14:paraId="3FF28888"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10</w:t>
            </w:r>
          </w:p>
        </w:tc>
        <w:tc>
          <w:tcPr>
            <w:tcW w:w="910" w:type="dxa"/>
            <w:gridSpan w:val="2"/>
            <w:tcBorders>
              <w:top w:val="nil"/>
              <w:left w:val="nil"/>
              <w:bottom w:val="single" w:sz="4" w:space="0" w:color="FFFFFF"/>
              <w:right w:val="single" w:sz="4" w:space="0" w:color="FFFFFF"/>
            </w:tcBorders>
            <w:shd w:val="clear" w:color="000000" w:fill="EFEAE6"/>
            <w:noWrap/>
            <w:vAlign w:val="bottom"/>
            <w:hideMark/>
          </w:tcPr>
          <w:p w14:paraId="566CAD5C"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9</w:t>
            </w:r>
          </w:p>
        </w:tc>
        <w:tc>
          <w:tcPr>
            <w:tcW w:w="1019" w:type="dxa"/>
            <w:gridSpan w:val="3"/>
            <w:tcBorders>
              <w:top w:val="nil"/>
              <w:left w:val="nil"/>
              <w:bottom w:val="single" w:sz="4" w:space="0" w:color="FFFFFF"/>
              <w:right w:val="single" w:sz="4" w:space="0" w:color="FFFFFF"/>
            </w:tcBorders>
            <w:shd w:val="clear" w:color="000000" w:fill="EFEAE6"/>
            <w:noWrap/>
            <w:vAlign w:val="bottom"/>
            <w:hideMark/>
          </w:tcPr>
          <w:p w14:paraId="2243881A"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24</w:t>
            </w:r>
          </w:p>
        </w:tc>
        <w:tc>
          <w:tcPr>
            <w:tcW w:w="256" w:type="dxa"/>
            <w:gridSpan w:val="3"/>
            <w:tcBorders>
              <w:top w:val="nil"/>
              <w:left w:val="nil"/>
              <w:bottom w:val="nil"/>
              <w:right w:val="nil"/>
            </w:tcBorders>
            <w:shd w:val="clear" w:color="auto" w:fill="auto"/>
            <w:noWrap/>
            <w:vAlign w:val="bottom"/>
            <w:hideMark/>
          </w:tcPr>
          <w:p w14:paraId="13C91395" w14:textId="77777777" w:rsidR="00260DBC" w:rsidRPr="0083015C" w:rsidRDefault="00260DBC" w:rsidP="00260DBC">
            <w:pPr>
              <w:spacing w:after="0" w:line="240" w:lineRule="auto"/>
              <w:jc w:val="center"/>
              <w:rPr>
                <w:rFonts w:ascii="Calibri" w:eastAsia="Times New Roman" w:hAnsi="Calibri" w:cs="Calibri"/>
                <w:color w:val="000000"/>
                <w:lang w:eastAsia="en-GB"/>
              </w:rPr>
            </w:pPr>
          </w:p>
        </w:tc>
        <w:tc>
          <w:tcPr>
            <w:tcW w:w="1108" w:type="dxa"/>
            <w:gridSpan w:val="5"/>
            <w:tcBorders>
              <w:top w:val="nil"/>
              <w:left w:val="nil"/>
              <w:bottom w:val="nil"/>
              <w:right w:val="nil"/>
            </w:tcBorders>
            <w:shd w:val="clear" w:color="auto" w:fill="auto"/>
            <w:noWrap/>
            <w:vAlign w:val="bottom"/>
            <w:hideMark/>
          </w:tcPr>
          <w:p w14:paraId="2400EF35" w14:textId="77777777" w:rsidR="00260DBC" w:rsidRPr="0083015C" w:rsidRDefault="00260DBC" w:rsidP="00260DBC">
            <w:pPr>
              <w:spacing w:after="0" w:line="240" w:lineRule="auto"/>
              <w:rPr>
                <w:rFonts w:ascii="Times New Roman" w:eastAsia="Times New Roman" w:hAnsi="Times New Roman" w:cs="Times New Roman"/>
                <w:sz w:val="20"/>
                <w:szCs w:val="20"/>
                <w:lang w:eastAsia="en-GB"/>
              </w:rPr>
            </w:pPr>
          </w:p>
        </w:tc>
      </w:tr>
      <w:tr w:rsidR="00260DBC" w:rsidRPr="0083015C" w14:paraId="36251176" w14:textId="77777777" w:rsidTr="00E51B3B">
        <w:trPr>
          <w:gridAfter w:val="1"/>
          <w:wAfter w:w="1428" w:type="dxa"/>
          <w:trHeight w:val="368"/>
        </w:trPr>
        <w:tc>
          <w:tcPr>
            <w:tcW w:w="1696" w:type="dxa"/>
            <w:gridSpan w:val="3"/>
            <w:vMerge/>
            <w:tcBorders>
              <w:top w:val="nil"/>
              <w:left w:val="single" w:sz="4" w:space="0" w:color="FFFFFF"/>
              <w:bottom w:val="single" w:sz="4" w:space="0" w:color="FFFFFF"/>
              <w:right w:val="single" w:sz="4" w:space="0" w:color="FFFFFF"/>
            </w:tcBorders>
            <w:vAlign w:val="center"/>
            <w:hideMark/>
          </w:tcPr>
          <w:p w14:paraId="4990A2B3" w14:textId="77777777" w:rsidR="00260DBC" w:rsidRPr="0083015C" w:rsidRDefault="00260DBC" w:rsidP="00260DBC">
            <w:pPr>
              <w:spacing w:after="0" w:line="240" w:lineRule="auto"/>
              <w:rPr>
                <w:rFonts w:ascii="Calibri" w:eastAsia="Times New Roman" w:hAnsi="Calibri" w:cs="Calibri"/>
                <w:b/>
                <w:bCs/>
                <w:color w:val="FFFFFF"/>
                <w:lang w:eastAsia="en-GB"/>
              </w:rPr>
            </w:pPr>
          </w:p>
        </w:tc>
        <w:tc>
          <w:tcPr>
            <w:tcW w:w="1600" w:type="dxa"/>
            <w:gridSpan w:val="3"/>
            <w:tcBorders>
              <w:top w:val="nil"/>
              <w:left w:val="nil"/>
              <w:bottom w:val="single" w:sz="4" w:space="0" w:color="FFFFFF"/>
              <w:right w:val="single" w:sz="4" w:space="0" w:color="FFFFFF"/>
            </w:tcBorders>
            <w:shd w:val="clear" w:color="000000" w:fill="EFEAE6"/>
            <w:noWrap/>
            <w:vAlign w:val="bottom"/>
            <w:hideMark/>
          </w:tcPr>
          <w:p w14:paraId="4CBE7E40"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Medium</w:t>
            </w:r>
          </w:p>
        </w:tc>
        <w:tc>
          <w:tcPr>
            <w:tcW w:w="828" w:type="dxa"/>
            <w:tcBorders>
              <w:top w:val="nil"/>
              <w:left w:val="nil"/>
              <w:bottom w:val="single" w:sz="4" w:space="0" w:color="FFFFFF"/>
              <w:right w:val="single" w:sz="4" w:space="0" w:color="FFFFFF"/>
            </w:tcBorders>
            <w:shd w:val="clear" w:color="000000" w:fill="EFEAE6"/>
            <w:noWrap/>
            <w:vAlign w:val="bottom"/>
            <w:hideMark/>
          </w:tcPr>
          <w:p w14:paraId="42FE3331"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7</w:t>
            </w:r>
          </w:p>
        </w:tc>
        <w:tc>
          <w:tcPr>
            <w:tcW w:w="1637" w:type="dxa"/>
            <w:gridSpan w:val="3"/>
            <w:tcBorders>
              <w:top w:val="nil"/>
              <w:left w:val="nil"/>
              <w:bottom w:val="single" w:sz="4" w:space="0" w:color="FFFFFF"/>
              <w:right w:val="single" w:sz="4" w:space="0" w:color="FFFFFF"/>
            </w:tcBorders>
            <w:shd w:val="clear" w:color="000000" w:fill="EFEAE6"/>
            <w:noWrap/>
            <w:vAlign w:val="bottom"/>
            <w:hideMark/>
          </w:tcPr>
          <w:p w14:paraId="2CFEC5C1"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12</w:t>
            </w:r>
          </w:p>
        </w:tc>
        <w:tc>
          <w:tcPr>
            <w:tcW w:w="910" w:type="dxa"/>
            <w:gridSpan w:val="2"/>
            <w:tcBorders>
              <w:top w:val="nil"/>
              <w:left w:val="nil"/>
              <w:bottom w:val="single" w:sz="4" w:space="0" w:color="FFFFFF"/>
              <w:right w:val="single" w:sz="4" w:space="0" w:color="FFFFFF"/>
            </w:tcBorders>
            <w:shd w:val="clear" w:color="000000" w:fill="EFEAE6"/>
            <w:noWrap/>
            <w:vAlign w:val="bottom"/>
            <w:hideMark/>
          </w:tcPr>
          <w:p w14:paraId="44F5469E"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2</w:t>
            </w:r>
          </w:p>
        </w:tc>
        <w:tc>
          <w:tcPr>
            <w:tcW w:w="1019" w:type="dxa"/>
            <w:gridSpan w:val="3"/>
            <w:tcBorders>
              <w:top w:val="nil"/>
              <w:left w:val="nil"/>
              <w:bottom w:val="single" w:sz="4" w:space="0" w:color="FFFFFF"/>
              <w:right w:val="single" w:sz="4" w:space="0" w:color="FFFFFF"/>
            </w:tcBorders>
            <w:shd w:val="clear" w:color="000000" w:fill="EFEAE6"/>
            <w:noWrap/>
            <w:vAlign w:val="bottom"/>
            <w:hideMark/>
          </w:tcPr>
          <w:p w14:paraId="10A2FC82"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21</w:t>
            </w:r>
          </w:p>
        </w:tc>
        <w:tc>
          <w:tcPr>
            <w:tcW w:w="256" w:type="dxa"/>
            <w:gridSpan w:val="3"/>
            <w:tcBorders>
              <w:top w:val="nil"/>
              <w:left w:val="nil"/>
              <w:bottom w:val="nil"/>
              <w:right w:val="nil"/>
            </w:tcBorders>
            <w:shd w:val="clear" w:color="auto" w:fill="auto"/>
            <w:noWrap/>
            <w:vAlign w:val="bottom"/>
            <w:hideMark/>
          </w:tcPr>
          <w:p w14:paraId="57BDCA49" w14:textId="77777777" w:rsidR="00260DBC" w:rsidRPr="0083015C" w:rsidRDefault="00260DBC" w:rsidP="00260DBC">
            <w:pPr>
              <w:spacing w:after="0" w:line="240" w:lineRule="auto"/>
              <w:jc w:val="center"/>
              <w:rPr>
                <w:rFonts w:ascii="Calibri" w:eastAsia="Times New Roman" w:hAnsi="Calibri" w:cs="Calibri"/>
                <w:color w:val="000000"/>
                <w:lang w:eastAsia="en-GB"/>
              </w:rPr>
            </w:pPr>
          </w:p>
        </w:tc>
        <w:tc>
          <w:tcPr>
            <w:tcW w:w="1108" w:type="dxa"/>
            <w:gridSpan w:val="5"/>
            <w:tcBorders>
              <w:top w:val="nil"/>
              <w:left w:val="nil"/>
              <w:bottom w:val="nil"/>
              <w:right w:val="nil"/>
            </w:tcBorders>
            <w:shd w:val="clear" w:color="auto" w:fill="auto"/>
            <w:noWrap/>
            <w:vAlign w:val="bottom"/>
            <w:hideMark/>
          </w:tcPr>
          <w:p w14:paraId="2706422A" w14:textId="77777777" w:rsidR="00260DBC" w:rsidRPr="0083015C" w:rsidRDefault="00260DBC" w:rsidP="00260DBC">
            <w:pPr>
              <w:spacing w:after="0" w:line="240" w:lineRule="auto"/>
              <w:rPr>
                <w:rFonts w:ascii="Times New Roman" w:eastAsia="Times New Roman" w:hAnsi="Times New Roman" w:cs="Times New Roman"/>
                <w:sz w:val="20"/>
                <w:szCs w:val="20"/>
                <w:lang w:eastAsia="en-GB"/>
              </w:rPr>
            </w:pPr>
          </w:p>
        </w:tc>
      </w:tr>
      <w:tr w:rsidR="00260DBC" w:rsidRPr="0083015C" w14:paraId="6444FD6E" w14:textId="77777777" w:rsidTr="00E51B3B">
        <w:trPr>
          <w:gridAfter w:val="1"/>
          <w:wAfter w:w="1428" w:type="dxa"/>
          <w:trHeight w:val="368"/>
        </w:trPr>
        <w:tc>
          <w:tcPr>
            <w:tcW w:w="1696" w:type="dxa"/>
            <w:gridSpan w:val="3"/>
            <w:vMerge/>
            <w:tcBorders>
              <w:top w:val="nil"/>
              <w:left w:val="single" w:sz="4" w:space="0" w:color="FFFFFF"/>
              <w:bottom w:val="single" w:sz="4" w:space="0" w:color="FFFFFF"/>
              <w:right w:val="single" w:sz="4" w:space="0" w:color="FFFFFF"/>
            </w:tcBorders>
            <w:vAlign w:val="center"/>
            <w:hideMark/>
          </w:tcPr>
          <w:p w14:paraId="471BAB4B" w14:textId="77777777" w:rsidR="00260DBC" w:rsidRPr="0083015C" w:rsidRDefault="00260DBC" w:rsidP="00260DBC">
            <w:pPr>
              <w:spacing w:after="0" w:line="240" w:lineRule="auto"/>
              <w:rPr>
                <w:rFonts w:ascii="Calibri" w:eastAsia="Times New Roman" w:hAnsi="Calibri" w:cs="Calibri"/>
                <w:b/>
                <w:bCs/>
                <w:color w:val="FFFFFF"/>
                <w:lang w:eastAsia="en-GB"/>
              </w:rPr>
            </w:pPr>
          </w:p>
        </w:tc>
        <w:tc>
          <w:tcPr>
            <w:tcW w:w="1600" w:type="dxa"/>
            <w:gridSpan w:val="3"/>
            <w:tcBorders>
              <w:top w:val="nil"/>
              <w:left w:val="nil"/>
              <w:bottom w:val="single" w:sz="4" w:space="0" w:color="FFFFFF"/>
              <w:right w:val="single" w:sz="4" w:space="0" w:color="FFFFFF"/>
            </w:tcBorders>
            <w:shd w:val="clear" w:color="000000" w:fill="EFEAE6"/>
            <w:noWrap/>
            <w:vAlign w:val="bottom"/>
            <w:hideMark/>
          </w:tcPr>
          <w:p w14:paraId="0B872468"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Low</w:t>
            </w:r>
          </w:p>
        </w:tc>
        <w:tc>
          <w:tcPr>
            <w:tcW w:w="828" w:type="dxa"/>
            <w:tcBorders>
              <w:top w:val="nil"/>
              <w:left w:val="nil"/>
              <w:bottom w:val="single" w:sz="4" w:space="0" w:color="FFFFFF"/>
              <w:right w:val="single" w:sz="4" w:space="0" w:color="FFFFFF"/>
            </w:tcBorders>
            <w:shd w:val="clear" w:color="000000" w:fill="EFEAE6"/>
            <w:noWrap/>
            <w:vAlign w:val="bottom"/>
            <w:hideMark/>
          </w:tcPr>
          <w:p w14:paraId="5A8C5A2F"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13</w:t>
            </w:r>
          </w:p>
        </w:tc>
        <w:tc>
          <w:tcPr>
            <w:tcW w:w="1637" w:type="dxa"/>
            <w:gridSpan w:val="3"/>
            <w:tcBorders>
              <w:top w:val="nil"/>
              <w:left w:val="nil"/>
              <w:bottom w:val="single" w:sz="4" w:space="0" w:color="FFFFFF"/>
              <w:right w:val="single" w:sz="4" w:space="0" w:color="FFFFFF"/>
            </w:tcBorders>
            <w:shd w:val="clear" w:color="000000" w:fill="EFEAE6"/>
            <w:noWrap/>
            <w:vAlign w:val="bottom"/>
            <w:hideMark/>
          </w:tcPr>
          <w:p w14:paraId="556CA3F3"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23</w:t>
            </w:r>
          </w:p>
        </w:tc>
        <w:tc>
          <w:tcPr>
            <w:tcW w:w="910" w:type="dxa"/>
            <w:gridSpan w:val="2"/>
            <w:tcBorders>
              <w:top w:val="nil"/>
              <w:left w:val="nil"/>
              <w:bottom w:val="single" w:sz="4" w:space="0" w:color="FFFFFF"/>
              <w:right w:val="single" w:sz="4" w:space="0" w:color="FFFFFF"/>
            </w:tcBorders>
            <w:shd w:val="clear" w:color="000000" w:fill="EFEAE6"/>
            <w:noWrap/>
            <w:vAlign w:val="bottom"/>
            <w:hideMark/>
          </w:tcPr>
          <w:p w14:paraId="43DA8A2D"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22</w:t>
            </w:r>
          </w:p>
        </w:tc>
        <w:tc>
          <w:tcPr>
            <w:tcW w:w="1019" w:type="dxa"/>
            <w:gridSpan w:val="3"/>
            <w:tcBorders>
              <w:top w:val="nil"/>
              <w:left w:val="nil"/>
              <w:bottom w:val="single" w:sz="4" w:space="0" w:color="FFFFFF"/>
              <w:right w:val="single" w:sz="4" w:space="0" w:color="FFFFFF"/>
            </w:tcBorders>
            <w:shd w:val="clear" w:color="000000" w:fill="EFEAE6"/>
            <w:noWrap/>
            <w:vAlign w:val="bottom"/>
            <w:hideMark/>
          </w:tcPr>
          <w:p w14:paraId="31F3C594"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58</w:t>
            </w:r>
          </w:p>
        </w:tc>
        <w:tc>
          <w:tcPr>
            <w:tcW w:w="256" w:type="dxa"/>
            <w:gridSpan w:val="3"/>
            <w:tcBorders>
              <w:top w:val="nil"/>
              <w:left w:val="nil"/>
              <w:bottom w:val="nil"/>
              <w:right w:val="nil"/>
            </w:tcBorders>
            <w:shd w:val="clear" w:color="auto" w:fill="auto"/>
            <w:noWrap/>
            <w:vAlign w:val="bottom"/>
            <w:hideMark/>
          </w:tcPr>
          <w:p w14:paraId="6FEF8173" w14:textId="77777777" w:rsidR="00260DBC" w:rsidRPr="0083015C" w:rsidRDefault="00260DBC" w:rsidP="00260DBC">
            <w:pPr>
              <w:spacing w:after="0" w:line="240" w:lineRule="auto"/>
              <w:jc w:val="center"/>
              <w:rPr>
                <w:rFonts w:ascii="Calibri" w:eastAsia="Times New Roman" w:hAnsi="Calibri" w:cs="Calibri"/>
                <w:color w:val="000000"/>
                <w:lang w:eastAsia="en-GB"/>
              </w:rPr>
            </w:pPr>
          </w:p>
        </w:tc>
        <w:tc>
          <w:tcPr>
            <w:tcW w:w="1108" w:type="dxa"/>
            <w:gridSpan w:val="5"/>
            <w:tcBorders>
              <w:top w:val="nil"/>
              <w:left w:val="nil"/>
              <w:bottom w:val="nil"/>
              <w:right w:val="nil"/>
            </w:tcBorders>
            <w:shd w:val="clear" w:color="auto" w:fill="auto"/>
            <w:noWrap/>
            <w:vAlign w:val="bottom"/>
            <w:hideMark/>
          </w:tcPr>
          <w:p w14:paraId="52460BF1" w14:textId="77777777" w:rsidR="00260DBC" w:rsidRPr="0083015C" w:rsidRDefault="00260DBC" w:rsidP="00260DBC">
            <w:pPr>
              <w:spacing w:after="0" w:line="240" w:lineRule="auto"/>
              <w:rPr>
                <w:rFonts w:ascii="Times New Roman" w:eastAsia="Times New Roman" w:hAnsi="Times New Roman" w:cs="Times New Roman"/>
                <w:sz w:val="20"/>
                <w:szCs w:val="20"/>
                <w:lang w:eastAsia="en-GB"/>
              </w:rPr>
            </w:pPr>
          </w:p>
        </w:tc>
      </w:tr>
      <w:tr w:rsidR="00260DBC" w:rsidRPr="0083015C" w14:paraId="66171831" w14:textId="77777777" w:rsidTr="00E51B3B">
        <w:trPr>
          <w:gridAfter w:val="1"/>
          <w:wAfter w:w="1428" w:type="dxa"/>
          <w:trHeight w:val="368"/>
        </w:trPr>
        <w:tc>
          <w:tcPr>
            <w:tcW w:w="1696" w:type="dxa"/>
            <w:gridSpan w:val="3"/>
            <w:tcBorders>
              <w:top w:val="nil"/>
              <w:left w:val="single" w:sz="4" w:space="0" w:color="FFFFFF"/>
              <w:bottom w:val="single" w:sz="4" w:space="0" w:color="FFFFFF"/>
              <w:right w:val="single" w:sz="4" w:space="0" w:color="FFFFFF"/>
            </w:tcBorders>
            <w:shd w:val="clear" w:color="000000" w:fill="49723B"/>
            <w:noWrap/>
            <w:vAlign w:val="bottom"/>
            <w:hideMark/>
          </w:tcPr>
          <w:p w14:paraId="45BB5FD8"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Total</w:t>
            </w:r>
          </w:p>
        </w:tc>
        <w:tc>
          <w:tcPr>
            <w:tcW w:w="1600" w:type="dxa"/>
            <w:gridSpan w:val="3"/>
            <w:tcBorders>
              <w:top w:val="nil"/>
              <w:left w:val="nil"/>
              <w:bottom w:val="single" w:sz="4" w:space="0" w:color="FFFFFF"/>
              <w:right w:val="single" w:sz="4" w:space="0" w:color="FFFFFF"/>
            </w:tcBorders>
            <w:shd w:val="clear" w:color="000000" w:fill="EFEAE6"/>
            <w:noWrap/>
            <w:vAlign w:val="bottom"/>
            <w:hideMark/>
          </w:tcPr>
          <w:p w14:paraId="4058B71D"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 </w:t>
            </w:r>
          </w:p>
        </w:tc>
        <w:tc>
          <w:tcPr>
            <w:tcW w:w="828" w:type="dxa"/>
            <w:tcBorders>
              <w:top w:val="nil"/>
              <w:left w:val="nil"/>
              <w:bottom w:val="single" w:sz="4" w:space="0" w:color="FFFFFF"/>
              <w:right w:val="single" w:sz="4" w:space="0" w:color="FFFFFF"/>
            </w:tcBorders>
            <w:shd w:val="clear" w:color="000000" w:fill="EFEAE6"/>
            <w:noWrap/>
            <w:vAlign w:val="bottom"/>
            <w:hideMark/>
          </w:tcPr>
          <w:p w14:paraId="26759E9D"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25</w:t>
            </w:r>
          </w:p>
        </w:tc>
        <w:tc>
          <w:tcPr>
            <w:tcW w:w="1637" w:type="dxa"/>
            <w:gridSpan w:val="3"/>
            <w:tcBorders>
              <w:top w:val="nil"/>
              <w:left w:val="nil"/>
              <w:bottom w:val="single" w:sz="4" w:space="0" w:color="FFFFFF"/>
              <w:right w:val="single" w:sz="4" w:space="0" w:color="FFFFFF"/>
            </w:tcBorders>
            <w:shd w:val="clear" w:color="000000" w:fill="EFEAE6"/>
            <w:noWrap/>
            <w:vAlign w:val="bottom"/>
            <w:hideMark/>
          </w:tcPr>
          <w:p w14:paraId="0952C707"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45</w:t>
            </w:r>
          </w:p>
        </w:tc>
        <w:tc>
          <w:tcPr>
            <w:tcW w:w="910" w:type="dxa"/>
            <w:gridSpan w:val="2"/>
            <w:tcBorders>
              <w:top w:val="nil"/>
              <w:left w:val="nil"/>
              <w:bottom w:val="single" w:sz="4" w:space="0" w:color="FFFFFF"/>
              <w:right w:val="single" w:sz="4" w:space="0" w:color="FFFFFF"/>
            </w:tcBorders>
            <w:shd w:val="clear" w:color="000000" w:fill="EFEAE6"/>
            <w:noWrap/>
            <w:vAlign w:val="bottom"/>
            <w:hideMark/>
          </w:tcPr>
          <w:p w14:paraId="47AA10CA"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33</w:t>
            </w:r>
          </w:p>
        </w:tc>
        <w:tc>
          <w:tcPr>
            <w:tcW w:w="1019" w:type="dxa"/>
            <w:gridSpan w:val="3"/>
            <w:tcBorders>
              <w:top w:val="nil"/>
              <w:left w:val="nil"/>
              <w:bottom w:val="single" w:sz="4" w:space="0" w:color="FFFFFF"/>
              <w:right w:val="single" w:sz="4" w:space="0" w:color="FFFFFF"/>
            </w:tcBorders>
            <w:shd w:val="clear" w:color="000000" w:fill="EFEAE6"/>
            <w:noWrap/>
            <w:vAlign w:val="bottom"/>
            <w:hideMark/>
          </w:tcPr>
          <w:p w14:paraId="6252E687"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100</w:t>
            </w:r>
          </w:p>
        </w:tc>
        <w:tc>
          <w:tcPr>
            <w:tcW w:w="256" w:type="dxa"/>
            <w:gridSpan w:val="3"/>
            <w:tcBorders>
              <w:top w:val="nil"/>
              <w:left w:val="nil"/>
              <w:bottom w:val="nil"/>
              <w:right w:val="nil"/>
            </w:tcBorders>
            <w:shd w:val="clear" w:color="auto" w:fill="auto"/>
            <w:noWrap/>
            <w:vAlign w:val="bottom"/>
            <w:hideMark/>
          </w:tcPr>
          <w:p w14:paraId="2162BE62" w14:textId="77777777" w:rsidR="00260DBC" w:rsidRPr="0083015C" w:rsidRDefault="00260DBC" w:rsidP="00260DBC">
            <w:pPr>
              <w:spacing w:after="0" w:line="240" w:lineRule="auto"/>
              <w:jc w:val="center"/>
              <w:rPr>
                <w:rFonts w:ascii="Calibri" w:eastAsia="Times New Roman" w:hAnsi="Calibri" w:cs="Calibri"/>
                <w:color w:val="000000"/>
                <w:lang w:eastAsia="en-GB"/>
              </w:rPr>
            </w:pPr>
          </w:p>
        </w:tc>
        <w:tc>
          <w:tcPr>
            <w:tcW w:w="1108" w:type="dxa"/>
            <w:gridSpan w:val="5"/>
            <w:tcBorders>
              <w:top w:val="nil"/>
              <w:left w:val="nil"/>
              <w:bottom w:val="nil"/>
              <w:right w:val="nil"/>
            </w:tcBorders>
            <w:shd w:val="clear" w:color="auto" w:fill="auto"/>
            <w:noWrap/>
            <w:vAlign w:val="bottom"/>
            <w:hideMark/>
          </w:tcPr>
          <w:p w14:paraId="642E7A4F" w14:textId="77777777" w:rsidR="00260DBC" w:rsidRPr="0083015C" w:rsidRDefault="00260DBC" w:rsidP="00260DBC">
            <w:pPr>
              <w:spacing w:after="0" w:line="240" w:lineRule="auto"/>
              <w:rPr>
                <w:rFonts w:ascii="Times New Roman" w:eastAsia="Times New Roman" w:hAnsi="Times New Roman" w:cs="Times New Roman"/>
                <w:sz w:val="20"/>
                <w:szCs w:val="20"/>
                <w:lang w:eastAsia="en-GB"/>
              </w:rPr>
            </w:pPr>
          </w:p>
        </w:tc>
      </w:tr>
      <w:tr w:rsidR="00260DBC" w:rsidRPr="0083015C" w14:paraId="0F38F7A1" w14:textId="77777777" w:rsidTr="00E51B3B">
        <w:trPr>
          <w:gridAfter w:val="1"/>
          <w:wAfter w:w="1428" w:type="dxa"/>
          <w:trHeight w:val="368"/>
        </w:trPr>
        <w:tc>
          <w:tcPr>
            <w:tcW w:w="9054" w:type="dxa"/>
            <w:gridSpan w:val="23"/>
            <w:tcBorders>
              <w:top w:val="nil"/>
              <w:left w:val="nil"/>
              <w:bottom w:val="nil"/>
              <w:right w:val="nil"/>
            </w:tcBorders>
            <w:shd w:val="clear" w:color="auto" w:fill="auto"/>
            <w:noWrap/>
            <w:vAlign w:val="bottom"/>
            <w:hideMark/>
          </w:tcPr>
          <w:p w14:paraId="1F07F46F" w14:textId="77777777" w:rsidR="00260DBC" w:rsidRPr="0083015C" w:rsidRDefault="00260DBC" w:rsidP="00260DBC">
            <w:pPr>
              <w:spacing w:after="0" w:line="240" w:lineRule="auto"/>
              <w:rPr>
                <w:rFonts w:ascii="Calibri" w:eastAsia="Times New Roman" w:hAnsi="Calibri" w:cs="Calibri"/>
                <w:b/>
                <w:bCs/>
                <w:color w:val="5F735C"/>
                <w:lang w:eastAsia="en-GB"/>
              </w:rPr>
            </w:pPr>
            <w:r w:rsidRPr="0083015C">
              <w:rPr>
                <w:rFonts w:ascii="Calibri" w:eastAsia="Times New Roman" w:hAnsi="Calibri" w:cs="Calibri"/>
                <w:b/>
                <w:bCs/>
                <w:color w:val="5F735C"/>
                <w:lang w:eastAsia="en-GB"/>
              </w:rPr>
              <w:t>Notes: High level involvement &gt;30% of UK enrolments, Medium 10-30%, Low &lt;10%</w:t>
            </w:r>
          </w:p>
        </w:tc>
      </w:tr>
      <w:tr w:rsidR="00260DBC" w:rsidRPr="0083015C" w14:paraId="50CED7B9" w14:textId="77777777" w:rsidTr="00E51B3B">
        <w:trPr>
          <w:trHeight w:val="421"/>
        </w:trPr>
        <w:tc>
          <w:tcPr>
            <w:tcW w:w="10482" w:type="dxa"/>
            <w:gridSpan w:val="24"/>
            <w:tcBorders>
              <w:top w:val="nil"/>
              <w:left w:val="nil"/>
              <w:bottom w:val="nil"/>
              <w:right w:val="nil"/>
            </w:tcBorders>
            <w:shd w:val="clear" w:color="auto" w:fill="auto"/>
            <w:noWrap/>
            <w:vAlign w:val="bottom"/>
            <w:hideMark/>
          </w:tcPr>
          <w:p w14:paraId="296D97B3" w14:textId="77777777" w:rsidR="00E51B3B" w:rsidRDefault="00E51B3B" w:rsidP="00260DBC">
            <w:pPr>
              <w:spacing w:after="0" w:line="240" w:lineRule="auto"/>
              <w:rPr>
                <w:rFonts w:ascii="Calibri" w:eastAsia="Times New Roman" w:hAnsi="Calibri" w:cs="Calibri"/>
                <w:b/>
                <w:bCs/>
                <w:color w:val="5F735C"/>
                <w:lang w:eastAsia="en-GB"/>
              </w:rPr>
            </w:pPr>
          </w:p>
          <w:p w14:paraId="0C526A90" w14:textId="3534DC72" w:rsidR="00260DBC" w:rsidRPr="0083015C" w:rsidRDefault="00260DBC" w:rsidP="00260DBC">
            <w:pPr>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Table 2</w:t>
            </w:r>
            <w:r w:rsidRPr="0083015C">
              <w:rPr>
                <w:rFonts w:ascii="Calibri" w:eastAsia="Times New Roman" w:hAnsi="Calibri" w:cs="Calibri"/>
                <w:b/>
                <w:bCs/>
                <w:color w:val="5F735C"/>
                <w:lang w:eastAsia="en-GB"/>
              </w:rPr>
              <w:t xml:space="preserve">:  'Strong' and 'weak' average annual enrolment growth for onshore and </w:t>
            </w:r>
            <w:r w:rsidR="0031077B">
              <w:rPr>
                <w:rFonts w:ascii="Calibri" w:eastAsia="Times New Roman" w:hAnsi="Calibri" w:cs="Calibri"/>
                <w:b/>
                <w:bCs/>
                <w:color w:val="5F735C"/>
                <w:lang w:eastAsia="en-GB"/>
              </w:rPr>
              <w:t>offshore</w:t>
            </w:r>
            <w:r w:rsidRPr="0083015C">
              <w:rPr>
                <w:rFonts w:ascii="Calibri" w:eastAsia="Times New Roman" w:hAnsi="Calibri" w:cs="Calibri"/>
                <w:b/>
                <w:bCs/>
                <w:color w:val="5F735C"/>
                <w:lang w:eastAsia="en-GB"/>
              </w:rPr>
              <w:t xml:space="preserve"> overseas students at UK</w:t>
            </w:r>
            <w:r>
              <w:rPr>
                <w:rFonts w:ascii="Calibri" w:eastAsia="Times New Roman" w:hAnsi="Calibri" w:cs="Calibri"/>
                <w:b/>
                <w:bCs/>
                <w:color w:val="5F735C"/>
                <w:lang w:eastAsia="en-GB"/>
              </w:rPr>
              <w:t xml:space="preserve"> </w:t>
            </w:r>
            <w:r w:rsidRPr="0083015C">
              <w:rPr>
                <w:rFonts w:ascii="Calibri" w:eastAsia="Times New Roman" w:hAnsi="Calibri" w:cs="Calibri"/>
                <w:b/>
                <w:bCs/>
                <w:color w:val="5F735C"/>
                <w:lang w:eastAsia="en-GB"/>
              </w:rPr>
              <w:t>universities, 2007/08-2015/16 (rounded percentages)</w:t>
            </w:r>
          </w:p>
        </w:tc>
      </w:tr>
      <w:tr w:rsidR="00260DBC" w:rsidRPr="0083015C" w14:paraId="138FB4AD" w14:textId="77777777" w:rsidTr="00E51B3B">
        <w:trPr>
          <w:gridAfter w:val="7"/>
          <w:wAfter w:w="2570" w:type="dxa"/>
          <w:trHeight w:val="421"/>
        </w:trPr>
        <w:tc>
          <w:tcPr>
            <w:tcW w:w="4512" w:type="dxa"/>
            <w:gridSpan w:val="8"/>
            <w:tcBorders>
              <w:top w:val="nil"/>
              <w:left w:val="nil"/>
              <w:bottom w:val="nil"/>
              <w:right w:val="nil"/>
            </w:tcBorders>
            <w:shd w:val="clear" w:color="auto" w:fill="auto"/>
            <w:noWrap/>
            <w:vAlign w:val="bottom"/>
            <w:hideMark/>
          </w:tcPr>
          <w:p w14:paraId="2A36C400" w14:textId="77777777" w:rsidR="00260DBC" w:rsidRPr="0083015C" w:rsidRDefault="00260DBC" w:rsidP="00260DBC">
            <w:pPr>
              <w:spacing w:after="0" w:line="240" w:lineRule="auto"/>
              <w:rPr>
                <w:rFonts w:ascii="Calibri" w:eastAsia="Times New Roman" w:hAnsi="Calibri" w:cs="Calibri"/>
                <w:b/>
                <w:bCs/>
                <w:color w:val="5F735C"/>
                <w:lang w:eastAsia="en-GB"/>
              </w:rPr>
            </w:pPr>
          </w:p>
        </w:tc>
        <w:tc>
          <w:tcPr>
            <w:tcW w:w="1368" w:type="dxa"/>
            <w:gridSpan w:val="3"/>
            <w:tcBorders>
              <w:top w:val="nil"/>
              <w:left w:val="nil"/>
              <w:bottom w:val="nil"/>
              <w:right w:val="nil"/>
            </w:tcBorders>
            <w:shd w:val="clear" w:color="auto" w:fill="auto"/>
            <w:noWrap/>
            <w:vAlign w:val="bottom"/>
            <w:hideMark/>
          </w:tcPr>
          <w:p w14:paraId="120A0E24" w14:textId="77777777" w:rsidR="00260DBC" w:rsidRPr="0083015C" w:rsidRDefault="00260DBC" w:rsidP="00260DBC">
            <w:pPr>
              <w:spacing w:after="0" w:line="240" w:lineRule="auto"/>
              <w:rPr>
                <w:rFonts w:ascii="Calibri" w:eastAsia="Times New Roman" w:hAnsi="Calibri" w:cs="Calibri"/>
                <w:b/>
                <w:bCs/>
                <w:color w:val="5F735C"/>
                <w:lang w:eastAsia="en-GB"/>
              </w:rPr>
            </w:pPr>
          </w:p>
        </w:tc>
        <w:tc>
          <w:tcPr>
            <w:tcW w:w="1366" w:type="dxa"/>
            <w:gridSpan w:val="2"/>
            <w:tcBorders>
              <w:top w:val="nil"/>
              <w:left w:val="nil"/>
              <w:bottom w:val="nil"/>
              <w:right w:val="nil"/>
            </w:tcBorders>
            <w:shd w:val="clear" w:color="auto" w:fill="auto"/>
            <w:noWrap/>
            <w:vAlign w:val="bottom"/>
            <w:hideMark/>
          </w:tcPr>
          <w:p w14:paraId="26CD4243" w14:textId="77777777" w:rsidR="00260DBC" w:rsidRPr="0083015C" w:rsidRDefault="00260DBC" w:rsidP="00260DBC">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B73CD3F" w14:textId="77777777" w:rsidR="00260DBC" w:rsidRPr="0083015C" w:rsidRDefault="00260DBC" w:rsidP="00260DBC">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1495B99D" w14:textId="77777777" w:rsidR="00260DBC" w:rsidRPr="0083015C" w:rsidRDefault="00260DBC" w:rsidP="00260DBC">
            <w:pPr>
              <w:spacing w:after="0" w:line="240" w:lineRule="auto"/>
              <w:jc w:val="center"/>
              <w:rPr>
                <w:rFonts w:ascii="Times New Roman" w:eastAsia="Times New Roman" w:hAnsi="Times New Roman" w:cs="Times New Roman"/>
                <w:sz w:val="20"/>
                <w:szCs w:val="20"/>
                <w:lang w:eastAsia="en-GB"/>
              </w:rPr>
            </w:pPr>
          </w:p>
        </w:tc>
        <w:tc>
          <w:tcPr>
            <w:tcW w:w="222" w:type="dxa"/>
            <w:gridSpan w:val="2"/>
            <w:tcBorders>
              <w:top w:val="nil"/>
              <w:left w:val="nil"/>
              <w:bottom w:val="nil"/>
              <w:right w:val="nil"/>
            </w:tcBorders>
            <w:shd w:val="clear" w:color="auto" w:fill="auto"/>
            <w:noWrap/>
            <w:vAlign w:val="bottom"/>
            <w:hideMark/>
          </w:tcPr>
          <w:p w14:paraId="4EFE79B3" w14:textId="77777777" w:rsidR="00260DBC" w:rsidRPr="0083015C" w:rsidRDefault="00260DBC" w:rsidP="00260DBC">
            <w:pPr>
              <w:spacing w:after="0" w:line="240" w:lineRule="auto"/>
              <w:jc w:val="center"/>
              <w:rPr>
                <w:rFonts w:ascii="Times New Roman" w:eastAsia="Times New Roman" w:hAnsi="Times New Roman" w:cs="Times New Roman"/>
                <w:sz w:val="20"/>
                <w:szCs w:val="20"/>
                <w:lang w:eastAsia="en-GB"/>
              </w:rPr>
            </w:pPr>
          </w:p>
        </w:tc>
      </w:tr>
      <w:tr w:rsidR="00260DBC" w:rsidRPr="0083015C" w14:paraId="43EEC3AE" w14:textId="77777777" w:rsidTr="00E51B3B">
        <w:trPr>
          <w:gridAfter w:val="7"/>
          <w:wAfter w:w="2570" w:type="dxa"/>
          <w:trHeight w:val="421"/>
        </w:trPr>
        <w:tc>
          <w:tcPr>
            <w:tcW w:w="1678" w:type="dxa"/>
            <w:gridSpan w:val="2"/>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0B1312DD"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1416" w:type="dxa"/>
            <w:gridSpan w:val="3"/>
            <w:tcBorders>
              <w:top w:val="single" w:sz="4" w:space="0" w:color="FFFFFF"/>
              <w:left w:val="nil"/>
              <w:bottom w:val="single" w:sz="4" w:space="0" w:color="FFFFFF"/>
              <w:right w:val="single" w:sz="4" w:space="0" w:color="FFFFFF"/>
            </w:tcBorders>
            <w:shd w:val="clear" w:color="000000" w:fill="49723B"/>
            <w:noWrap/>
            <w:vAlign w:val="bottom"/>
            <w:hideMark/>
          </w:tcPr>
          <w:p w14:paraId="75C75CBB"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xml:space="preserve">Strong onshore, </w:t>
            </w:r>
          </w:p>
        </w:tc>
        <w:tc>
          <w:tcPr>
            <w:tcW w:w="1418" w:type="dxa"/>
            <w:gridSpan w:val="3"/>
            <w:tcBorders>
              <w:top w:val="single" w:sz="4" w:space="0" w:color="FFFFFF"/>
              <w:left w:val="nil"/>
              <w:bottom w:val="single" w:sz="4" w:space="0" w:color="FFFFFF"/>
              <w:right w:val="single" w:sz="4" w:space="0" w:color="FFFFFF"/>
            </w:tcBorders>
            <w:shd w:val="clear" w:color="000000" w:fill="49723B"/>
            <w:noWrap/>
            <w:vAlign w:val="bottom"/>
            <w:hideMark/>
          </w:tcPr>
          <w:p w14:paraId="7C3D77D4"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xml:space="preserve">Strong onshore, </w:t>
            </w:r>
          </w:p>
        </w:tc>
        <w:tc>
          <w:tcPr>
            <w:tcW w:w="1368" w:type="dxa"/>
            <w:gridSpan w:val="3"/>
            <w:tcBorders>
              <w:top w:val="single" w:sz="4" w:space="0" w:color="FFFFFF"/>
              <w:left w:val="nil"/>
              <w:bottom w:val="single" w:sz="4" w:space="0" w:color="FFFFFF"/>
              <w:right w:val="single" w:sz="4" w:space="0" w:color="FFFFFF"/>
            </w:tcBorders>
            <w:shd w:val="clear" w:color="000000" w:fill="49723B"/>
            <w:noWrap/>
            <w:vAlign w:val="bottom"/>
            <w:hideMark/>
          </w:tcPr>
          <w:p w14:paraId="5D2AF0A2"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xml:space="preserve">Weak onshore, </w:t>
            </w:r>
          </w:p>
        </w:tc>
        <w:tc>
          <w:tcPr>
            <w:tcW w:w="1366" w:type="dxa"/>
            <w:gridSpan w:val="2"/>
            <w:tcBorders>
              <w:top w:val="single" w:sz="4" w:space="0" w:color="FFFFFF"/>
              <w:left w:val="nil"/>
              <w:bottom w:val="single" w:sz="4" w:space="0" w:color="FFFFFF"/>
              <w:right w:val="single" w:sz="4" w:space="0" w:color="FFFFFF"/>
            </w:tcBorders>
            <w:shd w:val="clear" w:color="000000" w:fill="49723B"/>
            <w:noWrap/>
            <w:vAlign w:val="bottom"/>
            <w:hideMark/>
          </w:tcPr>
          <w:p w14:paraId="535E50FD"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Weak onshore,</w:t>
            </w:r>
          </w:p>
        </w:tc>
        <w:tc>
          <w:tcPr>
            <w:tcW w:w="222" w:type="dxa"/>
            <w:tcBorders>
              <w:top w:val="nil"/>
              <w:left w:val="nil"/>
              <w:bottom w:val="nil"/>
              <w:right w:val="nil"/>
            </w:tcBorders>
            <w:shd w:val="clear" w:color="auto" w:fill="auto"/>
            <w:noWrap/>
            <w:vAlign w:val="bottom"/>
            <w:hideMark/>
          </w:tcPr>
          <w:p w14:paraId="6455E774"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p>
        </w:tc>
        <w:tc>
          <w:tcPr>
            <w:tcW w:w="222" w:type="dxa"/>
            <w:tcBorders>
              <w:top w:val="nil"/>
              <w:left w:val="nil"/>
              <w:bottom w:val="nil"/>
              <w:right w:val="nil"/>
            </w:tcBorders>
            <w:shd w:val="clear" w:color="auto" w:fill="auto"/>
            <w:noWrap/>
            <w:vAlign w:val="bottom"/>
            <w:hideMark/>
          </w:tcPr>
          <w:p w14:paraId="4E9D3C69" w14:textId="77777777" w:rsidR="00260DBC" w:rsidRPr="0083015C" w:rsidRDefault="00260DBC" w:rsidP="00260DBC">
            <w:pPr>
              <w:spacing w:after="0" w:line="240" w:lineRule="auto"/>
              <w:jc w:val="center"/>
              <w:rPr>
                <w:rFonts w:ascii="Times New Roman" w:eastAsia="Times New Roman" w:hAnsi="Times New Roman" w:cs="Times New Roman"/>
                <w:sz w:val="20"/>
                <w:szCs w:val="20"/>
                <w:lang w:eastAsia="en-GB"/>
              </w:rPr>
            </w:pPr>
          </w:p>
        </w:tc>
        <w:tc>
          <w:tcPr>
            <w:tcW w:w="222" w:type="dxa"/>
            <w:gridSpan w:val="2"/>
            <w:tcBorders>
              <w:top w:val="nil"/>
              <w:left w:val="nil"/>
              <w:bottom w:val="nil"/>
              <w:right w:val="nil"/>
            </w:tcBorders>
            <w:shd w:val="clear" w:color="auto" w:fill="auto"/>
            <w:noWrap/>
            <w:vAlign w:val="bottom"/>
            <w:hideMark/>
          </w:tcPr>
          <w:p w14:paraId="012357DF" w14:textId="77777777" w:rsidR="00260DBC" w:rsidRPr="0083015C" w:rsidRDefault="00260DBC" w:rsidP="00260DBC">
            <w:pPr>
              <w:spacing w:after="0" w:line="240" w:lineRule="auto"/>
              <w:jc w:val="center"/>
              <w:rPr>
                <w:rFonts w:ascii="Times New Roman" w:eastAsia="Times New Roman" w:hAnsi="Times New Roman" w:cs="Times New Roman"/>
                <w:sz w:val="20"/>
                <w:szCs w:val="20"/>
                <w:lang w:eastAsia="en-GB"/>
              </w:rPr>
            </w:pPr>
          </w:p>
        </w:tc>
      </w:tr>
      <w:tr w:rsidR="00260DBC" w:rsidRPr="0083015C" w14:paraId="6C13189A" w14:textId="77777777" w:rsidTr="00E51B3B">
        <w:trPr>
          <w:gridAfter w:val="7"/>
          <w:wAfter w:w="2570" w:type="dxa"/>
          <w:trHeight w:val="421"/>
        </w:trPr>
        <w:tc>
          <w:tcPr>
            <w:tcW w:w="1678" w:type="dxa"/>
            <w:gridSpan w:val="2"/>
            <w:tcBorders>
              <w:top w:val="nil"/>
              <w:left w:val="single" w:sz="4" w:space="0" w:color="FFFFFF"/>
              <w:bottom w:val="single" w:sz="4" w:space="0" w:color="FFFFFF"/>
              <w:right w:val="single" w:sz="4" w:space="0" w:color="FFFFFF"/>
            </w:tcBorders>
            <w:shd w:val="clear" w:color="000000" w:fill="49723B"/>
            <w:noWrap/>
            <w:vAlign w:val="bottom"/>
            <w:hideMark/>
          </w:tcPr>
          <w:p w14:paraId="39D5B07F"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UK student growth</w:t>
            </w:r>
          </w:p>
        </w:tc>
        <w:tc>
          <w:tcPr>
            <w:tcW w:w="1416" w:type="dxa"/>
            <w:gridSpan w:val="3"/>
            <w:tcBorders>
              <w:top w:val="nil"/>
              <w:left w:val="nil"/>
              <w:bottom w:val="single" w:sz="4" w:space="0" w:color="FFFFFF"/>
              <w:right w:val="single" w:sz="4" w:space="0" w:color="FFFFFF"/>
            </w:tcBorders>
            <w:shd w:val="clear" w:color="000000" w:fill="49723B"/>
            <w:noWrap/>
            <w:vAlign w:val="bottom"/>
            <w:hideMark/>
          </w:tcPr>
          <w:p w14:paraId="55E0C59D" w14:textId="56D8E43C"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xml:space="preserve">strong </w:t>
            </w:r>
            <w:r w:rsidR="0031077B">
              <w:rPr>
                <w:rFonts w:ascii="Calibri" w:eastAsia="Times New Roman" w:hAnsi="Calibri" w:cs="Calibri"/>
                <w:b/>
                <w:bCs/>
                <w:color w:val="FFFFFF"/>
                <w:lang w:eastAsia="en-GB"/>
              </w:rPr>
              <w:t>offshore</w:t>
            </w:r>
          </w:p>
        </w:tc>
        <w:tc>
          <w:tcPr>
            <w:tcW w:w="1418" w:type="dxa"/>
            <w:gridSpan w:val="3"/>
            <w:tcBorders>
              <w:top w:val="nil"/>
              <w:left w:val="nil"/>
              <w:bottom w:val="single" w:sz="4" w:space="0" w:color="FFFFFF"/>
              <w:right w:val="single" w:sz="4" w:space="0" w:color="FFFFFF"/>
            </w:tcBorders>
            <w:shd w:val="clear" w:color="000000" w:fill="49723B"/>
            <w:noWrap/>
            <w:vAlign w:val="bottom"/>
            <w:hideMark/>
          </w:tcPr>
          <w:p w14:paraId="2B09EAD5" w14:textId="1C35E28C"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xml:space="preserve">weak </w:t>
            </w:r>
            <w:r w:rsidR="0031077B">
              <w:rPr>
                <w:rFonts w:ascii="Calibri" w:eastAsia="Times New Roman" w:hAnsi="Calibri" w:cs="Calibri"/>
                <w:b/>
                <w:bCs/>
                <w:color w:val="FFFFFF"/>
                <w:lang w:eastAsia="en-GB"/>
              </w:rPr>
              <w:t>offshore</w:t>
            </w:r>
          </w:p>
        </w:tc>
        <w:tc>
          <w:tcPr>
            <w:tcW w:w="1368" w:type="dxa"/>
            <w:gridSpan w:val="3"/>
            <w:tcBorders>
              <w:top w:val="nil"/>
              <w:left w:val="nil"/>
              <w:bottom w:val="single" w:sz="4" w:space="0" w:color="FFFFFF"/>
              <w:right w:val="single" w:sz="4" w:space="0" w:color="FFFFFF"/>
            </w:tcBorders>
            <w:shd w:val="clear" w:color="000000" w:fill="49723B"/>
            <w:noWrap/>
            <w:vAlign w:val="bottom"/>
            <w:hideMark/>
          </w:tcPr>
          <w:p w14:paraId="3682BC34" w14:textId="017DA67D"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xml:space="preserve">strong </w:t>
            </w:r>
            <w:r w:rsidR="0031077B">
              <w:rPr>
                <w:rFonts w:ascii="Calibri" w:eastAsia="Times New Roman" w:hAnsi="Calibri" w:cs="Calibri"/>
                <w:b/>
                <w:bCs/>
                <w:color w:val="FFFFFF"/>
                <w:lang w:eastAsia="en-GB"/>
              </w:rPr>
              <w:t>offshore</w:t>
            </w:r>
          </w:p>
        </w:tc>
        <w:tc>
          <w:tcPr>
            <w:tcW w:w="1366" w:type="dxa"/>
            <w:gridSpan w:val="2"/>
            <w:tcBorders>
              <w:top w:val="nil"/>
              <w:left w:val="nil"/>
              <w:bottom w:val="single" w:sz="4" w:space="0" w:color="FFFFFF"/>
              <w:right w:val="single" w:sz="4" w:space="0" w:color="FFFFFF"/>
            </w:tcBorders>
            <w:shd w:val="clear" w:color="000000" w:fill="49723B"/>
            <w:noWrap/>
            <w:vAlign w:val="bottom"/>
            <w:hideMark/>
          </w:tcPr>
          <w:p w14:paraId="507AF407" w14:textId="68C72646"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xml:space="preserve">Weak </w:t>
            </w:r>
            <w:r w:rsidR="0031077B">
              <w:rPr>
                <w:rFonts w:ascii="Calibri" w:eastAsia="Times New Roman" w:hAnsi="Calibri" w:cs="Calibri"/>
                <w:b/>
                <w:bCs/>
                <w:color w:val="FFFFFF"/>
                <w:lang w:eastAsia="en-GB"/>
              </w:rPr>
              <w:t>offshore</w:t>
            </w:r>
            <w:r w:rsidRPr="0083015C">
              <w:rPr>
                <w:rFonts w:ascii="Calibri" w:eastAsia="Times New Roman" w:hAnsi="Calibri" w:cs="Calibri"/>
                <w:b/>
                <w:bCs/>
                <w:color w:val="FFFFFF"/>
                <w:lang w:eastAsia="en-GB"/>
              </w:rPr>
              <w:t>,</w:t>
            </w:r>
          </w:p>
        </w:tc>
        <w:tc>
          <w:tcPr>
            <w:tcW w:w="222" w:type="dxa"/>
            <w:tcBorders>
              <w:top w:val="nil"/>
              <w:left w:val="nil"/>
              <w:bottom w:val="nil"/>
              <w:right w:val="nil"/>
            </w:tcBorders>
            <w:shd w:val="clear" w:color="auto" w:fill="auto"/>
            <w:noWrap/>
            <w:vAlign w:val="bottom"/>
            <w:hideMark/>
          </w:tcPr>
          <w:p w14:paraId="17F081EB"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p>
        </w:tc>
        <w:tc>
          <w:tcPr>
            <w:tcW w:w="222" w:type="dxa"/>
            <w:tcBorders>
              <w:top w:val="nil"/>
              <w:left w:val="nil"/>
              <w:bottom w:val="nil"/>
              <w:right w:val="nil"/>
            </w:tcBorders>
            <w:shd w:val="clear" w:color="auto" w:fill="auto"/>
            <w:noWrap/>
            <w:vAlign w:val="bottom"/>
            <w:hideMark/>
          </w:tcPr>
          <w:p w14:paraId="00B4D1E4" w14:textId="77777777" w:rsidR="00260DBC" w:rsidRPr="0083015C" w:rsidRDefault="00260DBC" w:rsidP="00260DBC">
            <w:pPr>
              <w:spacing w:after="0" w:line="240" w:lineRule="auto"/>
              <w:jc w:val="center"/>
              <w:rPr>
                <w:rFonts w:ascii="Times New Roman" w:eastAsia="Times New Roman" w:hAnsi="Times New Roman" w:cs="Times New Roman"/>
                <w:sz w:val="20"/>
                <w:szCs w:val="20"/>
                <w:lang w:eastAsia="en-GB"/>
              </w:rPr>
            </w:pPr>
          </w:p>
        </w:tc>
        <w:tc>
          <w:tcPr>
            <w:tcW w:w="222" w:type="dxa"/>
            <w:gridSpan w:val="2"/>
            <w:tcBorders>
              <w:top w:val="nil"/>
              <w:left w:val="nil"/>
              <w:bottom w:val="nil"/>
              <w:right w:val="nil"/>
            </w:tcBorders>
            <w:shd w:val="clear" w:color="auto" w:fill="auto"/>
            <w:noWrap/>
            <w:vAlign w:val="bottom"/>
            <w:hideMark/>
          </w:tcPr>
          <w:p w14:paraId="33E4D02D" w14:textId="77777777" w:rsidR="00260DBC" w:rsidRPr="0083015C" w:rsidRDefault="00260DBC" w:rsidP="00260DBC">
            <w:pPr>
              <w:spacing w:after="0" w:line="240" w:lineRule="auto"/>
              <w:jc w:val="center"/>
              <w:rPr>
                <w:rFonts w:ascii="Times New Roman" w:eastAsia="Times New Roman" w:hAnsi="Times New Roman" w:cs="Times New Roman"/>
                <w:sz w:val="20"/>
                <w:szCs w:val="20"/>
                <w:lang w:eastAsia="en-GB"/>
              </w:rPr>
            </w:pPr>
          </w:p>
        </w:tc>
      </w:tr>
      <w:tr w:rsidR="00260DBC" w:rsidRPr="0083015C" w14:paraId="400AF1A8" w14:textId="77777777" w:rsidTr="00E51B3B">
        <w:trPr>
          <w:gridAfter w:val="7"/>
          <w:wAfter w:w="2570" w:type="dxa"/>
          <w:trHeight w:val="421"/>
        </w:trPr>
        <w:tc>
          <w:tcPr>
            <w:tcW w:w="1678" w:type="dxa"/>
            <w:gridSpan w:val="2"/>
            <w:tcBorders>
              <w:top w:val="nil"/>
              <w:left w:val="single" w:sz="4" w:space="0" w:color="FFFFFF"/>
              <w:bottom w:val="single" w:sz="4" w:space="0" w:color="FFFFFF"/>
              <w:right w:val="single" w:sz="4" w:space="0" w:color="FFFFFF"/>
            </w:tcBorders>
            <w:shd w:val="clear" w:color="000000" w:fill="49723B"/>
            <w:noWrap/>
            <w:vAlign w:val="bottom"/>
            <w:hideMark/>
          </w:tcPr>
          <w:p w14:paraId="33A3B183"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Positive   (1%&gt;)</w:t>
            </w:r>
          </w:p>
        </w:tc>
        <w:tc>
          <w:tcPr>
            <w:tcW w:w="1416" w:type="dxa"/>
            <w:gridSpan w:val="3"/>
            <w:tcBorders>
              <w:top w:val="nil"/>
              <w:left w:val="nil"/>
              <w:bottom w:val="single" w:sz="4" w:space="0" w:color="FFFFFF"/>
              <w:right w:val="single" w:sz="4" w:space="0" w:color="FFFFFF"/>
            </w:tcBorders>
            <w:shd w:val="clear" w:color="000000" w:fill="EFEAE6"/>
            <w:noWrap/>
            <w:vAlign w:val="bottom"/>
            <w:hideMark/>
          </w:tcPr>
          <w:p w14:paraId="29DDBD7E"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57</w:t>
            </w:r>
          </w:p>
        </w:tc>
        <w:tc>
          <w:tcPr>
            <w:tcW w:w="1418" w:type="dxa"/>
            <w:gridSpan w:val="3"/>
            <w:tcBorders>
              <w:top w:val="nil"/>
              <w:left w:val="nil"/>
              <w:bottom w:val="single" w:sz="4" w:space="0" w:color="FFFFFF"/>
              <w:right w:val="single" w:sz="4" w:space="0" w:color="FFFFFF"/>
            </w:tcBorders>
            <w:shd w:val="clear" w:color="000000" w:fill="EFEAE6"/>
            <w:noWrap/>
            <w:vAlign w:val="bottom"/>
            <w:hideMark/>
          </w:tcPr>
          <w:p w14:paraId="3ABB4884"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0</w:t>
            </w:r>
          </w:p>
        </w:tc>
        <w:tc>
          <w:tcPr>
            <w:tcW w:w="1368" w:type="dxa"/>
            <w:gridSpan w:val="3"/>
            <w:tcBorders>
              <w:top w:val="nil"/>
              <w:left w:val="nil"/>
              <w:bottom w:val="single" w:sz="4" w:space="0" w:color="FFFFFF"/>
              <w:right w:val="single" w:sz="4" w:space="0" w:color="FFFFFF"/>
            </w:tcBorders>
            <w:shd w:val="clear" w:color="000000" w:fill="EFEAE6"/>
            <w:noWrap/>
            <w:vAlign w:val="bottom"/>
            <w:hideMark/>
          </w:tcPr>
          <w:p w14:paraId="3DD9BD34"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29</w:t>
            </w:r>
          </w:p>
        </w:tc>
        <w:tc>
          <w:tcPr>
            <w:tcW w:w="1366" w:type="dxa"/>
            <w:gridSpan w:val="2"/>
            <w:tcBorders>
              <w:top w:val="nil"/>
              <w:left w:val="nil"/>
              <w:bottom w:val="single" w:sz="4" w:space="0" w:color="FFFFFF"/>
              <w:right w:val="single" w:sz="4" w:space="0" w:color="FFFFFF"/>
            </w:tcBorders>
            <w:shd w:val="clear" w:color="000000" w:fill="EFEAE6"/>
            <w:noWrap/>
            <w:vAlign w:val="bottom"/>
            <w:hideMark/>
          </w:tcPr>
          <w:p w14:paraId="653C5825"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14</w:t>
            </w:r>
          </w:p>
        </w:tc>
        <w:tc>
          <w:tcPr>
            <w:tcW w:w="222" w:type="dxa"/>
            <w:tcBorders>
              <w:top w:val="nil"/>
              <w:left w:val="nil"/>
              <w:bottom w:val="nil"/>
              <w:right w:val="nil"/>
            </w:tcBorders>
            <w:shd w:val="clear" w:color="auto" w:fill="auto"/>
            <w:noWrap/>
            <w:vAlign w:val="bottom"/>
            <w:hideMark/>
          </w:tcPr>
          <w:p w14:paraId="570E5EA1" w14:textId="77777777" w:rsidR="00260DBC" w:rsidRPr="0083015C" w:rsidRDefault="00260DBC" w:rsidP="00260DBC">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5D512280" w14:textId="77777777" w:rsidR="00260DBC" w:rsidRPr="0083015C" w:rsidRDefault="00260DBC" w:rsidP="00260DBC">
            <w:pPr>
              <w:spacing w:after="0" w:line="240" w:lineRule="auto"/>
              <w:jc w:val="center"/>
              <w:rPr>
                <w:rFonts w:ascii="Times New Roman" w:eastAsia="Times New Roman" w:hAnsi="Times New Roman" w:cs="Times New Roman"/>
                <w:sz w:val="20"/>
                <w:szCs w:val="20"/>
                <w:lang w:eastAsia="en-GB"/>
              </w:rPr>
            </w:pPr>
          </w:p>
        </w:tc>
        <w:tc>
          <w:tcPr>
            <w:tcW w:w="222" w:type="dxa"/>
            <w:gridSpan w:val="2"/>
            <w:tcBorders>
              <w:top w:val="nil"/>
              <w:left w:val="nil"/>
              <w:bottom w:val="nil"/>
              <w:right w:val="nil"/>
            </w:tcBorders>
            <w:shd w:val="clear" w:color="auto" w:fill="auto"/>
            <w:noWrap/>
            <w:vAlign w:val="bottom"/>
            <w:hideMark/>
          </w:tcPr>
          <w:p w14:paraId="0CA56471" w14:textId="77777777" w:rsidR="00260DBC" w:rsidRPr="0083015C" w:rsidRDefault="00260DBC" w:rsidP="00260DBC">
            <w:pPr>
              <w:spacing w:after="0" w:line="240" w:lineRule="auto"/>
              <w:jc w:val="center"/>
              <w:rPr>
                <w:rFonts w:ascii="Times New Roman" w:eastAsia="Times New Roman" w:hAnsi="Times New Roman" w:cs="Times New Roman"/>
                <w:sz w:val="20"/>
                <w:szCs w:val="20"/>
                <w:lang w:eastAsia="en-GB"/>
              </w:rPr>
            </w:pPr>
          </w:p>
        </w:tc>
      </w:tr>
      <w:tr w:rsidR="00260DBC" w:rsidRPr="0083015C" w14:paraId="6716F1B1" w14:textId="77777777" w:rsidTr="00E51B3B">
        <w:trPr>
          <w:gridAfter w:val="7"/>
          <w:wAfter w:w="2570" w:type="dxa"/>
          <w:trHeight w:val="421"/>
        </w:trPr>
        <w:tc>
          <w:tcPr>
            <w:tcW w:w="1678" w:type="dxa"/>
            <w:gridSpan w:val="2"/>
            <w:tcBorders>
              <w:top w:val="nil"/>
              <w:left w:val="single" w:sz="4" w:space="0" w:color="FFFFFF"/>
              <w:bottom w:val="single" w:sz="4" w:space="0" w:color="FFFFFF"/>
              <w:right w:val="single" w:sz="4" w:space="0" w:color="FFFFFF"/>
            </w:tcBorders>
            <w:shd w:val="clear" w:color="000000" w:fill="49723B"/>
            <w:noWrap/>
            <w:vAlign w:val="bottom"/>
            <w:hideMark/>
          </w:tcPr>
          <w:p w14:paraId="7EE5931E"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Negative (&lt;1%)</w:t>
            </w:r>
          </w:p>
        </w:tc>
        <w:tc>
          <w:tcPr>
            <w:tcW w:w="1416" w:type="dxa"/>
            <w:gridSpan w:val="3"/>
            <w:tcBorders>
              <w:top w:val="nil"/>
              <w:left w:val="nil"/>
              <w:bottom w:val="single" w:sz="4" w:space="0" w:color="FFFFFF"/>
              <w:right w:val="single" w:sz="4" w:space="0" w:color="FFFFFF"/>
            </w:tcBorders>
            <w:shd w:val="clear" w:color="000000" w:fill="EFEAE6"/>
            <w:noWrap/>
            <w:vAlign w:val="bottom"/>
            <w:hideMark/>
          </w:tcPr>
          <w:p w14:paraId="4849E4FA"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32</w:t>
            </w:r>
          </w:p>
        </w:tc>
        <w:tc>
          <w:tcPr>
            <w:tcW w:w="1418" w:type="dxa"/>
            <w:gridSpan w:val="3"/>
            <w:tcBorders>
              <w:top w:val="nil"/>
              <w:left w:val="nil"/>
              <w:bottom w:val="single" w:sz="4" w:space="0" w:color="FFFFFF"/>
              <w:right w:val="single" w:sz="4" w:space="0" w:color="FFFFFF"/>
            </w:tcBorders>
            <w:shd w:val="clear" w:color="000000" w:fill="EFEAE6"/>
            <w:noWrap/>
            <w:vAlign w:val="bottom"/>
            <w:hideMark/>
          </w:tcPr>
          <w:p w14:paraId="55E2270E"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15</w:t>
            </w:r>
          </w:p>
        </w:tc>
        <w:tc>
          <w:tcPr>
            <w:tcW w:w="1368" w:type="dxa"/>
            <w:gridSpan w:val="3"/>
            <w:tcBorders>
              <w:top w:val="nil"/>
              <w:left w:val="nil"/>
              <w:bottom w:val="single" w:sz="4" w:space="0" w:color="FFFFFF"/>
              <w:right w:val="single" w:sz="4" w:space="0" w:color="FFFFFF"/>
            </w:tcBorders>
            <w:shd w:val="clear" w:color="000000" w:fill="EFEAE6"/>
            <w:noWrap/>
            <w:vAlign w:val="bottom"/>
            <w:hideMark/>
          </w:tcPr>
          <w:p w14:paraId="600134ED"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38</w:t>
            </w:r>
          </w:p>
        </w:tc>
        <w:tc>
          <w:tcPr>
            <w:tcW w:w="1366" w:type="dxa"/>
            <w:gridSpan w:val="2"/>
            <w:tcBorders>
              <w:top w:val="nil"/>
              <w:left w:val="nil"/>
              <w:bottom w:val="single" w:sz="4" w:space="0" w:color="FFFFFF"/>
              <w:right w:val="single" w:sz="4" w:space="0" w:color="FFFFFF"/>
            </w:tcBorders>
            <w:shd w:val="clear" w:color="000000" w:fill="EFEAE6"/>
            <w:noWrap/>
            <w:vAlign w:val="bottom"/>
            <w:hideMark/>
          </w:tcPr>
          <w:p w14:paraId="29585711"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16</w:t>
            </w:r>
          </w:p>
        </w:tc>
        <w:tc>
          <w:tcPr>
            <w:tcW w:w="222" w:type="dxa"/>
            <w:tcBorders>
              <w:top w:val="nil"/>
              <w:left w:val="nil"/>
              <w:bottom w:val="nil"/>
              <w:right w:val="nil"/>
            </w:tcBorders>
            <w:shd w:val="clear" w:color="auto" w:fill="auto"/>
            <w:noWrap/>
            <w:vAlign w:val="bottom"/>
            <w:hideMark/>
          </w:tcPr>
          <w:p w14:paraId="3D110164" w14:textId="77777777" w:rsidR="00260DBC" w:rsidRPr="0083015C" w:rsidRDefault="00260DBC" w:rsidP="00260DBC">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506F277A" w14:textId="77777777" w:rsidR="00260DBC" w:rsidRPr="0083015C" w:rsidRDefault="00260DBC" w:rsidP="00260DBC">
            <w:pPr>
              <w:spacing w:after="0" w:line="240" w:lineRule="auto"/>
              <w:jc w:val="center"/>
              <w:rPr>
                <w:rFonts w:ascii="Times New Roman" w:eastAsia="Times New Roman" w:hAnsi="Times New Roman" w:cs="Times New Roman"/>
                <w:sz w:val="20"/>
                <w:szCs w:val="20"/>
                <w:lang w:eastAsia="en-GB"/>
              </w:rPr>
            </w:pPr>
          </w:p>
        </w:tc>
        <w:tc>
          <w:tcPr>
            <w:tcW w:w="222" w:type="dxa"/>
            <w:gridSpan w:val="2"/>
            <w:tcBorders>
              <w:top w:val="nil"/>
              <w:left w:val="nil"/>
              <w:bottom w:val="nil"/>
              <w:right w:val="nil"/>
            </w:tcBorders>
            <w:shd w:val="clear" w:color="auto" w:fill="auto"/>
            <w:noWrap/>
            <w:vAlign w:val="bottom"/>
            <w:hideMark/>
          </w:tcPr>
          <w:p w14:paraId="534A5E78" w14:textId="77777777" w:rsidR="00260DBC" w:rsidRPr="0083015C" w:rsidRDefault="00260DBC" w:rsidP="00260DBC">
            <w:pPr>
              <w:spacing w:after="0" w:line="240" w:lineRule="auto"/>
              <w:jc w:val="center"/>
              <w:rPr>
                <w:rFonts w:ascii="Times New Roman" w:eastAsia="Times New Roman" w:hAnsi="Times New Roman" w:cs="Times New Roman"/>
                <w:sz w:val="20"/>
                <w:szCs w:val="20"/>
                <w:lang w:eastAsia="en-GB"/>
              </w:rPr>
            </w:pPr>
          </w:p>
        </w:tc>
      </w:tr>
      <w:tr w:rsidR="00260DBC" w:rsidRPr="0083015C" w14:paraId="42344E8C" w14:textId="77777777" w:rsidTr="00E51B3B">
        <w:trPr>
          <w:gridAfter w:val="7"/>
          <w:wAfter w:w="2570" w:type="dxa"/>
          <w:trHeight w:val="421"/>
        </w:trPr>
        <w:tc>
          <w:tcPr>
            <w:tcW w:w="1678" w:type="dxa"/>
            <w:gridSpan w:val="2"/>
            <w:tcBorders>
              <w:top w:val="nil"/>
              <w:left w:val="single" w:sz="4" w:space="0" w:color="FFFFFF"/>
              <w:bottom w:val="single" w:sz="4" w:space="0" w:color="FFFFFF"/>
              <w:right w:val="single" w:sz="4" w:space="0" w:color="FFFFFF"/>
            </w:tcBorders>
            <w:shd w:val="clear" w:color="000000" w:fill="49723B"/>
            <w:noWrap/>
            <w:vAlign w:val="bottom"/>
            <w:hideMark/>
          </w:tcPr>
          <w:p w14:paraId="7642F3CE" w14:textId="77777777" w:rsidR="00260DBC" w:rsidRPr="0083015C" w:rsidRDefault="00260DBC" w:rsidP="00260DBC">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Overall</w:t>
            </w:r>
          </w:p>
        </w:tc>
        <w:tc>
          <w:tcPr>
            <w:tcW w:w="1416" w:type="dxa"/>
            <w:gridSpan w:val="3"/>
            <w:tcBorders>
              <w:top w:val="nil"/>
              <w:left w:val="nil"/>
              <w:bottom w:val="single" w:sz="4" w:space="0" w:color="FFFFFF"/>
              <w:right w:val="single" w:sz="4" w:space="0" w:color="FFFFFF"/>
            </w:tcBorders>
            <w:shd w:val="clear" w:color="000000" w:fill="EFEAE6"/>
            <w:noWrap/>
            <w:vAlign w:val="bottom"/>
            <w:hideMark/>
          </w:tcPr>
          <w:p w14:paraId="0190243E"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37</w:t>
            </w:r>
          </w:p>
        </w:tc>
        <w:tc>
          <w:tcPr>
            <w:tcW w:w="1418" w:type="dxa"/>
            <w:gridSpan w:val="3"/>
            <w:tcBorders>
              <w:top w:val="nil"/>
              <w:left w:val="nil"/>
              <w:bottom w:val="single" w:sz="4" w:space="0" w:color="FFFFFF"/>
              <w:right w:val="single" w:sz="4" w:space="0" w:color="FFFFFF"/>
            </w:tcBorders>
            <w:shd w:val="clear" w:color="000000" w:fill="EFEAE6"/>
            <w:noWrap/>
            <w:vAlign w:val="bottom"/>
            <w:hideMark/>
          </w:tcPr>
          <w:p w14:paraId="11CB227D"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12</w:t>
            </w:r>
          </w:p>
        </w:tc>
        <w:tc>
          <w:tcPr>
            <w:tcW w:w="1368" w:type="dxa"/>
            <w:gridSpan w:val="3"/>
            <w:tcBorders>
              <w:top w:val="nil"/>
              <w:left w:val="nil"/>
              <w:bottom w:val="single" w:sz="4" w:space="0" w:color="FFFFFF"/>
              <w:right w:val="single" w:sz="4" w:space="0" w:color="FFFFFF"/>
            </w:tcBorders>
            <w:shd w:val="clear" w:color="000000" w:fill="EFEAE6"/>
            <w:noWrap/>
            <w:vAlign w:val="bottom"/>
            <w:hideMark/>
          </w:tcPr>
          <w:p w14:paraId="38F6BF39"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36</w:t>
            </w:r>
          </w:p>
        </w:tc>
        <w:tc>
          <w:tcPr>
            <w:tcW w:w="1366" w:type="dxa"/>
            <w:gridSpan w:val="2"/>
            <w:tcBorders>
              <w:top w:val="nil"/>
              <w:left w:val="nil"/>
              <w:bottom w:val="single" w:sz="4" w:space="0" w:color="FFFFFF"/>
              <w:right w:val="single" w:sz="4" w:space="0" w:color="FFFFFF"/>
            </w:tcBorders>
            <w:shd w:val="clear" w:color="000000" w:fill="EFEAE6"/>
            <w:noWrap/>
            <w:vAlign w:val="bottom"/>
            <w:hideMark/>
          </w:tcPr>
          <w:p w14:paraId="6D12BA52" w14:textId="77777777" w:rsidR="00260DBC" w:rsidRPr="0083015C" w:rsidRDefault="00260DBC" w:rsidP="00260DBC">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16</w:t>
            </w:r>
          </w:p>
        </w:tc>
        <w:tc>
          <w:tcPr>
            <w:tcW w:w="222" w:type="dxa"/>
            <w:tcBorders>
              <w:top w:val="nil"/>
              <w:left w:val="nil"/>
              <w:bottom w:val="nil"/>
              <w:right w:val="nil"/>
            </w:tcBorders>
            <w:shd w:val="clear" w:color="auto" w:fill="auto"/>
            <w:noWrap/>
            <w:vAlign w:val="bottom"/>
            <w:hideMark/>
          </w:tcPr>
          <w:p w14:paraId="0282BE66" w14:textId="77777777" w:rsidR="00260DBC" w:rsidRPr="0083015C" w:rsidRDefault="00260DBC" w:rsidP="00260DBC">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6CCF0407" w14:textId="77777777" w:rsidR="00260DBC" w:rsidRPr="0083015C" w:rsidRDefault="00260DBC" w:rsidP="00260DBC">
            <w:pPr>
              <w:spacing w:after="0" w:line="240" w:lineRule="auto"/>
              <w:jc w:val="center"/>
              <w:rPr>
                <w:rFonts w:ascii="Times New Roman" w:eastAsia="Times New Roman" w:hAnsi="Times New Roman" w:cs="Times New Roman"/>
                <w:sz w:val="20"/>
                <w:szCs w:val="20"/>
                <w:lang w:eastAsia="en-GB"/>
              </w:rPr>
            </w:pPr>
          </w:p>
        </w:tc>
        <w:tc>
          <w:tcPr>
            <w:tcW w:w="222" w:type="dxa"/>
            <w:gridSpan w:val="2"/>
            <w:tcBorders>
              <w:top w:val="nil"/>
              <w:left w:val="nil"/>
              <w:bottom w:val="nil"/>
              <w:right w:val="nil"/>
            </w:tcBorders>
            <w:shd w:val="clear" w:color="auto" w:fill="auto"/>
            <w:noWrap/>
            <w:vAlign w:val="bottom"/>
            <w:hideMark/>
          </w:tcPr>
          <w:p w14:paraId="5CDA6A7E" w14:textId="77777777" w:rsidR="00260DBC" w:rsidRPr="0083015C" w:rsidRDefault="00260DBC" w:rsidP="00260DBC">
            <w:pPr>
              <w:spacing w:after="0" w:line="240" w:lineRule="auto"/>
              <w:jc w:val="center"/>
              <w:rPr>
                <w:rFonts w:ascii="Times New Roman" w:eastAsia="Times New Roman" w:hAnsi="Times New Roman" w:cs="Times New Roman"/>
                <w:sz w:val="20"/>
                <w:szCs w:val="20"/>
                <w:lang w:eastAsia="en-GB"/>
              </w:rPr>
            </w:pPr>
          </w:p>
        </w:tc>
      </w:tr>
      <w:tr w:rsidR="00260DBC" w:rsidRPr="0083015C" w14:paraId="45A2516F" w14:textId="77777777" w:rsidTr="00E51B3B">
        <w:trPr>
          <w:gridAfter w:val="7"/>
          <w:wAfter w:w="2570" w:type="dxa"/>
          <w:trHeight w:val="421"/>
        </w:trPr>
        <w:tc>
          <w:tcPr>
            <w:tcW w:w="7912" w:type="dxa"/>
            <w:gridSpan w:val="17"/>
            <w:tcBorders>
              <w:top w:val="nil"/>
              <w:left w:val="nil"/>
              <w:bottom w:val="nil"/>
              <w:right w:val="nil"/>
            </w:tcBorders>
            <w:shd w:val="clear" w:color="auto" w:fill="auto"/>
            <w:noWrap/>
            <w:vAlign w:val="bottom"/>
            <w:hideMark/>
          </w:tcPr>
          <w:p w14:paraId="6BB6247A" w14:textId="131109C3" w:rsidR="00260DBC" w:rsidRPr="0083015C" w:rsidRDefault="00260DBC" w:rsidP="00260DBC">
            <w:pPr>
              <w:spacing w:after="0" w:line="240" w:lineRule="auto"/>
              <w:rPr>
                <w:rFonts w:ascii="Calibri" w:eastAsia="Times New Roman" w:hAnsi="Calibri" w:cs="Calibri"/>
                <w:b/>
                <w:bCs/>
                <w:color w:val="5F735C"/>
                <w:lang w:eastAsia="en-GB"/>
              </w:rPr>
            </w:pPr>
            <w:r w:rsidRPr="0083015C">
              <w:rPr>
                <w:rFonts w:ascii="Calibri" w:eastAsia="Times New Roman" w:hAnsi="Calibri" w:cs="Calibri"/>
                <w:b/>
                <w:bCs/>
                <w:color w:val="5F735C"/>
                <w:lang w:eastAsia="en-GB"/>
              </w:rPr>
              <w:t xml:space="preserve">Notes: 'strong' onshore and </w:t>
            </w:r>
            <w:r w:rsidR="0031077B">
              <w:rPr>
                <w:rFonts w:ascii="Calibri" w:eastAsia="Times New Roman" w:hAnsi="Calibri" w:cs="Calibri"/>
                <w:b/>
                <w:bCs/>
                <w:color w:val="5F735C"/>
                <w:lang w:eastAsia="en-GB"/>
              </w:rPr>
              <w:t>offshore</w:t>
            </w:r>
            <w:r w:rsidRPr="0083015C">
              <w:rPr>
                <w:rFonts w:ascii="Calibri" w:eastAsia="Times New Roman" w:hAnsi="Calibri" w:cs="Calibri"/>
                <w:b/>
                <w:bCs/>
                <w:color w:val="5F735C"/>
                <w:lang w:eastAsia="en-GB"/>
              </w:rPr>
              <w:t xml:space="preserve"> overseas student average annual growth is 3%&gt; and 'weak' growth is &lt;3%.</w:t>
            </w:r>
          </w:p>
        </w:tc>
      </w:tr>
      <w:tr w:rsidR="00E51B3B" w:rsidRPr="0083015C" w14:paraId="23F9838A" w14:textId="77777777" w:rsidTr="00E51B3B">
        <w:trPr>
          <w:gridAfter w:val="2"/>
          <w:wAfter w:w="1730" w:type="dxa"/>
          <w:trHeight w:val="288"/>
        </w:trPr>
        <w:tc>
          <w:tcPr>
            <w:tcW w:w="1018" w:type="dxa"/>
            <w:tcBorders>
              <w:top w:val="nil"/>
              <w:left w:val="nil"/>
              <w:bottom w:val="nil"/>
              <w:right w:val="nil"/>
            </w:tcBorders>
            <w:shd w:val="clear" w:color="auto" w:fill="auto"/>
            <w:noWrap/>
            <w:vAlign w:val="bottom"/>
            <w:hideMark/>
          </w:tcPr>
          <w:p w14:paraId="20AFE9DD" w14:textId="77777777" w:rsidR="00E51B3B" w:rsidRDefault="00260DBC" w:rsidP="00452D9F">
            <w:pPr>
              <w:spacing w:after="0" w:line="240" w:lineRule="auto"/>
              <w:rPr>
                <w:rFonts w:cstheme="minorHAnsi"/>
                <w:sz w:val="28"/>
                <w:szCs w:val="28"/>
              </w:rPr>
            </w:pPr>
            <w:r w:rsidRPr="003F67EF">
              <w:rPr>
                <w:rFonts w:cstheme="minorHAnsi"/>
                <w:sz w:val="28"/>
                <w:szCs w:val="28"/>
              </w:rPr>
              <w:t xml:space="preserve"> </w:t>
            </w:r>
          </w:p>
          <w:p w14:paraId="482169B9" w14:textId="17AB8081" w:rsidR="00E51B3B" w:rsidRPr="0083015C" w:rsidRDefault="00E51B3B" w:rsidP="00452D9F">
            <w:pPr>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Table 3</w:t>
            </w:r>
            <w:r w:rsidRPr="0083015C">
              <w:rPr>
                <w:rFonts w:ascii="Calibri" w:eastAsia="Times New Roman" w:hAnsi="Calibri" w:cs="Calibri"/>
                <w:b/>
                <w:bCs/>
                <w:color w:val="5F735C"/>
                <w:lang w:eastAsia="en-GB"/>
              </w:rPr>
              <w:t>:</w:t>
            </w:r>
          </w:p>
        </w:tc>
        <w:tc>
          <w:tcPr>
            <w:tcW w:w="7734" w:type="dxa"/>
            <w:gridSpan w:val="21"/>
            <w:tcBorders>
              <w:top w:val="nil"/>
              <w:left w:val="nil"/>
              <w:bottom w:val="nil"/>
              <w:right w:val="nil"/>
            </w:tcBorders>
            <w:shd w:val="clear" w:color="auto" w:fill="auto"/>
            <w:noWrap/>
            <w:vAlign w:val="bottom"/>
            <w:hideMark/>
          </w:tcPr>
          <w:p w14:paraId="44E1C2C3" w14:textId="77777777" w:rsidR="00E51B3B" w:rsidRPr="0083015C" w:rsidRDefault="00E51B3B" w:rsidP="00452D9F">
            <w:pPr>
              <w:spacing w:after="0" w:line="240" w:lineRule="auto"/>
              <w:rPr>
                <w:rFonts w:ascii="Calibri" w:eastAsia="Times New Roman" w:hAnsi="Calibri" w:cs="Calibri"/>
                <w:color w:val="000000"/>
                <w:lang w:eastAsia="en-GB"/>
              </w:rPr>
            </w:pPr>
            <w:r w:rsidRPr="0083015C">
              <w:rPr>
                <w:rFonts w:ascii="Calibri" w:eastAsia="Times New Roman" w:hAnsi="Calibri" w:cs="Calibri"/>
                <w:color w:val="000000"/>
                <w:lang w:eastAsia="en-GB"/>
              </w:rPr>
              <w:t>Percentage of universities by type with 'strong' average annual rates of growth</w:t>
            </w:r>
          </w:p>
        </w:tc>
      </w:tr>
      <w:tr w:rsidR="00E51B3B" w:rsidRPr="0083015C" w14:paraId="0900B244" w14:textId="77777777" w:rsidTr="00E51B3B">
        <w:trPr>
          <w:gridAfter w:val="2"/>
          <w:wAfter w:w="1730" w:type="dxa"/>
          <w:trHeight w:val="288"/>
        </w:trPr>
        <w:tc>
          <w:tcPr>
            <w:tcW w:w="8530" w:type="dxa"/>
            <w:gridSpan w:val="21"/>
            <w:tcBorders>
              <w:top w:val="nil"/>
              <w:left w:val="nil"/>
              <w:bottom w:val="nil"/>
              <w:right w:val="nil"/>
            </w:tcBorders>
            <w:shd w:val="clear" w:color="auto" w:fill="auto"/>
            <w:noWrap/>
            <w:vAlign w:val="bottom"/>
            <w:hideMark/>
          </w:tcPr>
          <w:p w14:paraId="363810A9" w14:textId="7627192C" w:rsidR="00E51B3B" w:rsidRPr="0083015C" w:rsidRDefault="00E51B3B" w:rsidP="00452D9F">
            <w:pPr>
              <w:spacing w:after="0" w:line="240" w:lineRule="auto"/>
              <w:rPr>
                <w:rFonts w:ascii="Calibri" w:eastAsia="Times New Roman" w:hAnsi="Calibri" w:cs="Calibri"/>
                <w:b/>
                <w:bCs/>
                <w:color w:val="5F735C"/>
                <w:lang w:eastAsia="en-GB"/>
              </w:rPr>
            </w:pPr>
            <w:r w:rsidRPr="0083015C">
              <w:rPr>
                <w:rFonts w:ascii="Calibri" w:eastAsia="Times New Roman" w:hAnsi="Calibri" w:cs="Calibri"/>
                <w:b/>
                <w:bCs/>
                <w:color w:val="5F735C"/>
                <w:lang w:eastAsia="en-GB"/>
              </w:rPr>
              <w:t xml:space="preserve">for onshore and </w:t>
            </w:r>
            <w:r w:rsidR="0031077B">
              <w:rPr>
                <w:rFonts w:ascii="Calibri" w:eastAsia="Times New Roman" w:hAnsi="Calibri" w:cs="Calibri"/>
                <w:b/>
                <w:bCs/>
                <w:color w:val="5F735C"/>
                <w:lang w:eastAsia="en-GB"/>
              </w:rPr>
              <w:t>offshore</w:t>
            </w:r>
            <w:r w:rsidRPr="0083015C">
              <w:rPr>
                <w:rFonts w:ascii="Calibri" w:eastAsia="Times New Roman" w:hAnsi="Calibri" w:cs="Calibri"/>
                <w:b/>
                <w:bCs/>
                <w:color w:val="5F735C"/>
                <w:lang w:eastAsia="en-GB"/>
              </w:rPr>
              <w:t xml:space="preserve"> overseas students, 2015/16 (rounded percentages)</w:t>
            </w:r>
          </w:p>
        </w:tc>
        <w:tc>
          <w:tcPr>
            <w:tcW w:w="222" w:type="dxa"/>
            <w:tcBorders>
              <w:top w:val="nil"/>
              <w:left w:val="nil"/>
              <w:bottom w:val="nil"/>
              <w:right w:val="nil"/>
            </w:tcBorders>
            <w:shd w:val="clear" w:color="auto" w:fill="auto"/>
            <w:noWrap/>
            <w:vAlign w:val="bottom"/>
            <w:hideMark/>
          </w:tcPr>
          <w:p w14:paraId="1FE400D5" w14:textId="77777777" w:rsidR="00E51B3B" w:rsidRPr="0083015C" w:rsidRDefault="00E51B3B" w:rsidP="00452D9F">
            <w:pPr>
              <w:spacing w:after="0" w:line="240" w:lineRule="auto"/>
              <w:rPr>
                <w:rFonts w:ascii="Calibri" w:eastAsia="Times New Roman" w:hAnsi="Calibri" w:cs="Calibri"/>
                <w:b/>
                <w:bCs/>
                <w:color w:val="5F735C"/>
                <w:lang w:eastAsia="en-GB"/>
              </w:rPr>
            </w:pPr>
          </w:p>
        </w:tc>
      </w:tr>
      <w:tr w:rsidR="00E51B3B" w:rsidRPr="0083015C" w14:paraId="73C6CCBD" w14:textId="77777777" w:rsidTr="00E51B3B">
        <w:trPr>
          <w:gridAfter w:val="2"/>
          <w:wAfter w:w="1730" w:type="dxa"/>
          <w:trHeight w:val="288"/>
        </w:trPr>
        <w:tc>
          <w:tcPr>
            <w:tcW w:w="1018" w:type="dxa"/>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7AC387BB" w14:textId="77777777" w:rsidR="00E51B3B" w:rsidRPr="0083015C" w:rsidRDefault="00E51B3B" w:rsidP="00452D9F">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1816" w:type="dxa"/>
            <w:gridSpan w:val="3"/>
            <w:tcBorders>
              <w:top w:val="single" w:sz="4" w:space="0" w:color="FFFFFF"/>
              <w:left w:val="nil"/>
              <w:bottom w:val="single" w:sz="4" w:space="0" w:color="FFFFFF"/>
              <w:right w:val="single" w:sz="4" w:space="0" w:color="FFFFFF"/>
            </w:tcBorders>
            <w:shd w:val="clear" w:color="000000" w:fill="49723B"/>
            <w:noWrap/>
            <w:vAlign w:val="bottom"/>
            <w:hideMark/>
          </w:tcPr>
          <w:p w14:paraId="3A3B1781" w14:textId="77777777" w:rsidR="00E51B3B" w:rsidRPr="0083015C" w:rsidRDefault="00E51B3B" w:rsidP="00452D9F">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Ancient/</w:t>
            </w:r>
          </w:p>
        </w:tc>
        <w:tc>
          <w:tcPr>
            <w:tcW w:w="2054" w:type="dxa"/>
            <w:gridSpan w:val="5"/>
            <w:tcBorders>
              <w:top w:val="single" w:sz="4" w:space="0" w:color="FFFFFF"/>
              <w:left w:val="nil"/>
              <w:bottom w:val="single" w:sz="4" w:space="0" w:color="FFFFFF"/>
              <w:right w:val="single" w:sz="4" w:space="0" w:color="FFFFFF"/>
            </w:tcBorders>
            <w:shd w:val="clear" w:color="000000" w:fill="49723B"/>
            <w:noWrap/>
            <w:vAlign w:val="bottom"/>
            <w:hideMark/>
          </w:tcPr>
          <w:p w14:paraId="08019266" w14:textId="77777777" w:rsidR="00E51B3B" w:rsidRPr="0083015C" w:rsidRDefault="00E51B3B" w:rsidP="00452D9F">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Plate-glass</w:t>
            </w:r>
          </w:p>
        </w:tc>
        <w:tc>
          <w:tcPr>
            <w:tcW w:w="2976" w:type="dxa"/>
            <w:gridSpan w:val="7"/>
            <w:tcBorders>
              <w:top w:val="single" w:sz="4" w:space="0" w:color="FFFFFF"/>
              <w:left w:val="nil"/>
              <w:bottom w:val="single" w:sz="4" w:space="0" w:color="FFFFFF"/>
              <w:right w:val="single" w:sz="4" w:space="0" w:color="FFFFFF"/>
            </w:tcBorders>
            <w:shd w:val="clear" w:color="000000" w:fill="49723B"/>
            <w:noWrap/>
            <w:vAlign w:val="bottom"/>
            <w:hideMark/>
          </w:tcPr>
          <w:p w14:paraId="3F5A0110" w14:textId="77777777" w:rsidR="00E51B3B" w:rsidRPr="0083015C" w:rsidRDefault="00E51B3B" w:rsidP="00452D9F">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Ex-polytechnic</w:t>
            </w:r>
          </w:p>
        </w:tc>
        <w:tc>
          <w:tcPr>
            <w:tcW w:w="222" w:type="dxa"/>
            <w:gridSpan w:val="3"/>
            <w:tcBorders>
              <w:top w:val="nil"/>
              <w:left w:val="nil"/>
              <w:bottom w:val="nil"/>
              <w:right w:val="nil"/>
            </w:tcBorders>
            <w:shd w:val="clear" w:color="auto" w:fill="auto"/>
            <w:noWrap/>
            <w:vAlign w:val="bottom"/>
            <w:hideMark/>
          </w:tcPr>
          <w:p w14:paraId="7AE78A84" w14:textId="77777777" w:rsidR="00E51B3B" w:rsidRPr="0083015C" w:rsidRDefault="00E51B3B" w:rsidP="00452D9F">
            <w:pPr>
              <w:spacing w:after="0" w:line="240" w:lineRule="auto"/>
              <w:jc w:val="center"/>
              <w:rPr>
                <w:rFonts w:ascii="Calibri" w:eastAsia="Times New Roman" w:hAnsi="Calibri" w:cs="Calibri"/>
                <w:b/>
                <w:bCs/>
                <w:color w:val="FFFFFF"/>
                <w:lang w:eastAsia="en-GB"/>
              </w:rPr>
            </w:pPr>
          </w:p>
        </w:tc>
        <w:tc>
          <w:tcPr>
            <w:tcW w:w="222" w:type="dxa"/>
            <w:tcBorders>
              <w:top w:val="nil"/>
              <w:left w:val="nil"/>
              <w:bottom w:val="nil"/>
              <w:right w:val="nil"/>
            </w:tcBorders>
            <w:shd w:val="clear" w:color="auto" w:fill="auto"/>
            <w:noWrap/>
            <w:vAlign w:val="bottom"/>
            <w:hideMark/>
          </w:tcPr>
          <w:p w14:paraId="1FB9E3A4" w14:textId="77777777" w:rsidR="00E51B3B" w:rsidRPr="0083015C" w:rsidRDefault="00E51B3B" w:rsidP="00452D9F">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95EBD75" w14:textId="77777777" w:rsidR="00E51B3B" w:rsidRPr="0083015C" w:rsidRDefault="00E51B3B" w:rsidP="00452D9F">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296F1CC" w14:textId="77777777" w:rsidR="00E51B3B" w:rsidRPr="0083015C" w:rsidRDefault="00E51B3B" w:rsidP="00452D9F">
            <w:pPr>
              <w:spacing w:after="0" w:line="240" w:lineRule="auto"/>
              <w:rPr>
                <w:rFonts w:ascii="Times New Roman" w:eastAsia="Times New Roman" w:hAnsi="Times New Roman" w:cs="Times New Roman"/>
                <w:sz w:val="20"/>
                <w:szCs w:val="20"/>
                <w:lang w:eastAsia="en-GB"/>
              </w:rPr>
            </w:pPr>
          </w:p>
        </w:tc>
      </w:tr>
      <w:tr w:rsidR="00E51B3B" w:rsidRPr="0083015C" w14:paraId="1F771D5F" w14:textId="77777777" w:rsidTr="00E51B3B">
        <w:trPr>
          <w:gridAfter w:val="2"/>
          <w:wAfter w:w="1730" w:type="dxa"/>
          <w:trHeight w:val="288"/>
        </w:trPr>
        <w:tc>
          <w:tcPr>
            <w:tcW w:w="1018" w:type="dxa"/>
            <w:tcBorders>
              <w:top w:val="nil"/>
              <w:left w:val="single" w:sz="4" w:space="0" w:color="FFFFFF"/>
              <w:bottom w:val="single" w:sz="4" w:space="0" w:color="FFFFFF"/>
              <w:right w:val="single" w:sz="4" w:space="0" w:color="FFFFFF"/>
            </w:tcBorders>
            <w:shd w:val="clear" w:color="000000" w:fill="49723B"/>
            <w:noWrap/>
            <w:vAlign w:val="bottom"/>
            <w:hideMark/>
          </w:tcPr>
          <w:p w14:paraId="2CA96041" w14:textId="77777777" w:rsidR="00E51B3B" w:rsidRPr="0083015C" w:rsidRDefault="00E51B3B" w:rsidP="00452D9F">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1816" w:type="dxa"/>
            <w:gridSpan w:val="3"/>
            <w:tcBorders>
              <w:top w:val="nil"/>
              <w:left w:val="nil"/>
              <w:bottom w:val="single" w:sz="4" w:space="0" w:color="FFFFFF"/>
              <w:right w:val="single" w:sz="4" w:space="0" w:color="FFFFFF"/>
            </w:tcBorders>
            <w:shd w:val="clear" w:color="000000" w:fill="49723B"/>
            <w:noWrap/>
            <w:vAlign w:val="bottom"/>
            <w:hideMark/>
          </w:tcPr>
          <w:p w14:paraId="78DE7640" w14:textId="77777777" w:rsidR="00E51B3B" w:rsidRPr="0083015C" w:rsidRDefault="00E51B3B" w:rsidP="00452D9F">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Redbrick</w:t>
            </w:r>
          </w:p>
        </w:tc>
        <w:tc>
          <w:tcPr>
            <w:tcW w:w="2054" w:type="dxa"/>
            <w:gridSpan w:val="5"/>
            <w:tcBorders>
              <w:top w:val="nil"/>
              <w:left w:val="nil"/>
              <w:bottom w:val="single" w:sz="4" w:space="0" w:color="FFFFFF"/>
              <w:right w:val="single" w:sz="4" w:space="0" w:color="FFFFFF"/>
            </w:tcBorders>
            <w:shd w:val="clear" w:color="000000" w:fill="49723B"/>
            <w:noWrap/>
            <w:vAlign w:val="bottom"/>
            <w:hideMark/>
          </w:tcPr>
          <w:p w14:paraId="096B70E3" w14:textId="77777777" w:rsidR="00E51B3B" w:rsidRPr="0083015C" w:rsidRDefault="00E51B3B" w:rsidP="00452D9F">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2976" w:type="dxa"/>
            <w:gridSpan w:val="7"/>
            <w:tcBorders>
              <w:top w:val="nil"/>
              <w:left w:val="nil"/>
              <w:bottom w:val="single" w:sz="4" w:space="0" w:color="FFFFFF"/>
              <w:right w:val="single" w:sz="4" w:space="0" w:color="FFFFFF"/>
            </w:tcBorders>
            <w:shd w:val="clear" w:color="000000" w:fill="49723B"/>
            <w:noWrap/>
            <w:vAlign w:val="bottom"/>
            <w:hideMark/>
          </w:tcPr>
          <w:p w14:paraId="79D65CD9" w14:textId="77777777" w:rsidR="00E51B3B" w:rsidRPr="0083015C" w:rsidRDefault="00E51B3B" w:rsidP="00452D9F">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 </w:t>
            </w:r>
          </w:p>
        </w:tc>
        <w:tc>
          <w:tcPr>
            <w:tcW w:w="222" w:type="dxa"/>
            <w:gridSpan w:val="3"/>
            <w:tcBorders>
              <w:top w:val="nil"/>
              <w:left w:val="nil"/>
              <w:bottom w:val="nil"/>
              <w:right w:val="nil"/>
            </w:tcBorders>
            <w:shd w:val="clear" w:color="auto" w:fill="auto"/>
            <w:noWrap/>
            <w:vAlign w:val="bottom"/>
            <w:hideMark/>
          </w:tcPr>
          <w:p w14:paraId="2FB4ED5D" w14:textId="77777777" w:rsidR="00E51B3B" w:rsidRPr="0083015C" w:rsidRDefault="00E51B3B" w:rsidP="00452D9F">
            <w:pPr>
              <w:spacing w:after="0" w:line="240" w:lineRule="auto"/>
              <w:jc w:val="center"/>
              <w:rPr>
                <w:rFonts w:ascii="Calibri" w:eastAsia="Times New Roman" w:hAnsi="Calibri" w:cs="Calibri"/>
                <w:b/>
                <w:bCs/>
                <w:color w:val="FFFFFF"/>
                <w:lang w:eastAsia="en-GB"/>
              </w:rPr>
            </w:pPr>
          </w:p>
        </w:tc>
        <w:tc>
          <w:tcPr>
            <w:tcW w:w="222" w:type="dxa"/>
            <w:tcBorders>
              <w:top w:val="nil"/>
              <w:left w:val="nil"/>
              <w:bottom w:val="nil"/>
              <w:right w:val="nil"/>
            </w:tcBorders>
            <w:shd w:val="clear" w:color="auto" w:fill="auto"/>
            <w:noWrap/>
            <w:vAlign w:val="bottom"/>
            <w:hideMark/>
          </w:tcPr>
          <w:p w14:paraId="4B02DE6E" w14:textId="77777777" w:rsidR="00E51B3B" w:rsidRPr="0083015C" w:rsidRDefault="00E51B3B" w:rsidP="00452D9F">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81BED0A" w14:textId="77777777" w:rsidR="00E51B3B" w:rsidRPr="0083015C" w:rsidRDefault="00E51B3B" w:rsidP="00452D9F">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261729E" w14:textId="77777777" w:rsidR="00E51B3B" w:rsidRPr="0083015C" w:rsidRDefault="00E51B3B" w:rsidP="00452D9F">
            <w:pPr>
              <w:spacing w:after="0" w:line="240" w:lineRule="auto"/>
              <w:rPr>
                <w:rFonts w:ascii="Times New Roman" w:eastAsia="Times New Roman" w:hAnsi="Times New Roman" w:cs="Times New Roman"/>
                <w:sz w:val="20"/>
                <w:szCs w:val="20"/>
                <w:lang w:eastAsia="en-GB"/>
              </w:rPr>
            </w:pPr>
          </w:p>
        </w:tc>
      </w:tr>
      <w:tr w:rsidR="00E51B3B" w:rsidRPr="0083015C" w14:paraId="0B82E27C" w14:textId="77777777" w:rsidTr="00E51B3B">
        <w:trPr>
          <w:gridAfter w:val="2"/>
          <w:wAfter w:w="1730" w:type="dxa"/>
          <w:trHeight w:val="288"/>
        </w:trPr>
        <w:tc>
          <w:tcPr>
            <w:tcW w:w="1018" w:type="dxa"/>
            <w:tcBorders>
              <w:top w:val="nil"/>
              <w:left w:val="single" w:sz="4" w:space="0" w:color="FFFFFF"/>
              <w:bottom w:val="single" w:sz="4" w:space="0" w:color="FFFFFF"/>
              <w:right w:val="single" w:sz="4" w:space="0" w:color="FFFFFF"/>
            </w:tcBorders>
            <w:shd w:val="clear" w:color="000000" w:fill="49723B"/>
            <w:noWrap/>
            <w:vAlign w:val="bottom"/>
            <w:hideMark/>
          </w:tcPr>
          <w:p w14:paraId="37AE96A9" w14:textId="77777777" w:rsidR="00E51B3B" w:rsidRPr="0083015C" w:rsidRDefault="00E51B3B" w:rsidP="00452D9F">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Onshore</w:t>
            </w:r>
          </w:p>
        </w:tc>
        <w:tc>
          <w:tcPr>
            <w:tcW w:w="1816" w:type="dxa"/>
            <w:gridSpan w:val="3"/>
            <w:tcBorders>
              <w:top w:val="nil"/>
              <w:left w:val="nil"/>
              <w:bottom w:val="single" w:sz="4" w:space="0" w:color="FFFFFF"/>
              <w:right w:val="single" w:sz="4" w:space="0" w:color="FFFFFF"/>
            </w:tcBorders>
            <w:shd w:val="clear" w:color="000000" w:fill="EFEAE6"/>
            <w:noWrap/>
            <w:vAlign w:val="bottom"/>
            <w:hideMark/>
          </w:tcPr>
          <w:p w14:paraId="3FD6A05F" w14:textId="77777777" w:rsidR="00E51B3B" w:rsidRPr="0083015C" w:rsidRDefault="00E51B3B" w:rsidP="00452D9F">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69</w:t>
            </w:r>
          </w:p>
        </w:tc>
        <w:tc>
          <w:tcPr>
            <w:tcW w:w="2054" w:type="dxa"/>
            <w:gridSpan w:val="5"/>
            <w:tcBorders>
              <w:top w:val="nil"/>
              <w:left w:val="nil"/>
              <w:bottom w:val="single" w:sz="4" w:space="0" w:color="FFFFFF"/>
              <w:right w:val="single" w:sz="4" w:space="0" w:color="FFFFFF"/>
            </w:tcBorders>
            <w:shd w:val="clear" w:color="000000" w:fill="EFEAE6"/>
            <w:noWrap/>
            <w:vAlign w:val="bottom"/>
            <w:hideMark/>
          </w:tcPr>
          <w:p w14:paraId="27D32139" w14:textId="77777777" w:rsidR="00E51B3B" w:rsidRPr="0083015C" w:rsidRDefault="00E51B3B" w:rsidP="00452D9F">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58</w:t>
            </w:r>
          </w:p>
        </w:tc>
        <w:tc>
          <w:tcPr>
            <w:tcW w:w="2976" w:type="dxa"/>
            <w:gridSpan w:val="7"/>
            <w:tcBorders>
              <w:top w:val="nil"/>
              <w:left w:val="nil"/>
              <w:bottom w:val="single" w:sz="4" w:space="0" w:color="FFFFFF"/>
              <w:right w:val="single" w:sz="4" w:space="0" w:color="FFFFFF"/>
            </w:tcBorders>
            <w:shd w:val="clear" w:color="000000" w:fill="EFEAE6"/>
            <w:noWrap/>
            <w:vAlign w:val="bottom"/>
            <w:hideMark/>
          </w:tcPr>
          <w:p w14:paraId="69AE50D6" w14:textId="77777777" w:rsidR="00E51B3B" w:rsidRPr="0083015C" w:rsidRDefault="00E51B3B" w:rsidP="00452D9F">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37</w:t>
            </w:r>
          </w:p>
        </w:tc>
        <w:tc>
          <w:tcPr>
            <w:tcW w:w="222" w:type="dxa"/>
            <w:gridSpan w:val="3"/>
            <w:tcBorders>
              <w:top w:val="nil"/>
              <w:left w:val="nil"/>
              <w:bottom w:val="nil"/>
              <w:right w:val="nil"/>
            </w:tcBorders>
            <w:shd w:val="clear" w:color="auto" w:fill="auto"/>
            <w:noWrap/>
            <w:vAlign w:val="bottom"/>
            <w:hideMark/>
          </w:tcPr>
          <w:p w14:paraId="5F60065F" w14:textId="77777777" w:rsidR="00E51B3B" w:rsidRPr="0083015C" w:rsidRDefault="00E51B3B" w:rsidP="00452D9F">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01E1422F" w14:textId="77777777" w:rsidR="00E51B3B" w:rsidRPr="0083015C" w:rsidRDefault="00E51B3B" w:rsidP="00452D9F">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9B4A61E" w14:textId="77777777" w:rsidR="00E51B3B" w:rsidRPr="0083015C" w:rsidRDefault="00E51B3B" w:rsidP="00452D9F">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255AAB6" w14:textId="77777777" w:rsidR="00E51B3B" w:rsidRPr="0083015C" w:rsidRDefault="00E51B3B" w:rsidP="00452D9F">
            <w:pPr>
              <w:spacing w:after="0" w:line="240" w:lineRule="auto"/>
              <w:rPr>
                <w:rFonts w:ascii="Times New Roman" w:eastAsia="Times New Roman" w:hAnsi="Times New Roman" w:cs="Times New Roman"/>
                <w:sz w:val="20"/>
                <w:szCs w:val="20"/>
                <w:lang w:eastAsia="en-GB"/>
              </w:rPr>
            </w:pPr>
          </w:p>
        </w:tc>
      </w:tr>
      <w:tr w:rsidR="00E51B3B" w:rsidRPr="0083015C" w14:paraId="3879B8C9" w14:textId="77777777" w:rsidTr="00E51B3B">
        <w:trPr>
          <w:gridAfter w:val="2"/>
          <w:wAfter w:w="1730" w:type="dxa"/>
          <w:trHeight w:val="288"/>
        </w:trPr>
        <w:tc>
          <w:tcPr>
            <w:tcW w:w="1018" w:type="dxa"/>
            <w:tcBorders>
              <w:top w:val="nil"/>
              <w:left w:val="single" w:sz="4" w:space="0" w:color="FFFFFF"/>
              <w:bottom w:val="single" w:sz="4" w:space="0" w:color="FFFFFF"/>
              <w:right w:val="single" w:sz="4" w:space="0" w:color="FFFFFF"/>
            </w:tcBorders>
            <w:shd w:val="clear" w:color="000000" w:fill="49723B"/>
            <w:noWrap/>
            <w:vAlign w:val="bottom"/>
            <w:hideMark/>
          </w:tcPr>
          <w:p w14:paraId="373764C5" w14:textId="207A1853" w:rsidR="00E51B3B" w:rsidRPr="0083015C" w:rsidRDefault="0031077B" w:rsidP="00452D9F">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Offshore</w:t>
            </w:r>
          </w:p>
        </w:tc>
        <w:tc>
          <w:tcPr>
            <w:tcW w:w="1816" w:type="dxa"/>
            <w:gridSpan w:val="3"/>
            <w:tcBorders>
              <w:top w:val="nil"/>
              <w:left w:val="nil"/>
              <w:bottom w:val="single" w:sz="4" w:space="0" w:color="FFFFFF"/>
              <w:right w:val="single" w:sz="4" w:space="0" w:color="FFFFFF"/>
            </w:tcBorders>
            <w:shd w:val="clear" w:color="000000" w:fill="EFEAE6"/>
            <w:noWrap/>
            <w:vAlign w:val="bottom"/>
            <w:hideMark/>
          </w:tcPr>
          <w:p w14:paraId="6321BC78" w14:textId="77777777" w:rsidR="00E51B3B" w:rsidRPr="0083015C" w:rsidRDefault="00E51B3B" w:rsidP="00452D9F">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87</w:t>
            </w:r>
          </w:p>
        </w:tc>
        <w:tc>
          <w:tcPr>
            <w:tcW w:w="2054" w:type="dxa"/>
            <w:gridSpan w:val="5"/>
            <w:tcBorders>
              <w:top w:val="nil"/>
              <w:left w:val="nil"/>
              <w:bottom w:val="single" w:sz="4" w:space="0" w:color="FFFFFF"/>
              <w:right w:val="single" w:sz="4" w:space="0" w:color="FFFFFF"/>
            </w:tcBorders>
            <w:shd w:val="clear" w:color="000000" w:fill="EFEAE6"/>
            <w:noWrap/>
            <w:vAlign w:val="bottom"/>
            <w:hideMark/>
          </w:tcPr>
          <w:p w14:paraId="20483ECF" w14:textId="77777777" w:rsidR="00E51B3B" w:rsidRPr="0083015C" w:rsidRDefault="00E51B3B" w:rsidP="00452D9F">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58</w:t>
            </w:r>
          </w:p>
        </w:tc>
        <w:tc>
          <w:tcPr>
            <w:tcW w:w="2976" w:type="dxa"/>
            <w:gridSpan w:val="7"/>
            <w:tcBorders>
              <w:top w:val="nil"/>
              <w:left w:val="nil"/>
              <w:bottom w:val="single" w:sz="4" w:space="0" w:color="FFFFFF"/>
              <w:right w:val="single" w:sz="4" w:space="0" w:color="FFFFFF"/>
            </w:tcBorders>
            <w:shd w:val="clear" w:color="000000" w:fill="EFEAE6"/>
            <w:noWrap/>
            <w:vAlign w:val="bottom"/>
            <w:hideMark/>
          </w:tcPr>
          <w:p w14:paraId="0E9E3E4E" w14:textId="77777777" w:rsidR="00E51B3B" w:rsidRPr="0083015C" w:rsidRDefault="00E51B3B" w:rsidP="00452D9F">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70</w:t>
            </w:r>
          </w:p>
        </w:tc>
        <w:tc>
          <w:tcPr>
            <w:tcW w:w="222" w:type="dxa"/>
            <w:gridSpan w:val="3"/>
            <w:tcBorders>
              <w:top w:val="nil"/>
              <w:left w:val="nil"/>
              <w:bottom w:val="nil"/>
              <w:right w:val="nil"/>
            </w:tcBorders>
            <w:shd w:val="clear" w:color="auto" w:fill="auto"/>
            <w:noWrap/>
            <w:vAlign w:val="bottom"/>
            <w:hideMark/>
          </w:tcPr>
          <w:p w14:paraId="67C8E52A" w14:textId="77777777" w:rsidR="00E51B3B" w:rsidRPr="0083015C" w:rsidRDefault="00E51B3B" w:rsidP="00452D9F">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210C6A41" w14:textId="77777777" w:rsidR="00E51B3B" w:rsidRPr="0083015C" w:rsidRDefault="00E51B3B" w:rsidP="00452D9F">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4550BF6" w14:textId="77777777" w:rsidR="00E51B3B" w:rsidRPr="0083015C" w:rsidRDefault="00E51B3B" w:rsidP="00452D9F">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DB8E016" w14:textId="77777777" w:rsidR="00E51B3B" w:rsidRPr="0083015C" w:rsidRDefault="00E51B3B" w:rsidP="00452D9F">
            <w:pPr>
              <w:spacing w:after="0" w:line="240" w:lineRule="auto"/>
              <w:rPr>
                <w:rFonts w:ascii="Times New Roman" w:eastAsia="Times New Roman" w:hAnsi="Times New Roman" w:cs="Times New Roman"/>
                <w:sz w:val="20"/>
                <w:szCs w:val="20"/>
                <w:lang w:eastAsia="en-GB"/>
              </w:rPr>
            </w:pPr>
          </w:p>
        </w:tc>
      </w:tr>
      <w:tr w:rsidR="00E51B3B" w:rsidRPr="0083015C" w14:paraId="4E062EC2" w14:textId="77777777" w:rsidTr="00E51B3B">
        <w:trPr>
          <w:gridAfter w:val="2"/>
          <w:wAfter w:w="1730" w:type="dxa"/>
          <w:trHeight w:val="288"/>
        </w:trPr>
        <w:tc>
          <w:tcPr>
            <w:tcW w:w="1018" w:type="dxa"/>
            <w:tcBorders>
              <w:top w:val="nil"/>
              <w:left w:val="single" w:sz="4" w:space="0" w:color="FFFFFF"/>
              <w:bottom w:val="single" w:sz="4" w:space="0" w:color="FFFFFF"/>
              <w:right w:val="single" w:sz="4" w:space="0" w:color="FFFFFF"/>
            </w:tcBorders>
            <w:shd w:val="clear" w:color="000000" w:fill="49723B"/>
            <w:noWrap/>
            <w:vAlign w:val="bottom"/>
            <w:hideMark/>
          </w:tcPr>
          <w:p w14:paraId="30B2B62F" w14:textId="77777777" w:rsidR="00E51B3B" w:rsidRPr="0083015C" w:rsidRDefault="00E51B3B" w:rsidP="00452D9F">
            <w:pPr>
              <w:spacing w:after="0" w:line="240" w:lineRule="auto"/>
              <w:jc w:val="center"/>
              <w:rPr>
                <w:rFonts w:ascii="Calibri" w:eastAsia="Times New Roman" w:hAnsi="Calibri" w:cs="Calibri"/>
                <w:b/>
                <w:bCs/>
                <w:color w:val="FFFFFF"/>
                <w:lang w:eastAsia="en-GB"/>
              </w:rPr>
            </w:pPr>
            <w:r w:rsidRPr="0083015C">
              <w:rPr>
                <w:rFonts w:ascii="Calibri" w:eastAsia="Times New Roman" w:hAnsi="Calibri" w:cs="Calibri"/>
                <w:b/>
                <w:bCs/>
                <w:color w:val="FFFFFF"/>
                <w:lang w:eastAsia="en-GB"/>
              </w:rPr>
              <w:t>Both</w:t>
            </w:r>
          </w:p>
        </w:tc>
        <w:tc>
          <w:tcPr>
            <w:tcW w:w="1816" w:type="dxa"/>
            <w:gridSpan w:val="3"/>
            <w:tcBorders>
              <w:top w:val="nil"/>
              <w:left w:val="nil"/>
              <w:bottom w:val="single" w:sz="4" w:space="0" w:color="FFFFFF"/>
              <w:right w:val="single" w:sz="4" w:space="0" w:color="FFFFFF"/>
            </w:tcBorders>
            <w:shd w:val="clear" w:color="000000" w:fill="EFEAE6"/>
            <w:noWrap/>
            <w:vAlign w:val="bottom"/>
            <w:hideMark/>
          </w:tcPr>
          <w:p w14:paraId="530407A2" w14:textId="77777777" w:rsidR="00E51B3B" w:rsidRPr="0083015C" w:rsidRDefault="00E51B3B" w:rsidP="00452D9F">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56</w:t>
            </w:r>
          </w:p>
        </w:tc>
        <w:tc>
          <w:tcPr>
            <w:tcW w:w="2054" w:type="dxa"/>
            <w:gridSpan w:val="5"/>
            <w:tcBorders>
              <w:top w:val="nil"/>
              <w:left w:val="nil"/>
              <w:bottom w:val="single" w:sz="4" w:space="0" w:color="FFFFFF"/>
              <w:right w:val="single" w:sz="4" w:space="0" w:color="FFFFFF"/>
            </w:tcBorders>
            <w:shd w:val="clear" w:color="000000" w:fill="EFEAE6"/>
            <w:noWrap/>
            <w:vAlign w:val="bottom"/>
            <w:hideMark/>
          </w:tcPr>
          <w:p w14:paraId="5CA5B488" w14:textId="77777777" w:rsidR="00E51B3B" w:rsidRPr="0083015C" w:rsidRDefault="00E51B3B" w:rsidP="00452D9F">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26</w:t>
            </w:r>
          </w:p>
        </w:tc>
        <w:tc>
          <w:tcPr>
            <w:tcW w:w="2976" w:type="dxa"/>
            <w:gridSpan w:val="7"/>
            <w:tcBorders>
              <w:top w:val="nil"/>
              <w:left w:val="nil"/>
              <w:bottom w:val="single" w:sz="4" w:space="0" w:color="FFFFFF"/>
              <w:right w:val="single" w:sz="4" w:space="0" w:color="FFFFFF"/>
            </w:tcBorders>
            <w:shd w:val="clear" w:color="000000" w:fill="EFEAE6"/>
            <w:noWrap/>
            <w:vAlign w:val="bottom"/>
            <w:hideMark/>
          </w:tcPr>
          <w:p w14:paraId="5C0BA7B6" w14:textId="77777777" w:rsidR="00E51B3B" w:rsidRPr="0083015C" w:rsidRDefault="00E51B3B" w:rsidP="00452D9F">
            <w:pPr>
              <w:spacing w:after="0" w:line="240" w:lineRule="auto"/>
              <w:jc w:val="center"/>
              <w:rPr>
                <w:rFonts w:ascii="Calibri" w:eastAsia="Times New Roman" w:hAnsi="Calibri" w:cs="Calibri"/>
                <w:color w:val="000000"/>
                <w:lang w:eastAsia="en-GB"/>
              </w:rPr>
            </w:pPr>
            <w:r w:rsidRPr="0083015C">
              <w:rPr>
                <w:rFonts w:ascii="Calibri" w:eastAsia="Times New Roman" w:hAnsi="Calibri" w:cs="Calibri"/>
                <w:color w:val="000000"/>
                <w:lang w:eastAsia="en-GB"/>
              </w:rPr>
              <w:t>27</w:t>
            </w:r>
          </w:p>
        </w:tc>
        <w:tc>
          <w:tcPr>
            <w:tcW w:w="222" w:type="dxa"/>
            <w:gridSpan w:val="3"/>
            <w:tcBorders>
              <w:top w:val="nil"/>
              <w:left w:val="nil"/>
              <w:bottom w:val="nil"/>
              <w:right w:val="nil"/>
            </w:tcBorders>
            <w:shd w:val="clear" w:color="auto" w:fill="auto"/>
            <w:noWrap/>
            <w:vAlign w:val="bottom"/>
            <w:hideMark/>
          </w:tcPr>
          <w:p w14:paraId="462DD6F2" w14:textId="77777777" w:rsidR="00E51B3B" w:rsidRPr="0083015C" w:rsidRDefault="00E51B3B" w:rsidP="00452D9F">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679BD5FB" w14:textId="77777777" w:rsidR="00E51B3B" w:rsidRPr="0083015C" w:rsidRDefault="00E51B3B" w:rsidP="00452D9F">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06CF6BE" w14:textId="77777777" w:rsidR="00E51B3B" w:rsidRPr="0083015C" w:rsidRDefault="00E51B3B" w:rsidP="00452D9F">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F42BAD4" w14:textId="77777777" w:rsidR="00E51B3B" w:rsidRPr="0083015C" w:rsidRDefault="00E51B3B" w:rsidP="00452D9F">
            <w:pPr>
              <w:spacing w:after="0" w:line="240" w:lineRule="auto"/>
              <w:rPr>
                <w:rFonts w:ascii="Times New Roman" w:eastAsia="Times New Roman" w:hAnsi="Times New Roman" w:cs="Times New Roman"/>
                <w:sz w:val="20"/>
                <w:szCs w:val="20"/>
                <w:lang w:eastAsia="en-GB"/>
              </w:rPr>
            </w:pPr>
          </w:p>
        </w:tc>
      </w:tr>
    </w:tbl>
    <w:p w14:paraId="4FA61704" w14:textId="77777777" w:rsidR="00E51B3B" w:rsidRDefault="00E51B3B">
      <w:r>
        <w:br w:type="page"/>
      </w:r>
    </w:p>
    <w:tbl>
      <w:tblPr>
        <w:tblW w:w="8800" w:type="dxa"/>
        <w:tblLook w:val="04A0" w:firstRow="1" w:lastRow="0" w:firstColumn="1" w:lastColumn="0" w:noHBand="0" w:noVBand="1"/>
      </w:tblPr>
      <w:tblGrid>
        <w:gridCol w:w="1922"/>
        <w:gridCol w:w="1064"/>
        <w:gridCol w:w="1265"/>
        <w:gridCol w:w="1193"/>
        <w:gridCol w:w="1193"/>
        <w:gridCol w:w="1014"/>
        <w:gridCol w:w="1149"/>
      </w:tblGrid>
      <w:tr w:rsidR="00E51B3B" w:rsidRPr="00F91CC6" w14:paraId="402F8CF9" w14:textId="77777777" w:rsidTr="00E51B3B">
        <w:trPr>
          <w:trHeight w:val="288"/>
        </w:trPr>
        <w:tc>
          <w:tcPr>
            <w:tcW w:w="7651" w:type="dxa"/>
            <w:gridSpan w:val="6"/>
            <w:tcBorders>
              <w:top w:val="nil"/>
              <w:left w:val="nil"/>
              <w:bottom w:val="nil"/>
              <w:right w:val="nil"/>
            </w:tcBorders>
            <w:shd w:val="clear" w:color="auto" w:fill="auto"/>
            <w:noWrap/>
            <w:vAlign w:val="bottom"/>
            <w:hideMark/>
          </w:tcPr>
          <w:p w14:paraId="20D6A8C8" w14:textId="74C89FC4" w:rsidR="00E51B3B" w:rsidRDefault="00E51B3B" w:rsidP="00452D9F">
            <w:pPr>
              <w:spacing w:after="0" w:line="240" w:lineRule="auto"/>
              <w:rPr>
                <w:rFonts w:ascii="Calibri" w:eastAsia="Times New Roman" w:hAnsi="Calibri" w:cs="Calibri"/>
                <w:color w:val="000000"/>
                <w:lang w:eastAsia="en-GB"/>
              </w:rPr>
            </w:pPr>
          </w:p>
          <w:p w14:paraId="73408FE1" w14:textId="77777777" w:rsidR="00E51B3B" w:rsidRPr="00F91CC6" w:rsidRDefault="00E51B3B" w:rsidP="00452D9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Table 5</w:t>
            </w:r>
            <w:r w:rsidRPr="00F91CC6">
              <w:rPr>
                <w:rFonts w:ascii="Calibri" w:eastAsia="Times New Roman" w:hAnsi="Calibri" w:cs="Calibri"/>
                <w:color w:val="000000"/>
                <w:lang w:eastAsia="en-GB"/>
              </w:rPr>
              <w:t>: Fees for non-EU undergraduate and postgraduate students by</w:t>
            </w:r>
          </w:p>
        </w:tc>
        <w:tc>
          <w:tcPr>
            <w:tcW w:w="1149" w:type="dxa"/>
            <w:tcBorders>
              <w:top w:val="nil"/>
              <w:left w:val="nil"/>
              <w:bottom w:val="nil"/>
              <w:right w:val="nil"/>
            </w:tcBorders>
            <w:shd w:val="clear" w:color="auto" w:fill="auto"/>
            <w:noWrap/>
            <w:vAlign w:val="bottom"/>
            <w:hideMark/>
          </w:tcPr>
          <w:p w14:paraId="0EDC9AE9" w14:textId="77777777" w:rsidR="00E51B3B" w:rsidRPr="00F91CC6" w:rsidRDefault="00E51B3B" w:rsidP="00452D9F">
            <w:pPr>
              <w:spacing w:after="0" w:line="240" w:lineRule="auto"/>
              <w:rPr>
                <w:rFonts w:ascii="Calibri" w:eastAsia="Times New Roman" w:hAnsi="Calibri" w:cs="Calibri"/>
                <w:color w:val="000000"/>
                <w:lang w:eastAsia="en-GB"/>
              </w:rPr>
            </w:pPr>
          </w:p>
        </w:tc>
      </w:tr>
      <w:tr w:rsidR="00E51B3B" w:rsidRPr="00F91CC6" w14:paraId="7B96D4BA" w14:textId="77777777" w:rsidTr="00E51B3B">
        <w:trPr>
          <w:trHeight w:val="300"/>
        </w:trPr>
        <w:tc>
          <w:tcPr>
            <w:tcW w:w="4251" w:type="dxa"/>
            <w:gridSpan w:val="3"/>
            <w:tcBorders>
              <w:top w:val="nil"/>
              <w:left w:val="nil"/>
              <w:bottom w:val="nil"/>
              <w:right w:val="nil"/>
            </w:tcBorders>
            <w:shd w:val="clear" w:color="auto" w:fill="auto"/>
            <w:noWrap/>
            <w:vAlign w:val="bottom"/>
            <w:hideMark/>
          </w:tcPr>
          <w:p w14:paraId="7B400C5D" w14:textId="77777777" w:rsidR="00E51B3B" w:rsidRPr="00F91CC6" w:rsidRDefault="00E51B3B" w:rsidP="00452D9F">
            <w:pPr>
              <w:spacing w:after="0" w:line="240" w:lineRule="auto"/>
              <w:rPr>
                <w:rFonts w:ascii="Calibri" w:eastAsia="Times New Roman" w:hAnsi="Calibri" w:cs="Calibri"/>
                <w:color w:val="000000"/>
                <w:lang w:eastAsia="en-GB"/>
              </w:rPr>
            </w:pPr>
            <w:r w:rsidRPr="00F91CC6">
              <w:rPr>
                <w:rFonts w:ascii="Calibri" w:eastAsia="Times New Roman" w:hAnsi="Calibri" w:cs="Calibri"/>
                <w:color w:val="000000"/>
                <w:lang w:eastAsia="en-GB"/>
              </w:rPr>
              <w:t>university category, 2018/19</w:t>
            </w:r>
            <w:r>
              <w:rPr>
                <w:rFonts w:ascii="Calibri" w:eastAsia="Times New Roman" w:hAnsi="Calibri" w:cs="Calibri"/>
                <w:color w:val="000000"/>
                <w:lang w:eastAsia="en-GB"/>
              </w:rPr>
              <w:t xml:space="preserve"> (£)</w:t>
            </w:r>
          </w:p>
        </w:tc>
        <w:tc>
          <w:tcPr>
            <w:tcW w:w="1193" w:type="dxa"/>
            <w:tcBorders>
              <w:top w:val="nil"/>
              <w:left w:val="nil"/>
              <w:bottom w:val="nil"/>
              <w:right w:val="nil"/>
            </w:tcBorders>
            <w:shd w:val="clear" w:color="auto" w:fill="auto"/>
            <w:noWrap/>
            <w:vAlign w:val="bottom"/>
            <w:hideMark/>
          </w:tcPr>
          <w:p w14:paraId="632738CE" w14:textId="77777777" w:rsidR="00E51B3B" w:rsidRPr="00F91CC6" w:rsidRDefault="00E51B3B" w:rsidP="00452D9F">
            <w:pPr>
              <w:spacing w:after="0" w:line="240" w:lineRule="auto"/>
              <w:rPr>
                <w:rFonts w:ascii="Calibri" w:eastAsia="Times New Roman" w:hAnsi="Calibri" w:cs="Calibri"/>
                <w:color w:val="000000"/>
                <w:lang w:eastAsia="en-GB"/>
              </w:rPr>
            </w:pPr>
          </w:p>
        </w:tc>
        <w:tc>
          <w:tcPr>
            <w:tcW w:w="1193" w:type="dxa"/>
            <w:tcBorders>
              <w:top w:val="nil"/>
              <w:left w:val="nil"/>
              <w:bottom w:val="nil"/>
              <w:right w:val="nil"/>
            </w:tcBorders>
            <w:shd w:val="clear" w:color="auto" w:fill="auto"/>
            <w:noWrap/>
            <w:vAlign w:val="bottom"/>
            <w:hideMark/>
          </w:tcPr>
          <w:p w14:paraId="72BB1BC3" w14:textId="77777777" w:rsidR="00E51B3B" w:rsidRPr="00F91CC6" w:rsidRDefault="00E51B3B" w:rsidP="00452D9F">
            <w:pPr>
              <w:spacing w:after="0" w:line="240" w:lineRule="auto"/>
              <w:rPr>
                <w:rFonts w:ascii="Times New Roman" w:eastAsia="Times New Roman" w:hAnsi="Times New Roman" w:cs="Times New Roman"/>
                <w:sz w:val="20"/>
                <w:szCs w:val="20"/>
                <w:lang w:eastAsia="en-GB"/>
              </w:rPr>
            </w:pPr>
          </w:p>
        </w:tc>
        <w:tc>
          <w:tcPr>
            <w:tcW w:w="1014" w:type="dxa"/>
            <w:tcBorders>
              <w:top w:val="nil"/>
              <w:left w:val="nil"/>
              <w:bottom w:val="nil"/>
              <w:right w:val="nil"/>
            </w:tcBorders>
            <w:shd w:val="clear" w:color="auto" w:fill="auto"/>
            <w:noWrap/>
            <w:vAlign w:val="bottom"/>
            <w:hideMark/>
          </w:tcPr>
          <w:p w14:paraId="0F24FB62" w14:textId="77777777" w:rsidR="00E51B3B" w:rsidRPr="00F91CC6" w:rsidRDefault="00E51B3B" w:rsidP="00452D9F">
            <w:pPr>
              <w:spacing w:after="0" w:line="240" w:lineRule="auto"/>
              <w:rPr>
                <w:rFonts w:ascii="Times New Roman" w:eastAsia="Times New Roman" w:hAnsi="Times New Roman" w:cs="Times New Roman"/>
                <w:sz w:val="20"/>
                <w:szCs w:val="20"/>
                <w:lang w:eastAsia="en-GB"/>
              </w:rPr>
            </w:pPr>
          </w:p>
        </w:tc>
        <w:tc>
          <w:tcPr>
            <w:tcW w:w="1149" w:type="dxa"/>
            <w:tcBorders>
              <w:top w:val="nil"/>
              <w:left w:val="nil"/>
              <w:bottom w:val="nil"/>
              <w:right w:val="nil"/>
            </w:tcBorders>
            <w:shd w:val="clear" w:color="auto" w:fill="auto"/>
            <w:noWrap/>
            <w:vAlign w:val="bottom"/>
            <w:hideMark/>
          </w:tcPr>
          <w:p w14:paraId="18CC95AD" w14:textId="77777777" w:rsidR="00E51B3B" w:rsidRPr="00F91CC6" w:rsidRDefault="00E51B3B" w:rsidP="00452D9F">
            <w:pPr>
              <w:spacing w:after="0" w:line="240" w:lineRule="auto"/>
              <w:rPr>
                <w:rFonts w:ascii="Times New Roman" w:eastAsia="Times New Roman" w:hAnsi="Times New Roman" w:cs="Times New Roman"/>
                <w:sz w:val="20"/>
                <w:szCs w:val="20"/>
                <w:lang w:eastAsia="en-GB"/>
              </w:rPr>
            </w:pPr>
          </w:p>
        </w:tc>
      </w:tr>
      <w:tr w:rsidR="00E51B3B" w:rsidRPr="00F91CC6" w14:paraId="3A11E3D1" w14:textId="77777777" w:rsidTr="00E51B3B">
        <w:trPr>
          <w:trHeight w:val="288"/>
        </w:trPr>
        <w:tc>
          <w:tcPr>
            <w:tcW w:w="1922" w:type="dxa"/>
            <w:tcBorders>
              <w:top w:val="single" w:sz="8" w:space="0" w:color="auto"/>
              <w:left w:val="single" w:sz="8" w:space="0" w:color="auto"/>
              <w:bottom w:val="nil"/>
              <w:right w:val="nil"/>
            </w:tcBorders>
            <w:shd w:val="clear" w:color="auto" w:fill="auto"/>
            <w:noWrap/>
            <w:vAlign w:val="bottom"/>
            <w:hideMark/>
          </w:tcPr>
          <w:p w14:paraId="646BDD54" w14:textId="77777777" w:rsidR="00E51B3B" w:rsidRPr="00F91CC6" w:rsidRDefault="00E51B3B" w:rsidP="00452D9F">
            <w:pPr>
              <w:spacing w:after="0" w:line="240" w:lineRule="auto"/>
              <w:rPr>
                <w:rFonts w:ascii="Calibri" w:eastAsia="Times New Roman" w:hAnsi="Calibri" w:cs="Calibri"/>
                <w:color w:val="000000"/>
                <w:lang w:eastAsia="en-GB"/>
              </w:rPr>
            </w:pPr>
            <w:r w:rsidRPr="00F91CC6">
              <w:rPr>
                <w:rFonts w:ascii="Calibri" w:eastAsia="Times New Roman" w:hAnsi="Calibri" w:cs="Calibri"/>
                <w:color w:val="000000"/>
                <w:lang w:eastAsia="en-GB"/>
              </w:rPr>
              <w:t xml:space="preserve">University </w:t>
            </w:r>
          </w:p>
        </w:tc>
        <w:tc>
          <w:tcPr>
            <w:tcW w:w="2329" w:type="dxa"/>
            <w:gridSpan w:val="2"/>
            <w:tcBorders>
              <w:top w:val="single" w:sz="8" w:space="0" w:color="auto"/>
              <w:left w:val="nil"/>
              <w:bottom w:val="nil"/>
              <w:right w:val="nil"/>
            </w:tcBorders>
            <w:shd w:val="clear" w:color="auto" w:fill="auto"/>
            <w:noWrap/>
            <w:vAlign w:val="bottom"/>
            <w:hideMark/>
          </w:tcPr>
          <w:p w14:paraId="1916BFCD" w14:textId="77777777" w:rsidR="00E51B3B" w:rsidRPr="00F91CC6" w:rsidRDefault="00E51B3B" w:rsidP="00452D9F">
            <w:pPr>
              <w:spacing w:after="0" w:line="240" w:lineRule="auto"/>
              <w:ind w:firstLineChars="400" w:firstLine="880"/>
              <w:rPr>
                <w:rFonts w:ascii="Calibri" w:eastAsia="Times New Roman" w:hAnsi="Calibri" w:cs="Calibri"/>
                <w:color w:val="000000"/>
                <w:lang w:eastAsia="en-GB"/>
              </w:rPr>
            </w:pPr>
            <w:r w:rsidRPr="00F91CC6">
              <w:rPr>
                <w:rFonts w:ascii="Calibri" w:eastAsia="Times New Roman" w:hAnsi="Calibri" w:cs="Calibri"/>
                <w:color w:val="000000"/>
                <w:lang w:eastAsia="en-GB"/>
              </w:rPr>
              <w:t>England</w:t>
            </w:r>
          </w:p>
        </w:tc>
        <w:tc>
          <w:tcPr>
            <w:tcW w:w="2386" w:type="dxa"/>
            <w:gridSpan w:val="2"/>
            <w:tcBorders>
              <w:top w:val="single" w:sz="8" w:space="0" w:color="auto"/>
              <w:left w:val="single" w:sz="4" w:space="0" w:color="auto"/>
              <w:bottom w:val="nil"/>
              <w:right w:val="single" w:sz="4" w:space="0" w:color="000000"/>
            </w:tcBorders>
            <w:shd w:val="clear" w:color="auto" w:fill="auto"/>
            <w:noWrap/>
            <w:vAlign w:val="bottom"/>
            <w:hideMark/>
          </w:tcPr>
          <w:p w14:paraId="18C8DE9C" w14:textId="77777777" w:rsidR="00E51B3B" w:rsidRPr="00F91CC6" w:rsidRDefault="00E51B3B" w:rsidP="00452D9F">
            <w:pPr>
              <w:spacing w:after="0" w:line="240" w:lineRule="auto"/>
              <w:ind w:firstLineChars="400" w:firstLine="880"/>
              <w:rPr>
                <w:rFonts w:ascii="Calibri" w:eastAsia="Times New Roman" w:hAnsi="Calibri" w:cs="Calibri"/>
                <w:color w:val="000000"/>
                <w:lang w:eastAsia="en-GB"/>
              </w:rPr>
            </w:pPr>
            <w:r w:rsidRPr="00F91CC6">
              <w:rPr>
                <w:rFonts w:ascii="Calibri" w:eastAsia="Times New Roman" w:hAnsi="Calibri" w:cs="Calibri"/>
                <w:color w:val="000000"/>
                <w:lang w:eastAsia="en-GB"/>
              </w:rPr>
              <w:t>Scotland</w:t>
            </w:r>
          </w:p>
        </w:tc>
        <w:tc>
          <w:tcPr>
            <w:tcW w:w="2163" w:type="dxa"/>
            <w:gridSpan w:val="2"/>
            <w:tcBorders>
              <w:top w:val="single" w:sz="8" w:space="0" w:color="auto"/>
              <w:left w:val="nil"/>
              <w:bottom w:val="nil"/>
              <w:right w:val="single" w:sz="8" w:space="0" w:color="000000"/>
            </w:tcBorders>
            <w:shd w:val="clear" w:color="auto" w:fill="auto"/>
            <w:noWrap/>
            <w:vAlign w:val="bottom"/>
            <w:hideMark/>
          </w:tcPr>
          <w:p w14:paraId="6D10D6EB" w14:textId="77777777" w:rsidR="00E51B3B" w:rsidRPr="00F91CC6" w:rsidRDefault="00E51B3B" w:rsidP="00452D9F">
            <w:pPr>
              <w:spacing w:after="0" w:line="240" w:lineRule="auto"/>
              <w:ind w:firstLineChars="400" w:firstLine="880"/>
              <w:rPr>
                <w:rFonts w:ascii="Calibri" w:eastAsia="Times New Roman" w:hAnsi="Calibri" w:cs="Calibri"/>
                <w:color w:val="000000"/>
                <w:lang w:eastAsia="en-GB"/>
              </w:rPr>
            </w:pPr>
            <w:r w:rsidRPr="00F91CC6">
              <w:rPr>
                <w:rFonts w:ascii="Calibri" w:eastAsia="Times New Roman" w:hAnsi="Calibri" w:cs="Calibri"/>
                <w:color w:val="000000"/>
                <w:lang w:eastAsia="en-GB"/>
              </w:rPr>
              <w:t>Wales</w:t>
            </w:r>
          </w:p>
        </w:tc>
      </w:tr>
      <w:tr w:rsidR="00E51B3B" w:rsidRPr="00F91CC6" w14:paraId="4FC3D9A2" w14:textId="77777777" w:rsidTr="00E51B3B">
        <w:trPr>
          <w:trHeight w:val="288"/>
        </w:trPr>
        <w:tc>
          <w:tcPr>
            <w:tcW w:w="1922" w:type="dxa"/>
            <w:tcBorders>
              <w:top w:val="nil"/>
              <w:left w:val="single" w:sz="8" w:space="0" w:color="auto"/>
              <w:bottom w:val="single" w:sz="4" w:space="0" w:color="auto"/>
              <w:right w:val="nil"/>
            </w:tcBorders>
            <w:shd w:val="clear" w:color="auto" w:fill="auto"/>
            <w:noWrap/>
            <w:vAlign w:val="bottom"/>
            <w:hideMark/>
          </w:tcPr>
          <w:p w14:paraId="5B5D98DF" w14:textId="77777777" w:rsidR="00E51B3B" w:rsidRPr="00F91CC6" w:rsidRDefault="00E51B3B" w:rsidP="00452D9F">
            <w:pPr>
              <w:spacing w:after="0" w:line="240" w:lineRule="auto"/>
              <w:rPr>
                <w:rFonts w:ascii="Calibri" w:eastAsia="Times New Roman" w:hAnsi="Calibri" w:cs="Calibri"/>
                <w:color w:val="000000"/>
                <w:lang w:eastAsia="en-GB"/>
              </w:rPr>
            </w:pPr>
            <w:r w:rsidRPr="00F91CC6">
              <w:rPr>
                <w:rFonts w:ascii="Calibri" w:eastAsia="Times New Roman" w:hAnsi="Calibri" w:cs="Calibri"/>
                <w:color w:val="000000"/>
                <w:lang w:eastAsia="en-GB"/>
              </w:rPr>
              <w:t>category</w:t>
            </w:r>
          </w:p>
        </w:tc>
        <w:tc>
          <w:tcPr>
            <w:tcW w:w="1064" w:type="dxa"/>
            <w:tcBorders>
              <w:top w:val="nil"/>
              <w:left w:val="nil"/>
              <w:bottom w:val="single" w:sz="4" w:space="0" w:color="auto"/>
              <w:right w:val="nil"/>
            </w:tcBorders>
            <w:shd w:val="clear" w:color="auto" w:fill="auto"/>
            <w:noWrap/>
            <w:vAlign w:val="bottom"/>
            <w:hideMark/>
          </w:tcPr>
          <w:p w14:paraId="30BE9BF2"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UG</w:t>
            </w:r>
          </w:p>
        </w:tc>
        <w:tc>
          <w:tcPr>
            <w:tcW w:w="1265" w:type="dxa"/>
            <w:tcBorders>
              <w:top w:val="nil"/>
              <w:left w:val="nil"/>
              <w:bottom w:val="single" w:sz="4" w:space="0" w:color="auto"/>
              <w:right w:val="nil"/>
            </w:tcBorders>
            <w:shd w:val="clear" w:color="auto" w:fill="auto"/>
            <w:noWrap/>
            <w:vAlign w:val="bottom"/>
            <w:hideMark/>
          </w:tcPr>
          <w:p w14:paraId="1B717333"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PG</w:t>
            </w:r>
          </w:p>
        </w:tc>
        <w:tc>
          <w:tcPr>
            <w:tcW w:w="1193" w:type="dxa"/>
            <w:tcBorders>
              <w:top w:val="nil"/>
              <w:left w:val="single" w:sz="4" w:space="0" w:color="auto"/>
              <w:bottom w:val="single" w:sz="4" w:space="0" w:color="auto"/>
              <w:right w:val="nil"/>
            </w:tcBorders>
            <w:shd w:val="clear" w:color="auto" w:fill="auto"/>
            <w:noWrap/>
            <w:vAlign w:val="bottom"/>
            <w:hideMark/>
          </w:tcPr>
          <w:p w14:paraId="6A5D2EA9"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UG</w:t>
            </w:r>
          </w:p>
        </w:tc>
        <w:tc>
          <w:tcPr>
            <w:tcW w:w="1193" w:type="dxa"/>
            <w:tcBorders>
              <w:top w:val="nil"/>
              <w:left w:val="nil"/>
              <w:bottom w:val="single" w:sz="4" w:space="0" w:color="auto"/>
              <w:right w:val="single" w:sz="4" w:space="0" w:color="auto"/>
            </w:tcBorders>
            <w:shd w:val="clear" w:color="auto" w:fill="auto"/>
            <w:noWrap/>
            <w:vAlign w:val="bottom"/>
            <w:hideMark/>
          </w:tcPr>
          <w:p w14:paraId="13D40002"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PG</w:t>
            </w:r>
          </w:p>
        </w:tc>
        <w:tc>
          <w:tcPr>
            <w:tcW w:w="1014" w:type="dxa"/>
            <w:tcBorders>
              <w:top w:val="nil"/>
              <w:left w:val="nil"/>
              <w:bottom w:val="single" w:sz="4" w:space="0" w:color="auto"/>
              <w:right w:val="nil"/>
            </w:tcBorders>
            <w:shd w:val="clear" w:color="auto" w:fill="auto"/>
            <w:noWrap/>
            <w:vAlign w:val="bottom"/>
            <w:hideMark/>
          </w:tcPr>
          <w:p w14:paraId="471114CF"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UG</w:t>
            </w:r>
          </w:p>
        </w:tc>
        <w:tc>
          <w:tcPr>
            <w:tcW w:w="1149" w:type="dxa"/>
            <w:tcBorders>
              <w:top w:val="nil"/>
              <w:left w:val="nil"/>
              <w:bottom w:val="single" w:sz="4" w:space="0" w:color="auto"/>
              <w:right w:val="single" w:sz="8" w:space="0" w:color="auto"/>
            </w:tcBorders>
            <w:shd w:val="clear" w:color="auto" w:fill="auto"/>
            <w:noWrap/>
            <w:vAlign w:val="bottom"/>
            <w:hideMark/>
          </w:tcPr>
          <w:p w14:paraId="755818FF"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PG</w:t>
            </w:r>
          </w:p>
        </w:tc>
      </w:tr>
      <w:tr w:rsidR="00E51B3B" w:rsidRPr="00F91CC6" w14:paraId="0CDC189A" w14:textId="77777777" w:rsidTr="00E51B3B">
        <w:trPr>
          <w:trHeight w:val="288"/>
        </w:trPr>
        <w:tc>
          <w:tcPr>
            <w:tcW w:w="1922" w:type="dxa"/>
            <w:tcBorders>
              <w:top w:val="nil"/>
              <w:left w:val="single" w:sz="8" w:space="0" w:color="auto"/>
              <w:bottom w:val="nil"/>
              <w:right w:val="nil"/>
            </w:tcBorders>
            <w:shd w:val="clear" w:color="auto" w:fill="auto"/>
            <w:noWrap/>
            <w:vAlign w:val="bottom"/>
            <w:hideMark/>
          </w:tcPr>
          <w:p w14:paraId="27810461" w14:textId="77777777" w:rsidR="00E51B3B" w:rsidRPr="00F91CC6" w:rsidRDefault="00E51B3B" w:rsidP="00452D9F">
            <w:pPr>
              <w:spacing w:after="0" w:line="240" w:lineRule="auto"/>
              <w:rPr>
                <w:rFonts w:ascii="Calibri" w:eastAsia="Times New Roman" w:hAnsi="Calibri" w:cs="Calibri"/>
                <w:color w:val="000000"/>
                <w:lang w:eastAsia="en-GB"/>
              </w:rPr>
            </w:pPr>
            <w:r w:rsidRPr="00F91CC6">
              <w:rPr>
                <w:rFonts w:ascii="Calibri" w:eastAsia="Times New Roman" w:hAnsi="Calibri" w:cs="Calibri"/>
                <w:color w:val="000000"/>
                <w:lang w:eastAsia="en-GB"/>
              </w:rPr>
              <w:t>Ancient</w:t>
            </w:r>
          </w:p>
        </w:tc>
        <w:tc>
          <w:tcPr>
            <w:tcW w:w="1064" w:type="dxa"/>
            <w:tcBorders>
              <w:top w:val="nil"/>
              <w:left w:val="nil"/>
              <w:bottom w:val="nil"/>
              <w:right w:val="nil"/>
            </w:tcBorders>
            <w:shd w:val="clear" w:color="auto" w:fill="auto"/>
            <w:noWrap/>
            <w:vAlign w:val="bottom"/>
            <w:hideMark/>
          </w:tcPr>
          <w:p w14:paraId="1B91BFA1"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23270</w:t>
            </w:r>
          </w:p>
        </w:tc>
        <w:tc>
          <w:tcPr>
            <w:tcW w:w="1265" w:type="dxa"/>
            <w:tcBorders>
              <w:top w:val="nil"/>
              <w:left w:val="nil"/>
              <w:bottom w:val="nil"/>
              <w:right w:val="nil"/>
            </w:tcBorders>
            <w:shd w:val="clear" w:color="auto" w:fill="auto"/>
            <w:noWrap/>
            <w:vAlign w:val="bottom"/>
            <w:hideMark/>
          </w:tcPr>
          <w:p w14:paraId="4171346B"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24250</w:t>
            </w:r>
          </w:p>
        </w:tc>
        <w:tc>
          <w:tcPr>
            <w:tcW w:w="1193" w:type="dxa"/>
            <w:tcBorders>
              <w:top w:val="nil"/>
              <w:left w:val="single" w:sz="4" w:space="0" w:color="auto"/>
              <w:bottom w:val="nil"/>
              <w:right w:val="nil"/>
            </w:tcBorders>
            <w:shd w:val="clear" w:color="auto" w:fill="auto"/>
            <w:noWrap/>
            <w:vAlign w:val="bottom"/>
            <w:hideMark/>
          </w:tcPr>
          <w:p w14:paraId="2EF4B7CD"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17740</w:t>
            </w:r>
          </w:p>
        </w:tc>
        <w:tc>
          <w:tcPr>
            <w:tcW w:w="1193" w:type="dxa"/>
            <w:tcBorders>
              <w:top w:val="nil"/>
              <w:left w:val="nil"/>
              <w:bottom w:val="nil"/>
              <w:right w:val="single" w:sz="4" w:space="0" w:color="auto"/>
            </w:tcBorders>
            <w:shd w:val="clear" w:color="auto" w:fill="auto"/>
            <w:noWrap/>
            <w:vAlign w:val="bottom"/>
            <w:hideMark/>
          </w:tcPr>
          <w:p w14:paraId="7D3BFF85"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17440</w:t>
            </w:r>
          </w:p>
        </w:tc>
        <w:tc>
          <w:tcPr>
            <w:tcW w:w="1014" w:type="dxa"/>
            <w:tcBorders>
              <w:top w:val="nil"/>
              <w:left w:val="nil"/>
              <w:bottom w:val="nil"/>
              <w:right w:val="nil"/>
            </w:tcBorders>
            <w:shd w:val="clear" w:color="auto" w:fill="auto"/>
            <w:noWrap/>
            <w:vAlign w:val="bottom"/>
            <w:hideMark/>
          </w:tcPr>
          <w:p w14:paraId="01C69F89" w14:textId="77777777" w:rsidR="00E51B3B" w:rsidRPr="00F91CC6" w:rsidRDefault="00E51B3B" w:rsidP="00452D9F">
            <w:pPr>
              <w:spacing w:after="0" w:line="240" w:lineRule="auto"/>
              <w:jc w:val="center"/>
              <w:rPr>
                <w:rFonts w:ascii="Calibri" w:eastAsia="Times New Roman" w:hAnsi="Calibri" w:cs="Calibri"/>
                <w:color w:val="000000"/>
                <w:lang w:eastAsia="en-GB"/>
              </w:rPr>
            </w:pPr>
          </w:p>
        </w:tc>
        <w:tc>
          <w:tcPr>
            <w:tcW w:w="1149" w:type="dxa"/>
            <w:tcBorders>
              <w:top w:val="nil"/>
              <w:left w:val="nil"/>
              <w:bottom w:val="nil"/>
              <w:right w:val="single" w:sz="8" w:space="0" w:color="auto"/>
            </w:tcBorders>
            <w:shd w:val="clear" w:color="auto" w:fill="auto"/>
            <w:noWrap/>
            <w:vAlign w:val="bottom"/>
            <w:hideMark/>
          </w:tcPr>
          <w:p w14:paraId="3BE2F4F4"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 </w:t>
            </w:r>
          </w:p>
        </w:tc>
      </w:tr>
      <w:tr w:rsidR="00E51B3B" w:rsidRPr="00F91CC6" w14:paraId="439A8449" w14:textId="77777777" w:rsidTr="00E51B3B">
        <w:trPr>
          <w:trHeight w:val="288"/>
        </w:trPr>
        <w:tc>
          <w:tcPr>
            <w:tcW w:w="1922" w:type="dxa"/>
            <w:tcBorders>
              <w:top w:val="nil"/>
              <w:left w:val="single" w:sz="8" w:space="0" w:color="auto"/>
              <w:bottom w:val="nil"/>
              <w:right w:val="nil"/>
            </w:tcBorders>
            <w:shd w:val="clear" w:color="auto" w:fill="auto"/>
            <w:noWrap/>
            <w:vAlign w:val="bottom"/>
            <w:hideMark/>
          </w:tcPr>
          <w:p w14:paraId="72A87BE6" w14:textId="77777777" w:rsidR="00E51B3B" w:rsidRPr="00F91CC6" w:rsidRDefault="00E51B3B" w:rsidP="00452D9F">
            <w:pPr>
              <w:spacing w:after="0" w:line="240" w:lineRule="auto"/>
              <w:rPr>
                <w:rFonts w:ascii="Calibri" w:eastAsia="Times New Roman" w:hAnsi="Calibri" w:cs="Calibri"/>
                <w:color w:val="000000"/>
                <w:lang w:eastAsia="en-GB"/>
              </w:rPr>
            </w:pPr>
            <w:r w:rsidRPr="00F91CC6">
              <w:rPr>
                <w:rFonts w:ascii="Calibri" w:eastAsia="Times New Roman" w:hAnsi="Calibri" w:cs="Calibri"/>
                <w:color w:val="000000"/>
                <w:lang w:eastAsia="en-GB"/>
              </w:rPr>
              <w:t>Redbrick</w:t>
            </w:r>
          </w:p>
        </w:tc>
        <w:tc>
          <w:tcPr>
            <w:tcW w:w="1064" w:type="dxa"/>
            <w:tcBorders>
              <w:top w:val="nil"/>
              <w:left w:val="nil"/>
              <w:bottom w:val="nil"/>
              <w:right w:val="nil"/>
            </w:tcBorders>
            <w:shd w:val="clear" w:color="auto" w:fill="auto"/>
            <w:noWrap/>
            <w:vAlign w:val="bottom"/>
            <w:hideMark/>
          </w:tcPr>
          <w:p w14:paraId="44A609FC"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16500</w:t>
            </w:r>
          </w:p>
        </w:tc>
        <w:tc>
          <w:tcPr>
            <w:tcW w:w="1265" w:type="dxa"/>
            <w:tcBorders>
              <w:top w:val="nil"/>
              <w:left w:val="nil"/>
              <w:bottom w:val="nil"/>
              <w:right w:val="nil"/>
            </w:tcBorders>
            <w:shd w:val="clear" w:color="auto" w:fill="auto"/>
            <w:noWrap/>
            <w:vAlign w:val="bottom"/>
            <w:hideMark/>
          </w:tcPr>
          <w:p w14:paraId="30D9E3E3"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16790</w:t>
            </w:r>
          </w:p>
        </w:tc>
        <w:tc>
          <w:tcPr>
            <w:tcW w:w="1193" w:type="dxa"/>
            <w:tcBorders>
              <w:top w:val="nil"/>
              <w:left w:val="single" w:sz="4" w:space="0" w:color="auto"/>
              <w:bottom w:val="nil"/>
              <w:right w:val="nil"/>
            </w:tcBorders>
            <w:shd w:val="clear" w:color="auto" w:fill="auto"/>
            <w:noWrap/>
            <w:vAlign w:val="bottom"/>
            <w:hideMark/>
          </w:tcPr>
          <w:p w14:paraId="32083F0D"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 </w:t>
            </w:r>
          </w:p>
        </w:tc>
        <w:tc>
          <w:tcPr>
            <w:tcW w:w="1193" w:type="dxa"/>
            <w:tcBorders>
              <w:top w:val="nil"/>
              <w:left w:val="nil"/>
              <w:bottom w:val="nil"/>
              <w:right w:val="single" w:sz="4" w:space="0" w:color="auto"/>
            </w:tcBorders>
            <w:shd w:val="clear" w:color="auto" w:fill="auto"/>
            <w:noWrap/>
            <w:vAlign w:val="bottom"/>
            <w:hideMark/>
          </w:tcPr>
          <w:p w14:paraId="0167A96C"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 </w:t>
            </w:r>
          </w:p>
        </w:tc>
        <w:tc>
          <w:tcPr>
            <w:tcW w:w="1014" w:type="dxa"/>
            <w:tcBorders>
              <w:top w:val="nil"/>
              <w:left w:val="nil"/>
              <w:bottom w:val="nil"/>
              <w:right w:val="nil"/>
            </w:tcBorders>
            <w:shd w:val="clear" w:color="auto" w:fill="auto"/>
            <w:noWrap/>
            <w:vAlign w:val="bottom"/>
            <w:hideMark/>
          </w:tcPr>
          <w:p w14:paraId="00DB4398"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14550</w:t>
            </w:r>
          </w:p>
        </w:tc>
        <w:tc>
          <w:tcPr>
            <w:tcW w:w="1149" w:type="dxa"/>
            <w:tcBorders>
              <w:top w:val="nil"/>
              <w:left w:val="nil"/>
              <w:bottom w:val="nil"/>
              <w:right w:val="single" w:sz="8" w:space="0" w:color="auto"/>
            </w:tcBorders>
            <w:shd w:val="clear" w:color="auto" w:fill="auto"/>
            <w:noWrap/>
            <w:vAlign w:val="bottom"/>
            <w:hideMark/>
          </w:tcPr>
          <w:p w14:paraId="76BCC9E6"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15080</w:t>
            </w:r>
          </w:p>
        </w:tc>
      </w:tr>
      <w:tr w:rsidR="00E51B3B" w:rsidRPr="00F91CC6" w14:paraId="663204D8" w14:textId="77777777" w:rsidTr="00E51B3B">
        <w:trPr>
          <w:trHeight w:val="288"/>
        </w:trPr>
        <w:tc>
          <w:tcPr>
            <w:tcW w:w="1922" w:type="dxa"/>
            <w:tcBorders>
              <w:top w:val="nil"/>
              <w:left w:val="single" w:sz="8" w:space="0" w:color="auto"/>
              <w:bottom w:val="nil"/>
              <w:right w:val="nil"/>
            </w:tcBorders>
            <w:shd w:val="clear" w:color="auto" w:fill="auto"/>
            <w:noWrap/>
            <w:vAlign w:val="bottom"/>
            <w:hideMark/>
          </w:tcPr>
          <w:p w14:paraId="19D1BC43" w14:textId="77777777" w:rsidR="00E51B3B" w:rsidRPr="00F91CC6" w:rsidRDefault="00E51B3B" w:rsidP="00452D9F">
            <w:pPr>
              <w:spacing w:after="0" w:line="240" w:lineRule="auto"/>
              <w:rPr>
                <w:rFonts w:ascii="Calibri" w:eastAsia="Times New Roman" w:hAnsi="Calibri" w:cs="Calibri"/>
                <w:color w:val="000000"/>
                <w:lang w:eastAsia="en-GB"/>
              </w:rPr>
            </w:pPr>
            <w:r w:rsidRPr="00F91CC6">
              <w:rPr>
                <w:rFonts w:ascii="Calibri" w:eastAsia="Times New Roman" w:hAnsi="Calibri" w:cs="Calibri"/>
                <w:color w:val="000000"/>
                <w:lang w:eastAsia="en-GB"/>
              </w:rPr>
              <w:t>Plate Glass</w:t>
            </w:r>
          </w:p>
        </w:tc>
        <w:tc>
          <w:tcPr>
            <w:tcW w:w="1064" w:type="dxa"/>
            <w:tcBorders>
              <w:top w:val="nil"/>
              <w:left w:val="nil"/>
              <w:bottom w:val="nil"/>
              <w:right w:val="nil"/>
            </w:tcBorders>
            <w:shd w:val="clear" w:color="auto" w:fill="auto"/>
            <w:noWrap/>
            <w:vAlign w:val="bottom"/>
            <w:hideMark/>
          </w:tcPr>
          <w:p w14:paraId="1E3024B8"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14660</w:t>
            </w:r>
          </w:p>
        </w:tc>
        <w:tc>
          <w:tcPr>
            <w:tcW w:w="1265" w:type="dxa"/>
            <w:tcBorders>
              <w:top w:val="nil"/>
              <w:left w:val="nil"/>
              <w:bottom w:val="nil"/>
              <w:right w:val="nil"/>
            </w:tcBorders>
            <w:shd w:val="clear" w:color="auto" w:fill="auto"/>
            <w:noWrap/>
            <w:vAlign w:val="bottom"/>
            <w:hideMark/>
          </w:tcPr>
          <w:p w14:paraId="37FD5A2C"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15590</w:t>
            </w:r>
          </w:p>
        </w:tc>
        <w:tc>
          <w:tcPr>
            <w:tcW w:w="1193" w:type="dxa"/>
            <w:tcBorders>
              <w:top w:val="nil"/>
              <w:left w:val="single" w:sz="4" w:space="0" w:color="auto"/>
              <w:bottom w:val="nil"/>
              <w:right w:val="nil"/>
            </w:tcBorders>
            <w:shd w:val="clear" w:color="auto" w:fill="auto"/>
            <w:noWrap/>
            <w:vAlign w:val="bottom"/>
            <w:hideMark/>
          </w:tcPr>
          <w:p w14:paraId="0D790DB9"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14210</w:t>
            </w:r>
          </w:p>
        </w:tc>
        <w:tc>
          <w:tcPr>
            <w:tcW w:w="1193" w:type="dxa"/>
            <w:tcBorders>
              <w:top w:val="nil"/>
              <w:left w:val="nil"/>
              <w:bottom w:val="nil"/>
              <w:right w:val="single" w:sz="4" w:space="0" w:color="auto"/>
            </w:tcBorders>
            <w:shd w:val="clear" w:color="auto" w:fill="auto"/>
            <w:noWrap/>
            <w:vAlign w:val="bottom"/>
            <w:hideMark/>
          </w:tcPr>
          <w:p w14:paraId="78102D79"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14820</w:t>
            </w:r>
          </w:p>
        </w:tc>
        <w:tc>
          <w:tcPr>
            <w:tcW w:w="1014" w:type="dxa"/>
            <w:tcBorders>
              <w:top w:val="nil"/>
              <w:left w:val="nil"/>
              <w:bottom w:val="nil"/>
              <w:right w:val="nil"/>
            </w:tcBorders>
            <w:shd w:val="clear" w:color="auto" w:fill="auto"/>
            <w:noWrap/>
            <w:vAlign w:val="bottom"/>
            <w:hideMark/>
          </w:tcPr>
          <w:p w14:paraId="1FAD6ECC"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13050</w:t>
            </w:r>
          </w:p>
        </w:tc>
        <w:tc>
          <w:tcPr>
            <w:tcW w:w="1149" w:type="dxa"/>
            <w:tcBorders>
              <w:top w:val="nil"/>
              <w:left w:val="nil"/>
              <w:bottom w:val="nil"/>
              <w:right w:val="single" w:sz="8" w:space="0" w:color="auto"/>
            </w:tcBorders>
            <w:shd w:val="clear" w:color="auto" w:fill="auto"/>
            <w:noWrap/>
            <w:vAlign w:val="bottom"/>
            <w:hideMark/>
          </w:tcPr>
          <w:p w14:paraId="5B805B0E"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13430</w:t>
            </w:r>
          </w:p>
        </w:tc>
      </w:tr>
      <w:tr w:rsidR="00E51B3B" w:rsidRPr="00F91CC6" w14:paraId="79A9F496" w14:textId="77777777" w:rsidTr="00E51B3B">
        <w:trPr>
          <w:trHeight w:val="300"/>
        </w:trPr>
        <w:tc>
          <w:tcPr>
            <w:tcW w:w="1922" w:type="dxa"/>
            <w:tcBorders>
              <w:top w:val="nil"/>
              <w:left w:val="single" w:sz="8" w:space="0" w:color="auto"/>
              <w:bottom w:val="single" w:sz="8" w:space="0" w:color="auto"/>
              <w:right w:val="nil"/>
            </w:tcBorders>
            <w:shd w:val="clear" w:color="auto" w:fill="auto"/>
            <w:noWrap/>
            <w:vAlign w:val="bottom"/>
            <w:hideMark/>
          </w:tcPr>
          <w:p w14:paraId="27F0CDBA" w14:textId="77777777" w:rsidR="00E51B3B" w:rsidRPr="00F91CC6" w:rsidRDefault="00E51B3B" w:rsidP="00452D9F">
            <w:pPr>
              <w:spacing w:after="0" w:line="240" w:lineRule="auto"/>
              <w:rPr>
                <w:rFonts w:ascii="Calibri" w:eastAsia="Times New Roman" w:hAnsi="Calibri" w:cs="Calibri"/>
                <w:color w:val="000000"/>
                <w:lang w:eastAsia="en-GB"/>
              </w:rPr>
            </w:pPr>
            <w:r w:rsidRPr="00F91CC6">
              <w:rPr>
                <w:rFonts w:ascii="Calibri" w:eastAsia="Times New Roman" w:hAnsi="Calibri" w:cs="Calibri"/>
                <w:color w:val="000000"/>
                <w:lang w:eastAsia="en-GB"/>
              </w:rPr>
              <w:t>Ex-polytechnic</w:t>
            </w:r>
          </w:p>
        </w:tc>
        <w:tc>
          <w:tcPr>
            <w:tcW w:w="1064" w:type="dxa"/>
            <w:tcBorders>
              <w:top w:val="nil"/>
              <w:left w:val="nil"/>
              <w:bottom w:val="single" w:sz="8" w:space="0" w:color="auto"/>
              <w:right w:val="nil"/>
            </w:tcBorders>
            <w:shd w:val="clear" w:color="auto" w:fill="auto"/>
            <w:noWrap/>
            <w:vAlign w:val="bottom"/>
            <w:hideMark/>
          </w:tcPr>
          <w:p w14:paraId="5C112AB1"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10620</w:t>
            </w:r>
          </w:p>
        </w:tc>
        <w:tc>
          <w:tcPr>
            <w:tcW w:w="1265" w:type="dxa"/>
            <w:tcBorders>
              <w:top w:val="nil"/>
              <w:left w:val="nil"/>
              <w:bottom w:val="single" w:sz="8" w:space="0" w:color="auto"/>
              <w:right w:val="nil"/>
            </w:tcBorders>
            <w:shd w:val="clear" w:color="auto" w:fill="auto"/>
            <w:noWrap/>
            <w:vAlign w:val="bottom"/>
            <w:hideMark/>
          </w:tcPr>
          <w:p w14:paraId="199FA524"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126650</w:t>
            </w:r>
          </w:p>
        </w:tc>
        <w:tc>
          <w:tcPr>
            <w:tcW w:w="1193" w:type="dxa"/>
            <w:tcBorders>
              <w:top w:val="nil"/>
              <w:left w:val="single" w:sz="4" w:space="0" w:color="auto"/>
              <w:bottom w:val="single" w:sz="8" w:space="0" w:color="auto"/>
              <w:right w:val="nil"/>
            </w:tcBorders>
            <w:shd w:val="clear" w:color="auto" w:fill="auto"/>
            <w:noWrap/>
            <w:vAlign w:val="bottom"/>
            <w:hideMark/>
          </w:tcPr>
          <w:p w14:paraId="1C8F0B94"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11960</w:t>
            </w:r>
          </w:p>
        </w:tc>
        <w:tc>
          <w:tcPr>
            <w:tcW w:w="1193" w:type="dxa"/>
            <w:tcBorders>
              <w:top w:val="nil"/>
              <w:left w:val="nil"/>
              <w:bottom w:val="single" w:sz="8" w:space="0" w:color="auto"/>
              <w:right w:val="single" w:sz="4" w:space="0" w:color="auto"/>
            </w:tcBorders>
            <w:shd w:val="clear" w:color="auto" w:fill="auto"/>
            <w:noWrap/>
            <w:vAlign w:val="bottom"/>
            <w:hideMark/>
          </w:tcPr>
          <w:p w14:paraId="36BBFAC4"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12270</w:t>
            </w:r>
          </w:p>
        </w:tc>
        <w:tc>
          <w:tcPr>
            <w:tcW w:w="1014" w:type="dxa"/>
            <w:tcBorders>
              <w:top w:val="nil"/>
              <w:left w:val="nil"/>
              <w:bottom w:val="single" w:sz="8" w:space="0" w:color="auto"/>
              <w:right w:val="nil"/>
            </w:tcBorders>
            <w:shd w:val="clear" w:color="auto" w:fill="auto"/>
            <w:noWrap/>
            <w:vAlign w:val="bottom"/>
            <w:hideMark/>
          </w:tcPr>
          <w:p w14:paraId="64900E69"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11680</w:t>
            </w:r>
          </w:p>
        </w:tc>
        <w:tc>
          <w:tcPr>
            <w:tcW w:w="1149" w:type="dxa"/>
            <w:tcBorders>
              <w:top w:val="nil"/>
              <w:left w:val="nil"/>
              <w:bottom w:val="single" w:sz="8" w:space="0" w:color="auto"/>
              <w:right w:val="single" w:sz="8" w:space="0" w:color="auto"/>
            </w:tcBorders>
            <w:shd w:val="clear" w:color="auto" w:fill="auto"/>
            <w:noWrap/>
            <w:vAlign w:val="bottom"/>
            <w:hideMark/>
          </w:tcPr>
          <w:p w14:paraId="0585D0DA" w14:textId="77777777" w:rsidR="00E51B3B" w:rsidRPr="00F91CC6" w:rsidRDefault="00E51B3B" w:rsidP="00452D9F">
            <w:pPr>
              <w:spacing w:after="0" w:line="240" w:lineRule="auto"/>
              <w:jc w:val="center"/>
              <w:rPr>
                <w:rFonts w:ascii="Calibri" w:eastAsia="Times New Roman" w:hAnsi="Calibri" w:cs="Calibri"/>
                <w:color w:val="000000"/>
                <w:lang w:eastAsia="en-GB"/>
              </w:rPr>
            </w:pPr>
            <w:r w:rsidRPr="00F91CC6">
              <w:rPr>
                <w:rFonts w:ascii="Calibri" w:eastAsia="Times New Roman" w:hAnsi="Calibri" w:cs="Calibri"/>
                <w:color w:val="000000"/>
                <w:lang w:eastAsia="en-GB"/>
              </w:rPr>
              <w:t>12830</w:t>
            </w:r>
          </w:p>
        </w:tc>
      </w:tr>
      <w:tr w:rsidR="00E51B3B" w:rsidRPr="00F91CC6" w14:paraId="47849B5C" w14:textId="77777777" w:rsidTr="00E51B3B">
        <w:trPr>
          <w:trHeight w:val="288"/>
        </w:trPr>
        <w:tc>
          <w:tcPr>
            <w:tcW w:w="8800" w:type="dxa"/>
            <w:gridSpan w:val="7"/>
            <w:tcBorders>
              <w:top w:val="nil"/>
              <w:left w:val="nil"/>
              <w:bottom w:val="nil"/>
              <w:right w:val="nil"/>
            </w:tcBorders>
            <w:shd w:val="clear" w:color="auto" w:fill="auto"/>
            <w:noWrap/>
            <w:vAlign w:val="bottom"/>
            <w:hideMark/>
          </w:tcPr>
          <w:p w14:paraId="081923F1" w14:textId="77777777" w:rsidR="00E51B3B" w:rsidRPr="00F91CC6" w:rsidRDefault="00E51B3B" w:rsidP="00452D9F">
            <w:pPr>
              <w:spacing w:after="0" w:line="240" w:lineRule="auto"/>
              <w:rPr>
                <w:rFonts w:ascii="Calibri" w:eastAsia="Times New Roman" w:hAnsi="Calibri" w:cs="Calibri"/>
                <w:color w:val="000000"/>
                <w:lang w:eastAsia="en-GB"/>
              </w:rPr>
            </w:pPr>
            <w:r w:rsidRPr="00F91CC6">
              <w:rPr>
                <w:rFonts w:ascii="Calibri" w:eastAsia="Times New Roman" w:hAnsi="Calibri" w:cs="Calibri"/>
                <w:color w:val="000000"/>
                <w:lang w:eastAsia="en-GB"/>
              </w:rPr>
              <w:t>Notes: Fee levels shown are for lowest for full time taught courses (Band 1)</w:t>
            </w:r>
          </w:p>
        </w:tc>
      </w:tr>
      <w:tr w:rsidR="00E51B3B" w:rsidRPr="00F91CC6" w14:paraId="30BB3A9D" w14:textId="77777777" w:rsidTr="00E51B3B">
        <w:trPr>
          <w:trHeight w:val="288"/>
        </w:trPr>
        <w:tc>
          <w:tcPr>
            <w:tcW w:w="6637" w:type="dxa"/>
            <w:gridSpan w:val="5"/>
            <w:tcBorders>
              <w:top w:val="nil"/>
              <w:left w:val="nil"/>
              <w:bottom w:val="nil"/>
              <w:right w:val="nil"/>
            </w:tcBorders>
            <w:shd w:val="clear" w:color="auto" w:fill="auto"/>
            <w:noWrap/>
            <w:vAlign w:val="bottom"/>
            <w:hideMark/>
          </w:tcPr>
          <w:p w14:paraId="4548E4D9" w14:textId="40785905" w:rsidR="00E51B3B" w:rsidRPr="00F91CC6" w:rsidRDefault="00E51B3B" w:rsidP="00452D9F">
            <w:pPr>
              <w:spacing w:after="0" w:line="240" w:lineRule="auto"/>
              <w:rPr>
                <w:rFonts w:ascii="Calibri" w:eastAsia="Times New Roman" w:hAnsi="Calibri" w:cs="Calibri"/>
                <w:color w:val="000000"/>
                <w:lang w:eastAsia="en-GB"/>
              </w:rPr>
            </w:pPr>
            <w:r>
              <w:br w:type="page"/>
            </w:r>
            <w:r w:rsidRPr="00F91CC6">
              <w:rPr>
                <w:rFonts w:ascii="Calibri" w:eastAsia="Times New Roman" w:hAnsi="Calibri" w:cs="Calibri"/>
                <w:color w:val="000000"/>
                <w:lang w:eastAsia="en-GB"/>
              </w:rPr>
              <w:t>Source: Complete University Guide, Redin Fee Survey</w:t>
            </w:r>
          </w:p>
        </w:tc>
        <w:tc>
          <w:tcPr>
            <w:tcW w:w="1014" w:type="dxa"/>
            <w:tcBorders>
              <w:top w:val="nil"/>
              <w:left w:val="nil"/>
              <w:bottom w:val="nil"/>
              <w:right w:val="nil"/>
            </w:tcBorders>
            <w:shd w:val="clear" w:color="auto" w:fill="auto"/>
            <w:noWrap/>
            <w:vAlign w:val="bottom"/>
            <w:hideMark/>
          </w:tcPr>
          <w:p w14:paraId="18803D2A" w14:textId="77777777" w:rsidR="00E51B3B" w:rsidRPr="00F91CC6" w:rsidRDefault="00E51B3B" w:rsidP="00452D9F">
            <w:pPr>
              <w:spacing w:after="0" w:line="240" w:lineRule="auto"/>
              <w:rPr>
                <w:rFonts w:ascii="Calibri" w:eastAsia="Times New Roman" w:hAnsi="Calibri" w:cs="Calibri"/>
                <w:color w:val="000000"/>
                <w:lang w:eastAsia="en-GB"/>
              </w:rPr>
            </w:pPr>
          </w:p>
        </w:tc>
        <w:tc>
          <w:tcPr>
            <w:tcW w:w="1149" w:type="dxa"/>
            <w:tcBorders>
              <w:top w:val="nil"/>
              <w:left w:val="nil"/>
              <w:bottom w:val="nil"/>
              <w:right w:val="nil"/>
            </w:tcBorders>
            <w:shd w:val="clear" w:color="auto" w:fill="auto"/>
            <w:noWrap/>
            <w:vAlign w:val="bottom"/>
            <w:hideMark/>
          </w:tcPr>
          <w:p w14:paraId="0AB7300E" w14:textId="77777777" w:rsidR="00E51B3B" w:rsidRPr="00F91CC6" w:rsidRDefault="00E51B3B" w:rsidP="00452D9F">
            <w:pPr>
              <w:spacing w:after="0" w:line="240" w:lineRule="auto"/>
              <w:rPr>
                <w:rFonts w:ascii="Times New Roman" w:eastAsia="Times New Roman" w:hAnsi="Times New Roman" w:cs="Times New Roman"/>
                <w:sz w:val="20"/>
                <w:szCs w:val="20"/>
                <w:lang w:eastAsia="en-GB"/>
              </w:rPr>
            </w:pPr>
          </w:p>
        </w:tc>
      </w:tr>
    </w:tbl>
    <w:p w14:paraId="17D3BFBE" w14:textId="6C6188C3" w:rsidR="00E51B3B" w:rsidRDefault="00E51B3B"/>
    <w:tbl>
      <w:tblPr>
        <w:tblW w:w="9138" w:type="dxa"/>
        <w:tblLook w:val="04A0" w:firstRow="1" w:lastRow="0" w:firstColumn="1" w:lastColumn="0" w:noHBand="0" w:noVBand="1"/>
      </w:tblPr>
      <w:tblGrid>
        <w:gridCol w:w="4706"/>
        <w:gridCol w:w="1585"/>
        <w:gridCol w:w="1411"/>
        <w:gridCol w:w="479"/>
        <w:gridCol w:w="957"/>
      </w:tblGrid>
      <w:tr w:rsidR="00E51B3B" w:rsidRPr="005532F5" w14:paraId="5F196E83" w14:textId="77777777" w:rsidTr="00E51B3B">
        <w:trPr>
          <w:trHeight w:val="288"/>
        </w:trPr>
        <w:tc>
          <w:tcPr>
            <w:tcW w:w="8181" w:type="dxa"/>
            <w:gridSpan w:val="4"/>
            <w:tcBorders>
              <w:top w:val="nil"/>
              <w:left w:val="nil"/>
              <w:bottom w:val="nil"/>
              <w:right w:val="nil"/>
            </w:tcBorders>
            <w:shd w:val="clear" w:color="auto" w:fill="auto"/>
            <w:noWrap/>
            <w:vAlign w:val="bottom"/>
            <w:hideMark/>
          </w:tcPr>
          <w:p w14:paraId="51820A03" w14:textId="7974FB25"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 xml:space="preserve">Table 6: Average fees charged by UK collaborative </w:t>
            </w:r>
          </w:p>
        </w:tc>
        <w:tc>
          <w:tcPr>
            <w:tcW w:w="957" w:type="dxa"/>
            <w:tcBorders>
              <w:top w:val="nil"/>
              <w:left w:val="nil"/>
              <w:bottom w:val="nil"/>
              <w:right w:val="nil"/>
            </w:tcBorders>
            <w:shd w:val="clear" w:color="auto" w:fill="auto"/>
            <w:noWrap/>
            <w:vAlign w:val="bottom"/>
            <w:hideMark/>
          </w:tcPr>
          <w:p w14:paraId="04C6F108" w14:textId="77777777" w:rsidR="00E51B3B" w:rsidRPr="005532F5" w:rsidRDefault="00E51B3B" w:rsidP="00452D9F">
            <w:pPr>
              <w:spacing w:after="0" w:line="240" w:lineRule="auto"/>
              <w:rPr>
                <w:rFonts w:ascii="Calibri" w:eastAsia="Times New Roman" w:hAnsi="Calibri" w:cs="Calibri"/>
                <w:color w:val="000000"/>
                <w:lang w:eastAsia="en-GB"/>
              </w:rPr>
            </w:pPr>
          </w:p>
        </w:tc>
      </w:tr>
      <w:tr w:rsidR="00E51B3B" w:rsidRPr="005532F5" w14:paraId="054CC1F7" w14:textId="77777777" w:rsidTr="00E51B3B">
        <w:trPr>
          <w:trHeight w:val="300"/>
        </w:trPr>
        <w:tc>
          <w:tcPr>
            <w:tcW w:w="6291" w:type="dxa"/>
            <w:gridSpan w:val="2"/>
            <w:tcBorders>
              <w:top w:val="nil"/>
              <w:left w:val="nil"/>
              <w:bottom w:val="nil"/>
              <w:right w:val="nil"/>
            </w:tcBorders>
            <w:shd w:val="clear" w:color="auto" w:fill="auto"/>
            <w:noWrap/>
            <w:vAlign w:val="bottom"/>
            <w:hideMark/>
          </w:tcPr>
          <w:p w14:paraId="6DB170AD"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overseas partners, 2018 (£)</w:t>
            </w:r>
          </w:p>
        </w:tc>
        <w:tc>
          <w:tcPr>
            <w:tcW w:w="1411" w:type="dxa"/>
            <w:tcBorders>
              <w:top w:val="nil"/>
              <w:left w:val="nil"/>
              <w:bottom w:val="nil"/>
              <w:right w:val="nil"/>
            </w:tcBorders>
            <w:shd w:val="clear" w:color="auto" w:fill="auto"/>
            <w:noWrap/>
            <w:vAlign w:val="bottom"/>
            <w:hideMark/>
          </w:tcPr>
          <w:p w14:paraId="4B3C9BED" w14:textId="77777777" w:rsidR="00E51B3B" w:rsidRPr="005532F5" w:rsidRDefault="00E51B3B" w:rsidP="00452D9F">
            <w:pPr>
              <w:spacing w:after="0" w:line="240" w:lineRule="auto"/>
              <w:rPr>
                <w:rFonts w:ascii="Calibri" w:eastAsia="Times New Roman" w:hAnsi="Calibri" w:cs="Calibri"/>
                <w:color w:val="000000"/>
                <w:lang w:eastAsia="en-GB"/>
              </w:rPr>
            </w:pPr>
          </w:p>
        </w:tc>
        <w:tc>
          <w:tcPr>
            <w:tcW w:w="479" w:type="dxa"/>
            <w:tcBorders>
              <w:top w:val="nil"/>
              <w:left w:val="nil"/>
              <w:bottom w:val="nil"/>
              <w:right w:val="nil"/>
            </w:tcBorders>
            <w:shd w:val="clear" w:color="auto" w:fill="auto"/>
            <w:noWrap/>
            <w:vAlign w:val="bottom"/>
            <w:hideMark/>
          </w:tcPr>
          <w:p w14:paraId="6F36AF55"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c>
          <w:tcPr>
            <w:tcW w:w="957" w:type="dxa"/>
            <w:tcBorders>
              <w:top w:val="nil"/>
              <w:left w:val="nil"/>
              <w:bottom w:val="nil"/>
              <w:right w:val="nil"/>
            </w:tcBorders>
            <w:shd w:val="clear" w:color="auto" w:fill="auto"/>
            <w:noWrap/>
            <w:vAlign w:val="bottom"/>
            <w:hideMark/>
          </w:tcPr>
          <w:p w14:paraId="1FF140B9"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r w:rsidR="00E51B3B" w:rsidRPr="005532F5" w14:paraId="35DA917B" w14:textId="77777777" w:rsidTr="00E51B3B">
        <w:trPr>
          <w:trHeight w:val="288"/>
        </w:trPr>
        <w:tc>
          <w:tcPr>
            <w:tcW w:w="470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CB9E284"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 </w:t>
            </w:r>
          </w:p>
        </w:tc>
        <w:tc>
          <w:tcPr>
            <w:tcW w:w="1585" w:type="dxa"/>
            <w:tcBorders>
              <w:top w:val="single" w:sz="8" w:space="0" w:color="auto"/>
              <w:left w:val="nil"/>
              <w:bottom w:val="single" w:sz="4" w:space="0" w:color="auto"/>
              <w:right w:val="single" w:sz="4" w:space="0" w:color="auto"/>
            </w:tcBorders>
            <w:shd w:val="clear" w:color="auto" w:fill="auto"/>
            <w:noWrap/>
            <w:vAlign w:val="bottom"/>
            <w:hideMark/>
          </w:tcPr>
          <w:p w14:paraId="3233CE3A"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Undergraduate</w:t>
            </w:r>
          </w:p>
        </w:tc>
        <w:tc>
          <w:tcPr>
            <w:tcW w:w="1411" w:type="dxa"/>
            <w:tcBorders>
              <w:top w:val="single" w:sz="8" w:space="0" w:color="auto"/>
              <w:left w:val="nil"/>
              <w:bottom w:val="single" w:sz="4" w:space="0" w:color="auto"/>
              <w:right w:val="single" w:sz="8" w:space="0" w:color="auto"/>
            </w:tcBorders>
            <w:shd w:val="clear" w:color="auto" w:fill="auto"/>
            <w:noWrap/>
            <w:vAlign w:val="bottom"/>
            <w:hideMark/>
          </w:tcPr>
          <w:p w14:paraId="087B4CAF"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Postgraduate</w:t>
            </w:r>
          </w:p>
        </w:tc>
        <w:tc>
          <w:tcPr>
            <w:tcW w:w="479" w:type="dxa"/>
            <w:tcBorders>
              <w:top w:val="nil"/>
              <w:left w:val="nil"/>
              <w:bottom w:val="nil"/>
              <w:right w:val="nil"/>
            </w:tcBorders>
            <w:shd w:val="clear" w:color="auto" w:fill="auto"/>
            <w:noWrap/>
            <w:vAlign w:val="bottom"/>
            <w:hideMark/>
          </w:tcPr>
          <w:p w14:paraId="7D397F3B" w14:textId="77777777" w:rsidR="00E51B3B" w:rsidRPr="005532F5" w:rsidRDefault="00E51B3B" w:rsidP="00452D9F">
            <w:pPr>
              <w:spacing w:after="0" w:line="240" w:lineRule="auto"/>
              <w:jc w:val="center"/>
              <w:rPr>
                <w:rFonts w:ascii="Calibri" w:eastAsia="Times New Roman" w:hAnsi="Calibri" w:cs="Calibri"/>
                <w:color w:val="000000"/>
                <w:lang w:eastAsia="en-GB"/>
              </w:rPr>
            </w:pPr>
          </w:p>
        </w:tc>
        <w:tc>
          <w:tcPr>
            <w:tcW w:w="957" w:type="dxa"/>
            <w:tcBorders>
              <w:top w:val="nil"/>
              <w:left w:val="nil"/>
              <w:bottom w:val="nil"/>
              <w:right w:val="nil"/>
            </w:tcBorders>
            <w:shd w:val="clear" w:color="auto" w:fill="auto"/>
            <w:noWrap/>
            <w:vAlign w:val="bottom"/>
            <w:hideMark/>
          </w:tcPr>
          <w:p w14:paraId="21D2FA57"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r w:rsidR="00E51B3B" w:rsidRPr="005532F5" w14:paraId="76EFF61B" w14:textId="77777777" w:rsidTr="00E51B3B">
        <w:trPr>
          <w:trHeight w:val="288"/>
        </w:trPr>
        <w:tc>
          <w:tcPr>
            <w:tcW w:w="4706" w:type="dxa"/>
            <w:tcBorders>
              <w:top w:val="nil"/>
              <w:left w:val="single" w:sz="8" w:space="0" w:color="auto"/>
              <w:bottom w:val="nil"/>
              <w:right w:val="nil"/>
            </w:tcBorders>
            <w:shd w:val="clear" w:color="auto" w:fill="auto"/>
            <w:noWrap/>
            <w:vAlign w:val="bottom"/>
            <w:hideMark/>
          </w:tcPr>
          <w:p w14:paraId="1D0BE62A"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Hong Kong</w:t>
            </w:r>
          </w:p>
        </w:tc>
        <w:tc>
          <w:tcPr>
            <w:tcW w:w="1585" w:type="dxa"/>
            <w:tcBorders>
              <w:top w:val="nil"/>
              <w:left w:val="nil"/>
              <w:bottom w:val="nil"/>
              <w:right w:val="nil"/>
            </w:tcBorders>
            <w:shd w:val="clear" w:color="auto" w:fill="auto"/>
            <w:noWrap/>
            <w:vAlign w:val="bottom"/>
            <w:hideMark/>
          </w:tcPr>
          <w:p w14:paraId="6C89A1DC"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6027 (4)</w:t>
            </w:r>
          </w:p>
        </w:tc>
        <w:tc>
          <w:tcPr>
            <w:tcW w:w="1411" w:type="dxa"/>
            <w:tcBorders>
              <w:top w:val="nil"/>
              <w:left w:val="nil"/>
              <w:bottom w:val="nil"/>
              <w:right w:val="single" w:sz="8" w:space="0" w:color="auto"/>
            </w:tcBorders>
            <w:shd w:val="clear" w:color="auto" w:fill="auto"/>
            <w:noWrap/>
            <w:vAlign w:val="bottom"/>
            <w:hideMark/>
          </w:tcPr>
          <w:p w14:paraId="7713757F"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6627 (1)</w:t>
            </w:r>
          </w:p>
        </w:tc>
        <w:tc>
          <w:tcPr>
            <w:tcW w:w="479" w:type="dxa"/>
            <w:tcBorders>
              <w:top w:val="nil"/>
              <w:left w:val="nil"/>
              <w:bottom w:val="nil"/>
              <w:right w:val="nil"/>
            </w:tcBorders>
            <w:shd w:val="clear" w:color="auto" w:fill="auto"/>
            <w:noWrap/>
            <w:vAlign w:val="bottom"/>
            <w:hideMark/>
          </w:tcPr>
          <w:p w14:paraId="408F7DA7" w14:textId="77777777" w:rsidR="00E51B3B" w:rsidRPr="005532F5" w:rsidRDefault="00E51B3B" w:rsidP="00452D9F">
            <w:pPr>
              <w:spacing w:after="0" w:line="240" w:lineRule="auto"/>
              <w:jc w:val="center"/>
              <w:rPr>
                <w:rFonts w:ascii="Calibri" w:eastAsia="Times New Roman" w:hAnsi="Calibri" w:cs="Calibri"/>
                <w:color w:val="000000"/>
                <w:lang w:eastAsia="en-GB"/>
              </w:rPr>
            </w:pPr>
          </w:p>
        </w:tc>
        <w:tc>
          <w:tcPr>
            <w:tcW w:w="957" w:type="dxa"/>
            <w:tcBorders>
              <w:top w:val="nil"/>
              <w:left w:val="nil"/>
              <w:bottom w:val="nil"/>
              <w:right w:val="nil"/>
            </w:tcBorders>
            <w:shd w:val="clear" w:color="auto" w:fill="auto"/>
            <w:noWrap/>
            <w:vAlign w:val="bottom"/>
            <w:hideMark/>
          </w:tcPr>
          <w:p w14:paraId="5BD43487"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r w:rsidR="00E51B3B" w:rsidRPr="005532F5" w14:paraId="68D1583F" w14:textId="77777777" w:rsidTr="00E51B3B">
        <w:trPr>
          <w:trHeight w:val="288"/>
        </w:trPr>
        <w:tc>
          <w:tcPr>
            <w:tcW w:w="4706" w:type="dxa"/>
            <w:tcBorders>
              <w:top w:val="nil"/>
              <w:left w:val="single" w:sz="8" w:space="0" w:color="auto"/>
              <w:bottom w:val="nil"/>
              <w:right w:val="nil"/>
            </w:tcBorders>
            <w:shd w:val="clear" w:color="auto" w:fill="auto"/>
            <w:noWrap/>
            <w:vAlign w:val="bottom"/>
            <w:hideMark/>
          </w:tcPr>
          <w:p w14:paraId="6EC16C8E"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Malaysia</w:t>
            </w:r>
          </w:p>
        </w:tc>
        <w:tc>
          <w:tcPr>
            <w:tcW w:w="1585" w:type="dxa"/>
            <w:tcBorders>
              <w:top w:val="nil"/>
              <w:left w:val="nil"/>
              <w:bottom w:val="nil"/>
              <w:right w:val="nil"/>
            </w:tcBorders>
            <w:shd w:val="clear" w:color="auto" w:fill="auto"/>
            <w:noWrap/>
            <w:vAlign w:val="bottom"/>
            <w:hideMark/>
          </w:tcPr>
          <w:p w14:paraId="0D6E8271"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4267 (5)</w:t>
            </w:r>
          </w:p>
        </w:tc>
        <w:tc>
          <w:tcPr>
            <w:tcW w:w="1411" w:type="dxa"/>
            <w:tcBorders>
              <w:top w:val="nil"/>
              <w:left w:val="nil"/>
              <w:bottom w:val="nil"/>
              <w:right w:val="single" w:sz="8" w:space="0" w:color="auto"/>
            </w:tcBorders>
            <w:shd w:val="clear" w:color="auto" w:fill="auto"/>
            <w:noWrap/>
            <w:vAlign w:val="bottom"/>
            <w:hideMark/>
          </w:tcPr>
          <w:p w14:paraId="638EF075"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4690 (1)</w:t>
            </w:r>
          </w:p>
        </w:tc>
        <w:tc>
          <w:tcPr>
            <w:tcW w:w="479" w:type="dxa"/>
            <w:tcBorders>
              <w:top w:val="nil"/>
              <w:left w:val="nil"/>
              <w:bottom w:val="nil"/>
              <w:right w:val="nil"/>
            </w:tcBorders>
            <w:shd w:val="clear" w:color="auto" w:fill="auto"/>
            <w:noWrap/>
            <w:vAlign w:val="bottom"/>
            <w:hideMark/>
          </w:tcPr>
          <w:p w14:paraId="7DAB9650" w14:textId="77777777" w:rsidR="00E51B3B" w:rsidRPr="005532F5" w:rsidRDefault="00E51B3B" w:rsidP="00452D9F">
            <w:pPr>
              <w:spacing w:after="0" w:line="240" w:lineRule="auto"/>
              <w:jc w:val="center"/>
              <w:rPr>
                <w:rFonts w:ascii="Calibri" w:eastAsia="Times New Roman" w:hAnsi="Calibri" w:cs="Calibri"/>
                <w:color w:val="000000"/>
                <w:lang w:eastAsia="en-GB"/>
              </w:rPr>
            </w:pPr>
          </w:p>
        </w:tc>
        <w:tc>
          <w:tcPr>
            <w:tcW w:w="957" w:type="dxa"/>
            <w:tcBorders>
              <w:top w:val="nil"/>
              <w:left w:val="nil"/>
              <w:bottom w:val="nil"/>
              <w:right w:val="nil"/>
            </w:tcBorders>
            <w:shd w:val="clear" w:color="auto" w:fill="auto"/>
            <w:noWrap/>
            <w:vAlign w:val="bottom"/>
            <w:hideMark/>
          </w:tcPr>
          <w:p w14:paraId="3AB264C9"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r w:rsidR="00E51B3B" w:rsidRPr="005532F5" w14:paraId="49546136" w14:textId="77777777" w:rsidTr="00E51B3B">
        <w:trPr>
          <w:trHeight w:val="288"/>
        </w:trPr>
        <w:tc>
          <w:tcPr>
            <w:tcW w:w="4706" w:type="dxa"/>
            <w:tcBorders>
              <w:top w:val="nil"/>
              <w:left w:val="single" w:sz="8" w:space="0" w:color="auto"/>
              <w:bottom w:val="nil"/>
              <w:right w:val="nil"/>
            </w:tcBorders>
            <w:shd w:val="clear" w:color="auto" w:fill="auto"/>
            <w:noWrap/>
            <w:vAlign w:val="bottom"/>
            <w:hideMark/>
          </w:tcPr>
          <w:p w14:paraId="423351F0"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Singapore</w:t>
            </w:r>
          </w:p>
        </w:tc>
        <w:tc>
          <w:tcPr>
            <w:tcW w:w="1585" w:type="dxa"/>
            <w:tcBorders>
              <w:top w:val="nil"/>
              <w:left w:val="nil"/>
              <w:bottom w:val="nil"/>
              <w:right w:val="nil"/>
            </w:tcBorders>
            <w:shd w:val="clear" w:color="auto" w:fill="auto"/>
            <w:noWrap/>
            <w:vAlign w:val="bottom"/>
            <w:hideMark/>
          </w:tcPr>
          <w:p w14:paraId="45DB30FD"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10830(1)</w:t>
            </w:r>
          </w:p>
        </w:tc>
        <w:tc>
          <w:tcPr>
            <w:tcW w:w="1411" w:type="dxa"/>
            <w:tcBorders>
              <w:top w:val="nil"/>
              <w:left w:val="nil"/>
              <w:bottom w:val="nil"/>
              <w:right w:val="single" w:sz="8" w:space="0" w:color="auto"/>
            </w:tcBorders>
            <w:shd w:val="clear" w:color="auto" w:fill="auto"/>
            <w:noWrap/>
            <w:vAlign w:val="bottom"/>
            <w:hideMark/>
          </w:tcPr>
          <w:p w14:paraId="04F33AB9"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11434 (6)</w:t>
            </w:r>
          </w:p>
        </w:tc>
        <w:tc>
          <w:tcPr>
            <w:tcW w:w="479" w:type="dxa"/>
            <w:tcBorders>
              <w:top w:val="nil"/>
              <w:left w:val="nil"/>
              <w:bottom w:val="nil"/>
              <w:right w:val="nil"/>
            </w:tcBorders>
            <w:shd w:val="clear" w:color="auto" w:fill="auto"/>
            <w:noWrap/>
            <w:vAlign w:val="bottom"/>
            <w:hideMark/>
          </w:tcPr>
          <w:p w14:paraId="02207266" w14:textId="77777777" w:rsidR="00E51B3B" w:rsidRPr="005532F5" w:rsidRDefault="00E51B3B" w:rsidP="00452D9F">
            <w:pPr>
              <w:spacing w:after="0" w:line="240" w:lineRule="auto"/>
              <w:jc w:val="center"/>
              <w:rPr>
                <w:rFonts w:ascii="Calibri" w:eastAsia="Times New Roman" w:hAnsi="Calibri" w:cs="Calibri"/>
                <w:color w:val="000000"/>
                <w:lang w:eastAsia="en-GB"/>
              </w:rPr>
            </w:pPr>
          </w:p>
        </w:tc>
        <w:tc>
          <w:tcPr>
            <w:tcW w:w="957" w:type="dxa"/>
            <w:tcBorders>
              <w:top w:val="nil"/>
              <w:left w:val="nil"/>
              <w:bottom w:val="nil"/>
              <w:right w:val="nil"/>
            </w:tcBorders>
            <w:shd w:val="clear" w:color="auto" w:fill="auto"/>
            <w:noWrap/>
            <w:vAlign w:val="bottom"/>
            <w:hideMark/>
          </w:tcPr>
          <w:p w14:paraId="31D16675"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r w:rsidR="00E51B3B" w:rsidRPr="005532F5" w14:paraId="22541DEB" w14:textId="77777777" w:rsidTr="00E51B3B">
        <w:trPr>
          <w:trHeight w:val="288"/>
        </w:trPr>
        <w:tc>
          <w:tcPr>
            <w:tcW w:w="4706" w:type="dxa"/>
            <w:tcBorders>
              <w:top w:val="nil"/>
              <w:left w:val="single" w:sz="8" w:space="0" w:color="auto"/>
              <w:bottom w:val="nil"/>
              <w:right w:val="nil"/>
            </w:tcBorders>
            <w:shd w:val="clear" w:color="auto" w:fill="auto"/>
            <w:noWrap/>
            <w:vAlign w:val="bottom"/>
            <w:hideMark/>
          </w:tcPr>
          <w:p w14:paraId="452222C4"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Botswana</w:t>
            </w:r>
          </w:p>
        </w:tc>
        <w:tc>
          <w:tcPr>
            <w:tcW w:w="1585" w:type="dxa"/>
            <w:tcBorders>
              <w:top w:val="nil"/>
              <w:left w:val="nil"/>
              <w:bottom w:val="nil"/>
              <w:right w:val="nil"/>
            </w:tcBorders>
            <w:shd w:val="clear" w:color="auto" w:fill="auto"/>
            <w:noWrap/>
            <w:vAlign w:val="bottom"/>
            <w:hideMark/>
          </w:tcPr>
          <w:p w14:paraId="499CA45A"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3285 (1)</w:t>
            </w:r>
          </w:p>
        </w:tc>
        <w:tc>
          <w:tcPr>
            <w:tcW w:w="1411" w:type="dxa"/>
            <w:tcBorders>
              <w:top w:val="nil"/>
              <w:left w:val="nil"/>
              <w:bottom w:val="nil"/>
              <w:right w:val="single" w:sz="8" w:space="0" w:color="auto"/>
            </w:tcBorders>
            <w:shd w:val="clear" w:color="auto" w:fill="auto"/>
            <w:noWrap/>
            <w:vAlign w:val="bottom"/>
            <w:hideMark/>
          </w:tcPr>
          <w:p w14:paraId="1959E0CC"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 </w:t>
            </w:r>
          </w:p>
        </w:tc>
        <w:tc>
          <w:tcPr>
            <w:tcW w:w="479" w:type="dxa"/>
            <w:tcBorders>
              <w:top w:val="nil"/>
              <w:left w:val="nil"/>
              <w:bottom w:val="nil"/>
              <w:right w:val="nil"/>
            </w:tcBorders>
            <w:shd w:val="clear" w:color="auto" w:fill="auto"/>
            <w:noWrap/>
            <w:vAlign w:val="bottom"/>
            <w:hideMark/>
          </w:tcPr>
          <w:p w14:paraId="2811AC41" w14:textId="77777777" w:rsidR="00E51B3B" w:rsidRPr="005532F5" w:rsidRDefault="00E51B3B" w:rsidP="00452D9F">
            <w:pPr>
              <w:spacing w:after="0" w:line="240" w:lineRule="auto"/>
              <w:jc w:val="center"/>
              <w:rPr>
                <w:rFonts w:ascii="Calibri" w:eastAsia="Times New Roman" w:hAnsi="Calibri" w:cs="Calibri"/>
                <w:color w:val="000000"/>
                <w:lang w:eastAsia="en-GB"/>
              </w:rPr>
            </w:pPr>
          </w:p>
        </w:tc>
        <w:tc>
          <w:tcPr>
            <w:tcW w:w="957" w:type="dxa"/>
            <w:tcBorders>
              <w:top w:val="nil"/>
              <w:left w:val="nil"/>
              <w:bottom w:val="nil"/>
              <w:right w:val="nil"/>
            </w:tcBorders>
            <w:shd w:val="clear" w:color="auto" w:fill="auto"/>
            <w:noWrap/>
            <w:vAlign w:val="bottom"/>
            <w:hideMark/>
          </w:tcPr>
          <w:p w14:paraId="490A11A7"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r w:rsidR="00E51B3B" w:rsidRPr="005532F5" w14:paraId="384C5BC5" w14:textId="77777777" w:rsidTr="00E51B3B">
        <w:trPr>
          <w:trHeight w:val="288"/>
        </w:trPr>
        <w:tc>
          <w:tcPr>
            <w:tcW w:w="4706" w:type="dxa"/>
            <w:tcBorders>
              <w:top w:val="nil"/>
              <w:left w:val="single" w:sz="8" w:space="0" w:color="auto"/>
              <w:bottom w:val="nil"/>
              <w:right w:val="nil"/>
            </w:tcBorders>
            <w:shd w:val="clear" w:color="auto" w:fill="auto"/>
            <w:noWrap/>
            <w:vAlign w:val="bottom"/>
            <w:hideMark/>
          </w:tcPr>
          <w:p w14:paraId="100C8994"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China</w:t>
            </w:r>
          </w:p>
        </w:tc>
        <w:tc>
          <w:tcPr>
            <w:tcW w:w="1585" w:type="dxa"/>
            <w:tcBorders>
              <w:top w:val="nil"/>
              <w:left w:val="nil"/>
              <w:bottom w:val="nil"/>
              <w:right w:val="nil"/>
            </w:tcBorders>
            <w:shd w:val="clear" w:color="auto" w:fill="auto"/>
            <w:noWrap/>
            <w:vAlign w:val="bottom"/>
            <w:hideMark/>
          </w:tcPr>
          <w:p w14:paraId="4C06B800"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5400 (1)</w:t>
            </w:r>
          </w:p>
        </w:tc>
        <w:tc>
          <w:tcPr>
            <w:tcW w:w="1411" w:type="dxa"/>
            <w:tcBorders>
              <w:top w:val="nil"/>
              <w:left w:val="nil"/>
              <w:bottom w:val="nil"/>
              <w:right w:val="single" w:sz="8" w:space="0" w:color="auto"/>
            </w:tcBorders>
            <w:shd w:val="clear" w:color="auto" w:fill="auto"/>
            <w:noWrap/>
            <w:vAlign w:val="bottom"/>
            <w:hideMark/>
          </w:tcPr>
          <w:p w14:paraId="38CDAB8C"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 </w:t>
            </w:r>
          </w:p>
        </w:tc>
        <w:tc>
          <w:tcPr>
            <w:tcW w:w="479" w:type="dxa"/>
            <w:tcBorders>
              <w:top w:val="nil"/>
              <w:left w:val="nil"/>
              <w:bottom w:val="nil"/>
              <w:right w:val="nil"/>
            </w:tcBorders>
            <w:shd w:val="clear" w:color="auto" w:fill="auto"/>
            <w:noWrap/>
            <w:vAlign w:val="bottom"/>
            <w:hideMark/>
          </w:tcPr>
          <w:p w14:paraId="453AE1A4" w14:textId="77777777" w:rsidR="00E51B3B" w:rsidRPr="005532F5" w:rsidRDefault="00E51B3B" w:rsidP="00452D9F">
            <w:pPr>
              <w:spacing w:after="0" w:line="240" w:lineRule="auto"/>
              <w:jc w:val="center"/>
              <w:rPr>
                <w:rFonts w:ascii="Calibri" w:eastAsia="Times New Roman" w:hAnsi="Calibri" w:cs="Calibri"/>
                <w:color w:val="000000"/>
                <w:lang w:eastAsia="en-GB"/>
              </w:rPr>
            </w:pPr>
          </w:p>
        </w:tc>
        <w:tc>
          <w:tcPr>
            <w:tcW w:w="957" w:type="dxa"/>
            <w:tcBorders>
              <w:top w:val="nil"/>
              <w:left w:val="nil"/>
              <w:bottom w:val="nil"/>
              <w:right w:val="nil"/>
            </w:tcBorders>
            <w:shd w:val="clear" w:color="auto" w:fill="auto"/>
            <w:noWrap/>
            <w:vAlign w:val="bottom"/>
            <w:hideMark/>
          </w:tcPr>
          <w:p w14:paraId="7EEF2ADD"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r w:rsidR="00E51B3B" w:rsidRPr="005532F5" w14:paraId="2C83BAB9" w14:textId="77777777" w:rsidTr="00E51B3B">
        <w:trPr>
          <w:trHeight w:val="288"/>
        </w:trPr>
        <w:tc>
          <w:tcPr>
            <w:tcW w:w="4706" w:type="dxa"/>
            <w:tcBorders>
              <w:top w:val="nil"/>
              <w:left w:val="single" w:sz="8" w:space="0" w:color="auto"/>
              <w:bottom w:val="nil"/>
              <w:right w:val="nil"/>
            </w:tcBorders>
            <w:shd w:val="clear" w:color="auto" w:fill="auto"/>
            <w:noWrap/>
            <w:vAlign w:val="bottom"/>
            <w:hideMark/>
          </w:tcPr>
          <w:p w14:paraId="6469553A"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Egypt</w:t>
            </w:r>
          </w:p>
        </w:tc>
        <w:tc>
          <w:tcPr>
            <w:tcW w:w="1585" w:type="dxa"/>
            <w:tcBorders>
              <w:top w:val="nil"/>
              <w:left w:val="nil"/>
              <w:bottom w:val="nil"/>
              <w:right w:val="nil"/>
            </w:tcBorders>
            <w:shd w:val="clear" w:color="auto" w:fill="auto"/>
            <w:noWrap/>
            <w:vAlign w:val="bottom"/>
            <w:hideMark/>
          </w:tcPr>
          <w:p w14:paraId="37F788E8"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1848 (1)</w:t>
            </w:r>
          </w:p>
        </w:tc>
        <w:tc>
          <w:tcPr>
            <w:tcW w:w="1411" w:type="dxa"/>
            <w:tcBorders>
              <w:top w:val="nil"/>
              <w:left w:val="nil"/>
              <w:bottom w:val="nil"/>
              <w:right w:val="single" w:sz="8" w:space="0" w:color="auto"/>
            </w:tcBorders>
            <w:shd w:val="clear" w:color="auto" w:fill="auto"/>
            <w:noWrap/>
            <w:vAlign w:val="bottom"/>
            <w:hideMark/>
          </w:tcPr>
          <w:p w14:paraId="2E4C0945"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 </w:t>
            </w:r>
          </w:p>
        </w:tc>
        <w:tc>
          <w:tcPr>
            <w:tcW w:w="479" w:type="dxa"/>
            <w:tcBorders>
              <w:top w:val="nil"/>
              <w:left w:val="nil"/>
              <w:bottom w:val="nil"/>
              <w:right w:val="nil"/>
            </w:tcBorders>
            <w:shd w:val="clear" w:color="auto" w:fill="auto"/>
            <w:noWrap/>
            <w:vAlign w:val="bottom"/>
            <w:hideMark/>
          </w:tcPr>
          <w:p w14:paraId="360C5F81" w14:textId="77777777" w:rsidR="00E51B3B" w:rsidRPr="005532F5" w:rsidRDefault="00E51B3B" w:rsidP="00452D9F">
            <w:pPr>
              <w:spacing w:after="0" w:line="240" w:lineRule="auto"/>
              <w:jc w:val="center"/>
              <w:rPr>
                <w:rFonts w:ascii="Calibri" w:eastAsia="Times New Roman" w:hAnsi="Calibri" w:cs="Calibri"/>
                <w:color w:val="000000"/>
                <w:lang w:eastAsia="en-GB"/>
              </w:rPr>
            </w:pPr>
          </w:p>
        </w:tc>
        <w:tc>
          <w:tcPr>
            <w:tcW w:w="957" w:type="dxa"/>
            <w:tcBorders>
              <w:top w:val="nil"/>
              <w:left w:val="nil"/>
              <w:bottom w:val="nil"/>
              <w:right w:val="nil"/>
            </w:tcBorders>
            <w:shd w:val="clear" w:color="auto" w:fill="auto"/>
            <w:noWrap/>
            <w:vAlign w:val="bottom"/>
            <w:hideMark/>
          </w:tcPr>
          <w:p w14:paraId="13B89DA0"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r w:rsidR="00E51B3B" w:rsidRPr="005532F5" w14:paraId="7ECAAFD1" w14:textId="77777777" w:rsidTr="00E51B3B">
        <w:trPr>
          <w:trHeight w:val="288"/>
        </w:trPr>
        <w:tc>
          <w:tcPr>
            <w:tcW w:w="4706" w:type="dxa"/>
            <w:tcBorders>
              <w:top w:val="nil"/>
              <w:left w:val="single" w:sz="8" w:space="0" w:color="auto"/>
              <w:bottom w:val="nil"/>
              <w:right w:val="nil"/>
            </w:tcBorders>
            <w:shd w:val="clear" w:color="auto" w:fill="auto"/>
            <w:noWrap/>
            <w:vAlign w:val="bottom"/>
            <w:hideMark/>
          </w:tcPr>
          <w:p w14:paraId="549F1C81"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Kenya</w:t>
            </w:r>
          </w:p>
        </w:tc>
        <w:tc>
          <w:tcPr>
            <w:tcW w:w="1585" w:type="dxa"/>
            <w:tcBorders>
              <w:top w:val="nil"/>
              <w:left w:val="nil"/>
              <w:bottom w:val="nil"/>
              <w:right w:val="nil"/>
            </w:tcBorders>
            <w:shd w:val="clear" w:color="auto" w:fill="auto"/>
            <w:noWrap/>
            <w:vAlign w:val="bottom"/>
            <w:hideMark/>
          </w:tcPr>
          <w:p w14:paraId="77155DC5"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2888 (1)</w:t>
            </w:r>
          </w:p>
        </w:tc>
        <w:tc>
          <w:tcPr>
            <w:tcW w:w="1411" w:type="dxa"/>
            <w:tcBorders>
              <w:top w:val="nil"/>
              <w:left w:val="nil"/>
              <w:bottom w:val="nil"/>
              <w:right w:val="single" w:sz="8" w:space="0" w:color="auto"/>
            </w:tcBorders>
            <w:shd w:val="clear" w:color="auto" w:fill="auto"/>
            <w:noWrap/>
            <w:vAlign w:val="bottom"/>
            <w:hideMark/>
          </w:tcPr>
          <w:p w14:paraId="09BB57C4"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 </w:t>
            </w:r>
          </w:p>
        </w:tc>
        <w:tc>
          <w:tcPr>
            <w:tcW w:w="479" w:type="dxa"/>
            <w:tcBorders>
              <w:top w:val="nil"/>
              <w:left w:val="nil"/>
              <w:bottom w:val="nil"/>
              <w:right w:val="nil"/>
            </w:tcBorders>
            <w:shd w:val="clear" w:color="auto" w:fill="auto"/>
            <w:noWrap/>
            <w:vAlign w:val="bottom"/>
            <w:hideMark/>
          </w:tcPr>
          <w:p w14:paraId="73229DCB" w14:textId="77777777" w:rsidR="00E51B3B" w:rsidRPr="005532F5" w:rsidRDefault="00E51B3B" w:rsidP="00452D9F">
            <w:pPr>
              <w:spacing w:after="0" w:line="240" w:lineRule="auto"/>
              <w:jc w:val="center"/>
              <w:rPr>
                <w:rFonts w:ascii="Calibri" w:eastAsia="Times New Roman" w:hAnsi="Calibri" w:cs="Calibri"/>
                <w:color w:val="000000"/>
                <w:lang w:eastAsia="en-GB"/>
              </w:rPr>
            </w:pPr>
          </w:p>
        </w:tc>
        <w:tc>
          <w:tcPr>
            <w:tcW w:w="957" w:type="dxa"/>
            <w:tcBorders>
              <w:top w:val="nil"/>
              <w:left w:val="nil"/>
              <w:bottom w:val="nil"/>
              <w:right w:val="nil"/>
            </w:tcBorders>
            <w:shd w:val="clear" w:color="auto" w:fill="auto"/>
            <w:noWrap/>
            <w:vAlign w:val="bottom"/>
            <w:hideMark/>
          </w:tcPr>
          <w:p w14:paraId="120C594E"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r w:rsidR="00E51B3B" w:rsidRPr="005532F5" w14:paraId="635FB0C2" w14:textId="77777777" w:rsidTr="00E51B3B">
        <w:trPr>
          <w:trHeight w:val="288"/>
        </w:trPr>
        <w:tc>
          <w:tcPr>
            <w:tcW w:w="4706" w:type="dxa"/>
            <w:tcBorders>
              <w:top w:val="nil"/>
              <w:left w:val="single" w:sz="8" w:space="0" w:color="auto"/>
              <w:bottom w:val="nil"/>
              <w:right w:val="nil"/>
            </w:tcBorders>
            <w:shd w:val="clear" w:color="auto" w:fill="auto"/>
            <w:noWrap/>
            <w:vAlign w:val="bottom"/>
            <w:hideMark/>
          </w:tcPr>
          <w:p w14:paraId="40C7E4C1"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Malawi</w:t>
            </w:r>
          </w:p>
        </w:tc>
        <w:tc>
          <w:tcPr>
            <w:tcW w:w="1585" w:type="dxa"/>
            <w:tcBorders>
              <w:top w:val="nil"/>
              <w:left w:val="nil"/>
              <w:bottom w:val="nil"/>
              <w:right w:val="nil"/>
            </w:tcBorders>
            <w:shd w:val="clear" w:color="auto" w:fill="auto"/>
            <w:noWrap/>
            <w:vAlign w:val="bottom"/>
            <w:hideMark/>
          </w:tcPr>
          <w:p w14:paraId="4F9F9575" w14:textId="77777777" w:rsidR="00E51B3B" w:rsidRPr="005532F5" w:rsidRDefault="00E51B3B" w:rsidP="00452D9F">
            <w:pPr>
              <w:spacing w:after="0" w:line="240" w:lineRule="auto"/>
              <w:rPr>
                <w:rFonts w:ascii="Calibri" w:eastAsia="Times New Roman" w:hAnsi="Calibri" w:cs="Calibri"/>
                <w:color w:val="000000"/>
                <w:lang w:eastAsia="en-GB"/>
              </w:rPr>
            </w:pPr>
          </w:p>
        </w:tc>
        <w:tc>
          <w:tcPr>
            <w:tcW w:w="1411" w:type="dxa"/>
            <w:tcBorders>
              <w:top w:val="nil"/>
              <w:left w:val="nil"/>
              <w:bottom w:val="nil"/>
              <w:right w:val="single" w:sz="8" w:space="0" w:color="auto"/>
            </w:tcBorders>
            <w:shd w:val="clear" w:color="auto" w:fill="auto"/>
            <w:noWrap/>
            <w:vAlign w:val="bottom"/>
            <w:hideMark/>
          </w:tcPr>
          <w:p w14:paraId="38357F13"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5884 (2)</w:t>
            </w:r>
          </w:p>
        </w:tc>
        <w:tc>
          <w:tcPr>
            <w:tcW w:w="479" w:type="dxa"/>
            <w:tcBorders>
              <w:top w:val="nil"/>
              <w:left w:val="nil"/>
              <w:bottom w:val="nil"/>
              <w:right w:val="nil"/>
            </w:tcBorders>
            <w:shd w:val="clear" w:color="auto" w:fill="auto"/>
            <w:noWrap/>
            <w:vAlign w:val="bottom"/>
            <w:hideMark/>
          </w:tcPr>
          <w:p w14:paraId="7758C002" w14:textId="77777777" w:rsidR="00E51B3B" w:rsidRPr="005532F5" w:rsidRDefault="00E51B3B" w:rsidP="00452D9F">
            <w:pPr>
              <w:spacing w:after="0" w:line="240" w:lineRule="auto"/>
              <w:jc w:val="center"/>
              <w:rPr>
                <w:rFonts w:ascii="Calibri" w:eastAsia="Times New Roman" w:hAnsi="Calibri" w:cs="Calibri"/>
                <w:color w:val="000000"/>
                <w:lang w:eastAsia="en-GB"/>
              </w:rPr>
            </w:pPr>
          </w:p>
        </w:tc>
        <w:tc>
          <w:tcPr>
            <w:tcW w:w="957" w:type="dxa"/>
            <w:tcBorders>
              <w:top w:val="nil"/>
              <w:left w:val="nil"/>
              <w:bottom w:val="nil"/>
              <w:right w:val="nil"/>
            </w:tcBorders>
            <w:shd w:val="clear" w:color="auto" w:fill="auto"/>
            <w:noWrap/>
            <w:vAlign w:val="bottom"/>
            <w:hideMark/>
          </w:tcPr>
          <w:p w14:paraId="22CB1134"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r w:rsidR="00E51B3B" w:rsidRPr="005532F5" w14:paraId="29132F8C" w14:textId="77777777" w:rsidTr="00E51B3B">
        <w:trPr>
          <w:trHeight w:val="288"/>
        </w:trPr>
        <w:tc>
          <w:tcPr>
            <w:tcW w:w="4706" w:type="dxa"/>
            <w:tcBorders>
              <w:top w:val="nil"/>
              <w:left w:val="single" w:sz="8" w:space="0" w:color="auto"/>
              <w:bottom w:val="nil"/>
              <w:right w:val="nil"/>
            </w:tcBorders>
            <w:shd w:val="clear" w:color="auto" w:fill="auto"/>
            <w:noWrap/>
            <w:vAlign w:val="bottom"/>
            <w:hideMark/>
          </w:tcPr>
          <w:p w14:paraId="690CFD82"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Malta</w:t>
            </w:r>
          </w:p>
        </w:tc>
        <w:tc>
          <w:tcPr>
            <w:tcW w:w="1585" w:type="dxa"/>
            <w:tcBorders>
              <w:top w:val="nil"/>
              <w:left w:val="nil"/>
              <w:bottom w:val="nil"/>
              <w:right w:val="nil"/>
            </w:tcBorders>
            <w:shd w:val="clear" w:color="auto" w:fill="auto"/>
            <w:noWrap/>
            <w:vAlign w:val="bottom"/>
            <w:hideMark/>
          </w:tcPr>
          <w:p w14:paraId="326647CF"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10670 (1)</w:t>
            </w:r>
          </w:p>
        </w:tc>
        <w:tc>
          <w:tcPr>
            <w:tcW w:w="1411" w:type="dxa"/>
            <w:tcBorders>
              <w:top w:val="nil"/>
              <w:left w:val="nil"/>
              <w:bottom w:val="nil"/>
              <w:right w:val="single" w:sz="8" w:space="0" w:color="auto"/>
            </w:tcBorders>
            <w:shd w:val="clear" w:color="auto" w:fill="auto"/>
            <w:noWrap/>
            <w:vAlign w:val="bottom"/>
            <w:hideMark/>
          </w:tcPr>
          <w:p w14:paraId="18DD930A"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 </w:t>
            </w:r>
          </w:p>
        </w:tc>
        <w:tc>
          <w:tcPr>
            <w:tcW w:w="479" w:type="dxa"/>
            <w:tcBorders>
              <w:top w:val="nil"/>
              <w:left w:val="nil"/>
              <w:bottom w:val="nil"/>
              <w:right w:val="nil"/>
            </w:tcBorders>
            <w:shd w:val="clear" w:color="auto" w:fill="auto"/>
            <w:noWrap/>
            <w:vAlign w:val="bottom"/>
            <w:hideMark/>
          </w:tcPr>
          <w:p w14:paraId="075E9B03" w14:textId="77777777" w:rsidR="00E51B3B" w:rsidRPr="005532F5" w:rsidRDefault="00E51B3B" w:rsidP="00452D9F">
            <w:pPr>
              <w:spacing w:after="0" w:line="240" w:lineRule="auto"/>
              <w:jc w:val="center"/>
              <w:rPr>
                <w:rFonts w:ascii="Calibri" w:eastAsia="Times New Roman" w:hAnsi="Calibri" w:cs="Calibri"/>
                <w:color w:val="000000"/>
                <w:lang w:eastAsia="en-GB"/>
              </w:rPr>
            </w:pPr>
          </w:p>
        </w:tc>
        <w:tc>
          <w:tcPr>
            <w:tcW w:w="957" w:type="dxa"/>
            <w:tcBorders>
              <w:top w:val="nil"/>
              <w:left w:val="nil"/>
              <w:bottom w:val="nil"/>
              <w:right w:val="nil"/>
            </w:tcBorders>
            <w:shd w:val="clear" w:color="auto" w:fill="auto"/>
            <w:noWrap/>
            <w:vAlign w:val="bottom"/>
            <w:hideMark/>
          </w:tcPr>
          <w:p w14:paraId="536D744A"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r w:rsidR="00E51B3B" w:rsidRPr="005532F5" w14:paraId="5B34E963" w14:textId="77777777" w:rsidTr="00E51B3B">
        <w:trPr>
          <w:trHeight w:val="288"/>
        </w:trPr>
        <w:tc>
          <w:tcPr>
            <w:tcW w:w="4706" w:type="dxa"/>
            <w:tcBorders>
              <w:top w:val="nil"/>
              <w:left w:val="single" w:sz="8" w:space="0" w:color="auto"/>
              <w:bottom w:val="nil"/>
              <w:right w:val="nil"/>
            </w:tcBorders>
            <w:shd w:val="clear" w:color="auto" w:fill="auto"/>
            <w:noWrap/>
            <w:vAlign w:val="bottom"/>
            <w:hideMark/>
          </w:tcPr>
          <w:p w14:paraId="6013E094"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Oman</w:t>
            </w:r>
          </w:p>
        </w:tc>
        <w:tc>
          <w:tcPr>
            <w:tcW w:w="1585" w:type="dxa"/>
            <w:tcBorders>
              <w:top w:val="nil"/>
              <w:left w:val="nil"/>
              <w:bottom w:val="nil"/>
              <w:right w:val="nil"/>
            </w:tcBorders>
            <w:shd w:val="clear" w:color="auto" w:fill="auto"/>
            <w:noWrap/>
            <w:vAlign w:val="bottom"/>
            <w:hideMark/>
          </w:tcPr>
          <w:p w14:paraId="759B7BFB"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4836 (3)</w:t>
            </w:r>
          </w:p>
        </w:tc>
        <w:tc>
          <w:tcPr>
            <w:tcW w:w="1411" w:type="dxa"/>
            <w:tcBorders>
              <w:top w:val="nil"/>
              <w:left w:val="nil"/>
              <w:bottom w:val="nil"/>
              <w:right w:val="single" w:sz="8" w:space="0" w:color="auto"/>
            </w:tcBorders>
            <w:shd w:val="clear" w:color="auto" w:fill="auto"/>
            <w:noWrap/>
            <w:vAlign w:val="bottom"/>
            <w:hideMark/>
          </w:tcPr>
          <w:p w14:paraId="68F053CD"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 </w:t>
            </w:r>
          </w:p>
        </w:tc>
        <w:tc>
          <w:tcPr>
            <w:tcW w:w="479" w:type="dxa"/>
            <w:tcBorders>
              <w:top w:val="nil"/>
              <w:left w:val="nil"/>
              <w:bottom w:val="nil"/>
              <w:right w:val="nil"/>
            </w:tcBorders>
            <w:shd w:val="clear" w:color="auto" w:fill="auto"/>
            <w:noWrap/>
            <w:vAlign w:val="bottom"/>
            <w:hideMark/>
          </w:tcPr>
          <w:p w14:paraId="66CBD6FB" w14:textId="77777777" w:rsidR="00E51B3B" w:rsidRPr="005532F5" w:rsidRDefault="00E51B3B" w:rsidP="00452D9F">
            <w:pPr>
              <w:spacing w:after="0" w:line="240" w:lineRule="auto"/>
              <w:jc w:val="center"/>
              <w:rPr>
                <w:rFonts w:ascii="Calibri" w:eastAsia="Times New Roman" w:hAnsi="Calibri" w:cs="Calibri"/>
                <w:color w:val="000000"/>
                <w:lang w:eastAsia="en-GB"/>
              </w:rPr>
            </w:pPr>
          </w:p>
        </w:tc>
        <w:tc>
          <w:tcPr>
            <w:tcW w:w="957" w:type="dxa"/>
            <w:tcBorders>
              <w:top w:val="nil"/>
              <w:left w:val="nil"/>
              <w:bottom w:val="nil"/>
              <w:right w:val="nil"/>
            </w:tcBorders>
            <w:shd w:val="clear" w:color="auto" w:fill="auto"/>
            <w:noWrap/>
            <w:vAlign w:val="bottom"/>
            <w:hideMark/>
          </w:tcPr>
          <w:p w14:paraId="35035086"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r w:rsidR="00E51B3B" w:rsidRPr="005532F5" w14:paraId="450947AD" w14:textId="77777777" w:rsidTr="00E51B3B">
        <w:trPr>
          <w:trHeight w:val="288"/>
        </w:trPr>
        <w:tc>
          <w:tcPr>
            <w:tcW w:w="4706" w:type="dxa"/>
            <w:tcBorders>
              <w:top w:val="nil"/>
              <w:left w:val="single" w:sz="8" w:space="0" w:color="auto"/>
              <w:bottom w:val="nil"/>
              <w:right w:val="nil"/>
            </w:tcBorders>
            <w:shd w:val="clear" w:color="auto" w:fill="auto"/>
            <w:noWrap/>
            <w:vAlign w:val="bottom"/>
            <w:hideMark/>
          </w:tcPr>
          <w:p w14:paraId="17EA6A76"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Sri Lanka</w:t>
            </w:r>
          </w:p>
        </w:tc>
        <w:tc>
          <w:tcPr>
            <w:tcW w:w="1585" w:type="dxa"/>
            <w:tcBorders>
              <w:top w:val="nil"/>
              <w:left w:val="nil"/>
              <w:bottom w:val="nil"/>
              <w:right w:val="nil"/>
            </w:tcBorders>
            <w:shd w:val="clear" w:color="auto" w:fill="auto"/>
            <w:noWrap/>
            <w:vAlign w:val="bottom"/>
            <w:hideMark/>
          </w:tcPr>
          <w:p w14:paraId="1702EF23"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1145 (2)</w:t>
            </w:r>
          </w:p>
        </w:tc>
        <w:tc>
          <w:tcPr>
            <w:tcW w:w="1411" w:type="dxa"/>
            <w:tcBorders>
              <w:top w:val="nil"/>
              <w:left w:val="nil"/>
              <w:bottom w:val="nil"/>
              <w:right w:val="single" w:sz="8" w:space="0" w:color="auto"/>
            </w:tcBorders>
            <w:shd w:val="clear" w:color="auto" w:fill="auto"/>
            <w:noWrap/>
            <w:vAlign w:val="bottom"/>
            <w:hideMark/>
          </w:tcPr>
          <w:p w14:paraId="669CC304"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 </w:t>
            </w:r>
          </w:p>
        </w:tc>
        <w:tc>
          <w:tcPr>
            <w:tcW w:w="479" w:type="dxa"/>
            <w:tcBorders>
              <w:top w:val="nil"/>
              <w:left w:val="nil"/>
              <w:bottom w:val="nil"/>
              <w:right w:val="nil"/>
            </w:tcBorders>
            <w:shd w:val="clear" w:color="auto" w:fill="auto"/>
            <w:noWrap/>
            <w:vAlign w:val="bottom"/>
            <w:hideMark/>
          </w:tcPr>
          <w:p w14:paraId="26F25E3A" w14:textId="77777777" w:rsidR="00E51B3B" w:rsidRPr="005532F5" w:rsidRDefault="00E51B3B" w:rsidP="00452D9F">
            <w:pPr>
              <w:spacing w:after="0" w:line="240" w:lineRule="auto"/>
              <w:jc w:val="center"/>
              <w:rPr>
                <w:rFonts w:ascii="Calibri" w:eastAsia="Times New Roman" w:hAnsi="Calibri" w:cs="Calibri"/>
                <w:color w:val="000000"/>
                <w:lang w:eastAsia="en-GB"/>
              </w:rPr>
            </w:pPr>
          </w:p>
        </w:tc>
        <w:tc>
          <w:tcPr>
            <w:tcW w:w="957" w:type="dxa"/>
            <w:tcBorders>
              <w:top w:val="nil"/>
              <w:left w:val="nil"/>
              <w:bottom w:val="nil"/>
              <w:right w:val="nil"/>
            </w:tcBorders>
            <w:shd w:val="clear" w:color="auto" w:fill="auto"/>
            <w:noWrap/>
            <w:vAlign w:val="bottom"/>
            <w:hideMark/>
          </w:tcPr>
          <w:p w14:paraId="3B158E85"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r w:rsidR="00E51B3B" w:rsidRPr="005532F5" w14:paraId="14B48BD1" w14:textId="77777777" w:rsidTr="00E51B3B">
        <w:trPr>
          <w:trHeight w:val="288"/>
        </w:trPr>
        <w:tc>
          <w:tcPr>
            <w:tcW w:w="4706" w:type="dxa"/>
            <w:tcBorders>
              <w:top w:val="nil"/>
              <w:left w:val="single" w:sz="8" w:space="0" w:color="auto"/>
              <w:bottom w:val="nil"/>
              <w:right w:val="nil"/>
            </w:tcBorders>
            <w:shd w:val="clear" w:color="auto" w:fill="auto"/>
            <w:noWrap/>
            <w:vAlign w:val="bottom"/>
            <w:hideMark/>
          </w:tcPr>
          <w:p w14:paraId="100F9D01"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Trinidad</w:t>
            </w:r>
          </w:p>
        </w:tc>
        <w:tc>
          <w:tcPr>
            <w:tcW w:w="1585" w:type="dxa"/>
            <w:tcBorders>
              <w:top w:val="nil"/>
              <w:left w:val="nil"/>
              <w:bottom w:val="nil"/>
              <w:right w:val="nil"/>
            </w:tcBorders>
            <w:shd w:val="clear" w:color="auto" w:fill="auto"/>
            <w:noWrap/>
            <w:vAlign w:val="bottom"/>
            <w:hideMark/>
          </w:tcPr>
          <w:p w14:paraId="4206EB15"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1711 (2)</w:t>
            </w:r>
          </w:p>
        </w:tc>
        <w:tc>
          <w:tcPr>
            <w:tcW w:w="1411" w:type="dxa"/>
            <w:tcBorders>
              <w:top w:val="nil"/>
              <w:left w:val="nil"/>
              <w:bottom w:val="nil"/>
              <w:right w:val="single" w:sz="8" w:space="0" w:color="auto"/>
            </w:tcBorders>
            <w:shd w:val="clear" w:color="auto" w:fill="auto"/>
            <w:noWrap/>
            <w:vAlign w:val="bottom"/>
            <w:hideMark/>
          </w:tcPr>
          <w:p w14:paraId="1E75558E"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 </w:t>
            </w:r>
          </w:p>
        </w:tc>
        <w:tc>
          <w:tcPr>
            <w:tcW w:w="479" w:type="dxa"/>
            <w:tcBorders>
              <w:top w:val="nil"/>
              <w:left w:val="nil"/>
              <w:bottom w:val="nil"/>
              <w:right w:val="nil"/>
            </w:tcBorders>
            <w:shd w:val="clear" w:color="auto" w:fill="auto"/>
            <w:noWrap/>
            <w:vAlign w:val="bottom"/>
            <w:hideMark/>
          </w:tcPr>
          <w:p w14:paraId="165FE2A9" w14:textId="77777777" w:rsidR="00E51B3B" w:rsidRPr="005532F5" w:rsidRDefault="00E51B3B" w:rsidP="00452D9F">
            <w:pPr>
              <w:spacing w:after="0" w:line="240" w:lineRule="auto"/>
              <w:jc w:val="center"/>
              <w:rPr>
                <w:rFonts w:ascii="Calibri" w:eastAsia="Times New Roman" w:hAnsi="Calibri" w:cs="Calibri"/>
                <w:color w:val="000000"/>
                <w:lang w:eastAsia="en-GB"/>
              </w:rPr>
            </w:pPr>
          </w:p>
        </w:tc>
        <w:tc>
          <w:tcPr>
            <w:tcW w:w="957" w:type="dxa"/>
            <w:tcBorders>
              <w:top w:val="nil"/>
              <w:left w:val="nil"/>
              <w:bottom w:val="nil"/>
              <w:right w:val="nil"/>
            </w:tcBorders>
            <w:shd w:val="clear" w:color="auto" w:fill="auto"/>
            <w:noWrap/>
            <w:vAlign w:val="bottom"/>
            <w:hideMark/>
          </w:tcPr>
          <w:p w14:paraId="7787181A"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r w:rsidR="00E51B3B" w:rsidRPr="005532F5" w14:paraId="7BECAB57" w14:textId="77777777" w:rsidTr="00E51B3B">
        <w:trPr>
          <w:trHeight w:val="288"/>
        </w:trPr>
        <w:tc>
          <w:tcPr>
            <w:tcW w:w="4706" w:type="dxa"/>
            <w:tcBorders>
              <w:top w:val="nil"/>
              <w:left w:val="single" w:sz="8" w:space="0" w:color="auto"/>
              <w:bottom w:val="nil"/>
              <w:right w:val="nil"/>
            </w:tcBorders>
            <w:shd w:val="clear" w:color="auto" w:fill="auto"/>
            <w:noWrap/>
            <w:vAlign w:val="bottom"/>
            <w:hideMark/>
          </w:tcPr>
          <w:p w14:paraId="6D6499D4"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Vietnam</w:t>
            </w:r>
          </w:p>
        </w:tc>
        <w:tc>
          <w:tcPr>
            <w:tcW w:w="1585" w:type="dxa"/>
            <w:tcBorders>
              <w:top w:val="nil"/>
              <w:left w:val="nil"/>
              <w:bottom w:val="nil"/>
              <w:right w:val="nil"/>
            </w:tcBorders>
            <w:shd w:val="clear" w:color="auto" w:fill="auto"/>
            <w:noWrap/>
            <w:vAlign w:val="bottom"/>
            <w:hideMark/>
          </w:tcPr>
          <w:p w14:paraId="476E501A"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5133 (1)</w:t>
            </w:r>
          </w:p>
        </w:tc>
        <w:tc>
          <w:tcPr>
            <w:tcW w:w="1411" w:type="dxa"/>
            <w:tcBorders>
              <w:top w:val="nil"/>
              <w:left w:val="nil"/>
              <w:bottom w:val="nil"/>
              <w:right w:val="single" w:sz="8" w:space="0" w:color="auto"/>
            </w:tcBorders>
            <w:shd w:val="clear" w:color="auto" w:fill="auto"/>
            <w:noWrap/>
            <w:vAlign w:val="bottom"/>
            <w:hideMark/>
          </w:tcPr>
          <w:p w14:paraId="6E03D979"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 </w:t>
            </w:r>
          </w:p>
        </w:tc>
        <w:tc>
          <w:tcPr>
            <w:tcW w:w="479" w:type="dxa"/>
            <w:tcBorders>
              <w:top w:val="nil"/>
              <w:left w:val="nil"/>
              <w:bottom w:val="nil"/>
              <w:right w:val="nil"/>
            </w:tcBorders>
            <w:shd w:val="clear" w:color="auto" w:fill="auto"/>
            <w:noWrap/>
            <w:vAlign w:val="bottom"/>
            <w:hideMark/>
          </w:tcPr>
          <w:p w14:paraId="24BAE39B" w14:textId="77777777" w:rsidR="00E51B3B" w:rsidRPr="005532F5" w:rsidRDefault="00E51B3B" w:rsidP="00452D9F">
            <w:pPr>
              <w:spacing w:after="0" w:line="240" w:lineRule="auto"/>
              <w:jc w:val="center"/>
              <w:rPr>
                <w:rFonts w:ascii="Calibri" w:eastAsia="Times New Roman" w:hAnsi="Calibri" w:cs="Calibri"/>
                <w:color w:val="000000"/>
                <w:lang w:eastAsia="en-GB"/>
              </w:rPr>
            </w:pPr>
          </w:p>
        </w:tc>
        <w:tc>
          <w:tcPr>
            <w:tcW w:w="957" w:type="dxa"/>
            <w:tcBorders>
              <w:top w:val="nil"/>
              <w:left w:val="nil"/>
              <w:bottom w:val="nil"/>
              <w:right w:val="nil"/>
            </w:tcBorders>
            <w:shd w:val="clear" w:color="auto" w:fill="auto"/>
            <w:noWrap/>
            <w:vAlign w:val="bottom"/>
            <w:hideMark/>
          </w:tcPr>
          <w:p w14:paraId="30BA7379"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r w:rsidR="00E51B3B" w:rsidRPr="005532F5" w14:paraId="7275B530" w14:textId="77777777" w:rsidTr="00E51B3B">
        <w:trPr>
          <w:trHeight w:val="288"/>
        </w:trPr>
        <w:tc>
          <w:tcPr>
            <w:tcW w:w="4706" w:type="dxa"/>
            <w:tcBorders>
              <w:top w:val="nil"/>
              <w:left w:val="single" w:sz="8" w:space="0" w:color="auto"/>
              <w:bottom w:val="nil"/>
              <w:right w:val="nil"/>
            </w:tcBorders>
            <w:shd w:val="clear" w:color="auto" w:fill="auto"/>
            <w:noWrap/>
            <w:vAlign w:val="bottom"/>
            <w:hideMark/>
          </w:tcPr>
          <w:p w14:paraId="41762643"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Zambia</w:t>
            </w:r>
          </w:p>
        </w:tc>
        <w:tc>
          <w:tcPr>
            <w:tcW w:w="1585" w:type="dxa"/>
            <w:tcBorders>
              <w:top w:val="nil"/>
              <w:left w:val="nil"/>
              <w:bottom w:val="nil"/>
              <w:right w:val="nil"/>
            </w:tcBorders>
            <w:shd w:val="clear" w:color="auto" w:fill="auto"/>
            <w:noWrap/>
            <w:vAlign w:val="bottom"/>
            <w:hideMark/>
          </w:tcPr>
          <w:p w14:paraId="6CA6A357"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1604 (1)</w:t>
            </w:r>
          </w:p>
        </w:tc>
        <w:tc>
          <w:tcPr>
            <w:tcW w:w="1411" w:type="dxa"/>
            <w:tcBorders>
              <w:top w:val="nil"/>
              <w:left w:val="nil"/>
              <w:bottom w:val="nil"/>
              <w:right w:val="single" w:sz="8" w:space="0" w:color="auto"/>
            </w:tcBorders>
            <w:shd w:val="clear" w:color="auto" w:fill="auto"/>
            <w:noWrap/>
            <w:vAlign w:val="bottom"/>
            <w:hideMark/>
          </w:tcPr>
          <w:p w14:paraId="4FD539FD"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 </w:t>
            </w:r>
          </w:p>
        </w:tc>
        <w:tc>
          <w:tcPr>
            <w:tcW w:w="479" w:type="dxa"/>
            <w:tcBorders>
              <w:top w:val="nil"/>
              <w:left w:val="nil"/>
              <w:bottom w:val="nil"/>
              <w:right w:val="nil"/>
            </w:tcBorders>
            <w:shd w:val="clear" w:color="auto" w:fill="auto"/>
            <w:noWrap/>
            <w:vAlign w:val="bottom"/>
            <w:hideMark/>
          </w:tcPr>
          <w:p w14:paraId="421E82A4" w14:textId="77777777" w:rsidR="00E51B3B" w:rsidRPr="005532F5" w:rsidRDefault="00E51B3B" w:rsidP="00452D9F">
            <w:pPr>
              <w:spacing w:after="0" w:line="240" w:lineRule="auto"/>
              <w:jc w:val="center"/>
              <w:rPr>
                <w:rFonts w:ascii="Calibri" w:eastAsia="Times New Roman" w:hAnsi="Calibri" w:cs="Calibri"/>
                <w:color w:val="000000"/>
                <w:lang w:eastAsia="en-GB"/>
              </w:rPr>
            </w:pPr>
          </w:p>
        </w:tc>
        <w:tc>
          <w:tcPr>
            <w:tcW w:w="957" w:type="dxa"/>
            <w:tcBorders>
              <w:top w:val="nil"/>
              <w:left w:val="nil"/>
              <w:bottom w:val="nil"/>
              <w:right w:val="nil"/>
            </w:tcBorders>
            <w:shd w:val="clear" w:color="auto" w:fill="auto"/>
            <w:noWrap/>
            <w:vAlign w:val="bottom"/>
            <w:hideMark/>
          </w:tcPr>
          <w:p w14:paraId="27869E5A"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r w:rsidR="00E51B3B" w:rsidRPr="005532F5" w14:paraId="03BD327E" w14:textId="77777777" w:rsidTr="00E51B3B">
        <w:trPr>
          <w:trHeight w:val="300"/>
        </w:trPr>
        <w:tc>
          <w:tcPr>
            <w:tcW w:w="4706" w:type="dxa"/>
            <w:tcBorders>
              <w:top w:val="nil"/>
              <w:left w:val="single" w:sz="8" w:space="0" w:color="auto"/>
              <w:bottom w:val="single" w:sz="8" w:space="0" w:color="auto"/>
              <w:right w:val="nil"/>
            </w:tcBorders>
            <w:shd w:val="clear" w:color="auto" w:fill="auto"/>
            <w:noWrap/>
            <w:vAlign w:val="bottom"/>
            <w:hideMark/>
          </w:tcPr>
          <w:p w14:paraId="28B4F21E"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Zimbabwe</w:t>
            </w:r>
          </w:p>
        </w:tc>
        <w:tc>
          <w:tcPr>
            <w:tcW w:w="1585" w:type="dxa"/>
            <w:tcBorders>
              <w:top w:val="nil"/>
              <w:left w:val="nil"/>
              <w:bottom w:val="single" w:sz="8" w:space="0" w:color="auto"/>
              <w:right w:val="nil"/>
            </w:tcBorders>
            <w:shd w:val="clear" w:color="auto" w:fill="auto"/>
            <w:noWrap/>
            <w:vAlign w:val="bottom"/>
            <w:hideMark/>
          </w:tcPr>
          <w:p w14:paraId="40B93028"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 </w:t>
            </w:r>
          </w:p>
        </w:tc>
        <w:tc>
          <w:tcPr>
            <w:tcW w:w="1411" w:type="dxa"/>
            <w:tcBorders>
              <w:top w:val="nil"/>
              <w:left w:val="nil"/>
              <w:bottom w:val="single" w:sz="8" w:space="0" w:color="auto"/>
              <w:right w:val="single" w:sz="8" w:space="0" w:color="auto"/>
            </w:tcBorders>
            <w:shd w:val="clear" w:color="auto" w:fill="auto"/>
            <w:noWrap/>
            <w:vAlign w:val="bottom"/>
            <w:hideMark/>
          </w:tcPr>
          <w:p w14:paraId="1B793E68" w14:textId="77777777" w:rsidR="00E51B3B" w:rsidRPr="005532F5" w:rsidRDefault="00E51B3B" w:rsidP="00452D9F">
            <w:pPr>
              <w:spacing w:after="0" w:line="240" w:lineRule="auto"/>
              <w:jc w:val="center"/>
              <w:rPr>
                <w:rFonts w:ascii="Calibri" w:eastAsia="Times New Roman" w:hAnsi="Calibri" w:cs="Calibri"/>
                <w:color w:val="000000"/>
                <w:lang w:eastAsia="en-GB"/>
              </w:rPr>
            </w:pPr>
            <w:r w:rsidRPr="005532F5">
              <w:rPr>
                <w:rFonts w:ascii="Calibri" w:eastAsia="Times New Roman" w:hAnsi="Calibri" w:cs="Calibri"/>
                <w:color w:val="000000"/>
                <w:lang w:eastAsia="en-GB"/>
              </w:rPr>
              <w:t>4628 (1)</w:t>
            </w:r>
          </w:p>
        </w:tc>
        <w:tc>
          <w:tcPr>
            <w:tcW w:w="479" w:type="dxa"/>
            <w:tcBorders>
              <w:top w:val="nil"/>
              <w:left w:val="nil"/>
              <w:bottom w:val="nil"/>
              <w:right w:val="nil"/>
            </w:tcBorders>
            <w:shd w:val="clear" w:color="auto" w:fill="auto"/>
            <w:noWrap/>
            <w:vAlign w:val="bottom"/>
            <w:hideMark/>
          </w:tcPr>
          <w:p w14:paraId="155BE763" w14:textId="77777777" w:rsidR="00E51B3B" w:rsidRPr="005532F5" w:rsidRDefault="00E51B3B" w:rsidP="00452D9F">
            <w:pPr>
              <w:spacing w:after="0" w:line="240" w:lineRule="auto"/>
              <w:jc w:val="center"/>
              <w:rPr>
                <w:rFonts w:ascii="Calibri" w:eastAsia="Times New Roman" w:hAnsi="Calibri" w:cs="Calibri"/>
                <w:color w:val="000000"/>
                <w:lang w:eastAsia="en-GB"/>
              </w:rPr>
            </w:pPr>
          </w:p>
        </w:tc>
        <w:tc>
          <w:tcPr>
            <w:tcW w:w="957" w:type="dxa"/>
            <w:tcBorders>
              <w:top w:val="nil"/>
              <w:left w:val="nil"/>
              <w:bottom w:val="nil"/>
              <w:right w:val="nil"/>
            </w:tcBorders>
            <w:shd w:val="clear" w:color="auto" w:fill="auto"/>
            <w:noWrap/>
            <w:vAlign w:val="bottom"/>
            <w:hideMark/>
          </w:tcPr>
          <w:p w14:paraId="01C87F02"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r w:rsidR="00E51B3B" w:rsidRPr="005532F5" w14:paraId="447D914B" w14:textId="77777777" w:rsidTr="00E51B3B">
        <w:trPr>
          <w:trHeight w:val="288"/>
        </w:trPr>
        <w:tc>
          <w:tcPr>
            <w:tcW w:w="8181" w:type="dxa"/>
            <w:gridSpan w:val="4"/>
            <w:tcBorders>
              <w:top w:val="nil"/>
              <w:left w:val="single" w:sz="8" w:space="0" w:color="auto"/>
              <w:bottom w:val="nil"/>
              <w:right w:val="nil"/>
            </w:tcBorders>
            <w:shd w:val="clear" w:color="auto" w:fill="auto"/>
            <w:noWrap/>
            <w:vAlign w:val="bottom"/>
            <w:hideMark/>
          </w:tcPr>
          <w:p w14:paraId="0C46B930"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Notes: Figures in (  ) are number of overseas partners</w:t>
            </w:r>
          </w:p>
        </w:tc>
        <w:tc>
          <w:tcPr>
            <w:tcW w:w="957" w:type="dxa"/>
            <w:tcBorders>
              <w:top w:val="nil"/>
              <w:left w:val="nil"/>
              <w:bottom w:val="nil"/>
              <w:right w:val="nil"/>
            </w:tcBorders>
            <w:shd w:val="clear" w:color="auto" w:fill="auto"/>
            <w:noWrap/>
            <w:vAlign w:val="bottom"/>
            <w:hideMark/>
          </w:tcPr>
          <w:p w14:paraId="103B0D65" w14:textId="77777777" w:rsidR="00E51B3B" w:rsidRPr="005532F5" w:rsidRDefault="00E51B3B" w:rsidP="00452D9F">
            <w:pPr>
              <w:spacing w:after="0" w:line="240" w:lineRule="auto"/>
              <w:rPr>
                <w:rFonts w:ascii="Calibri" w:eastAsia="Times New Roman" w:hAnsi="Calibri" w:cs="Calibri"/>
                <w:color w:val="000000"/>
                <w:lang w:eastAsia="en-GB"/>
              </w:rPr>
            </w:pPr>
          </w:p>
        </w:tc>
      </w:tr>
      <w:tr w:rsidR="00E51B3B" w:rsidRPr="005532F5" w14:paraId="3ECDE6ED" w14:textId="77777777" w:rsidTr="00E51B3B">
        <w:trPr>
          <w:trHeight w:val="288"/>
        </w:trPr>
        <w:tc>
          <w:tcPr>
            <w:tcW w:w="7702" w:type="dxa"/>
            <w:gridSpan w:val="3"/>
            <w:tcBorders>
              <w:top w:val="nil"/>
              <w:left w:val="single" w:sz="8" w:space="0" w:color="auto"/>
              <w:bottom w:val="nil"/>
              <w:right w:val="nil"/>
            </w:tcBorders>
            <w:shd w:val="clear" w:color="auto" w:fill="auto"/>
            <w:noWrap/>
            <w:vAlign w:val="bottom"/>
            <w:hideMark/>
          </w:tcPr>
          <w:p w14:paraId="203BC6A3" w14:textId="77777777" w:rsidR="00E51B3B" w:rsidRPr="005532F5" w:rsidRDefault="00E51B3B" w:rsidP="00452D9F">
            <w:pPr>
              <w:spacing w:after="0" w:line="240" w:lineRule="auto"/>
              <w:rPr>
                <w:rFonts w:ascii="Calibri" w:eastAsia="Times New Roman" w:hAnsi="Calibri" w:cs="Calibri"/>
                <w:color w:val="000000"/>
                <w:lang w:eastAsia="en-GB"/>
              </w:rPr>
            </w:pPr>
            <w:r w:rsidRPr="005532F5">
              <w:rPr>
                <w:rFonts w:ascii="Calibri" w:eastAsia="Times New Roman" w:hAnsi="Calibri" w:cs="Calibri"/>
                <w:color w:val="000000"/>
                <w:lang w:eastAsia="en-GB"/>
              </w:rPr>
              <w:t>Source: Overseas partner websites</w:t>
            </w:r>
          </w:p>
        </w:tc>
        <w:tc>
          <w:tcPr>
            <w:tcW w:w="479" w:type="dxa"/>
            <w:tcBorders>
              <w:top w:val="nil"/>
              <w:left w:val="nil"/>
              <w:bottom w:val="nil"/>
              <w:right w:val="nil"/>
            </w:tcBorders>
            <w:shd w:val="clear" w:color="auto" w:fill="auto"/>
            <w:noWrap/>
            <w:vAlign w:val="bottom"/>
            <w:hideMark/>
          </w:tcPr>
          <w:p w14:paraId="30400D45" w14:textId="77777777" w:rsidR="00E51B3B" w:rsidRPr="005532F5" w:rsidRDefault="00E51B3B" w:rsidP="00452D9F">
            <w:pPr>
              <w:spacing w:after="0" w:line="240" w:lineRule="auto"/>
              <w:rPr>
                <w:rFonts w:ascii="Calibri" w:eastAsia="Times New Roman" w:hAnsi="Calibri" w:cs="Calibri"/>
                <w:color w:val="000000"/>
                <w:lang w:eastAsia="en-GB"/>
              </w:rPr>
            </w:pPr>
          </w:p>
        </w:tc>
        <w:tc>
          <w:tcPr>
            <w:tcW w:w="957" w:type="dxa"/>
            <w:tcBorders>
              <w:top w:val="nil"/>
              <w:left w:val="nil"/>
              <w:bottom w:val="nil"/>
              <w:right w:val="nil"/>
            </w:tcBorders>
            <w:shd w:val="clear" w:color="auto" w:fill="auto"/>
            <w:noWrap/>
            <w:vAlign w:val="bottom"/>
            <w:hideMark/>
          </w:tcPr>
          <w:p w14:paraId="2449D06F" w14:textId="77777777" w:rsidR="00E51B3B" w:rsidRPr="005532F5" w:rsidRDefault="00E51B3B" w:rsidP="00452D9F">
            <w:pPr>
              <w:spacing w:after="0" w:line="240" w:lineRule="auto"/>
              <w:rPr>
                <w:rFonts w:ascii="Times New Roman" w:eastAsia="Times New Roman" w:hAnsi="Times New Roman" w:cs="Times New Roman"/>
                <w:sz w:val="20"/>
                <w:szCs w:val="20"/>
                <w:lang w:eastAsia="en-GB"/>
              </w:rPr>
            </w:pPr>
          </w:p>
        </w:tc>
      </w:tr>
    </w:tbl>
    <w:p w14:paraId="7C20D934" w14:textId="77777777" w:rsidR="00E51B3B" w:rsidRDefault="00E51B3B" w:rsidP="00E51B3B">
      <w:pPr>
        <w:spacing w:after="160" w:line="259" w:lineRule="auto"/>
        <w:rPr>
          <w:rFonts w:cstheme="minorHAnsi"/>
          <w:sz w:val="28"/>
          <w:szCs w:val="28"/>
        </w:rPr>
      </w:pPr>
    </w:p>
    <w:p w14:paraId="19C47559" w14:textId="77777777" w:rsidR="00E51B3B" w:rsidRDefault="00E51B3B" w:rsidP="00E51B3B">
      <w:pPr>
        <w:spacing w:after="160" w:line="259" w:lineRule="auto"/>
        <w:rPr>
          <w:rFonts w:cstheme="minorHAnsi"/>
          <w:b/>
          <w:sz w:val="28"/>
          <w:szCs w:val="28"/>
        </w:rPr>
      </w:pPr>
    </w:p>
    <w:p w14:paraId="67ADDF23" w14:textId="63FBF2B3" w:rsidR="00E51B3B" w:rsidRDefault="00E51B3B">
      <w:pPr>
        <w:spacing w:after="160" w:line="259" w:lineRule="auto"/>
        <w:rPr>
          <w:sz w:val="28"/>
          <w:szCs w:val="28"/>
        </w:rPr>
      </w:pPr>
      <w:r>
        <w:rPr>
          <w:sz w:val="28"/>
          <w:szCs w:val="28"/>
        </w:rPr>
        <w:br w:type="page"/>
      </w:r>
    </w:p>
    <w:tbl>
      <w:tblPr>
        <w:tblW w:w="8813" w:type="dxa"/>
        <w:tblInd w:w="81" w:type="dxa"/>
        <w:tblLook w:val="04A0" w:firstRow="1" w:lastRow="0" w:firstColumn="1" w:lastColumn="0" w:noHBand="0" w:noVBand="1"/>
      </w:tblPr>
      <w:tblGrid>
        <w:gridCol w:w="1895"/>
        <w:gridCol w:w="1975"/>
        <w:gridCol w:w="1330"/>
        <w:gridCol w:w="1464"/>
        <w:gridCol w:w="1927"/>
        <w:gridCol w:w="222"/>
      </w:tblGrid>
      <w:tr w:rsidR="00E51B3B" w:rsidRPr="001440E4" w14:paraId="631D0FD4" w14:textId="77777777" w:rsidTr="00452D9F">
        <w:trPr>
          <w:trHeight w:val="315"/>
        </w:trPr>
        <w:tc>
          <w:tcPr>
            <w:tcW w:w="8813" w:type="dxa"/>
            <w:gridSpan w:val="6"/>
            <w:tcBorders>
              <w:top w:val="nil"/>
              <w:left w:val="nil"/>
              <w:bottom w:val="nil"/>
              <w:right w:val="nil"/>
            </w:tcBorders>
            <w:shd w:val="clear" w:color="auto" w:fill="auto"/>
            <w:noWrap/>
            <w:vAlign w:val="bottom"/>
            <w:hideMark/>
          </w:tcPr>
          <w:p w14:paraId="70074CE0" w14:textId="3DDBF552" w:rsidR="00E51B3B" w:rsidRPr="001440E4" w:rsidRDefault="00E51B3B" w:rsidP="00452D9F">
            <w:pPr>
              <w:spacing w:after="0" w:line="240" w:lineRule="auto"/>
              <w:rPr>
                <w:rFonts w:ascii="Calibri" w:eastAsia="Times New Roman" w:hAnsi="Calibri" w:cs="Calibri"/>
                <w:b/>
                <w:bCs/>
                <w:color w:val="5F735C"/>
                <w:lang w:eastAsia="en-GB"/>
              </w:rPr>
            </w:pPr>
            <w:r>
              <w:rPr>
                <w:rFonts w:cstheme="minorHAnsi"/>
                <w:sz w:val="28"/>
                <w:szCs w:val="28"/>
              </w:rPr>
              <w:lastRenderedPageBreak/>
              <w:br w:type="page"/>
            </w:r>
            <w:r>
              <w:rPr>
                <w:rFonts w:ascii="Calibri" w:eastAsia="Times New Roman" w:hAnsi="Calibri" w:cs="Calibri"/>
                <w:b/>
                <w:bCs/>
                <w:color w:val="5F735C"/>
                <w:lang w:eastAsia="en-GB"/>
              </w:rPr>
              <w:t>Table 7</w:t>
            </w:r>
            <w:r w:rsidRPr="001440E4">
              <w:rPr>
                <w:rFonts w:ascii="Calibri" w:eastAsia="Times New Roman" w:hAnsi="Calibri" w:cs="Calibri"/>
                <w:b/>
                <w:bCs/>
                <w:color w:val="5F735C"/>
                <w:lang w:eastAsia="en-GB"/>
              </w:rPr>
              <w:t xml:space="preserve">: Onshore enrolments from country with highest </w:t>
            </w:r>
            <w:r w:rsidR="0031077B">
              <w:rPr>
                <w:rFonts w:ascii="Calibri" w:eastAsia="Times New Roman" w:hAnsi="Calibri" w:cs="Calibri"/>
                <w:b/>
                <w:bCs/>
                <w:color w:val="5F735C"/>
                <w:lang w:eastAsia="en-GB"/>
              </w:rPr>
              <w:t>offshore</w:t>
            </w:r>
            <w:r w:rsidRPr="001440E4">
              <w:rPr>
                <w:rFonts w:ascii="Calibri" w:eastAsia="Times New Roman" w:hAnsi="Calibri" w:cs="Calibri"/>
                <w:b/>
                <w:bCs/>
                <w:color w:val="5F735C"/>
                <w:lang w:eastAsia="en-GB"/>
              </w:rPr>
              <w:t xml:space="preserve"> overseas student enrolments, 2015/16</w:t>
            </w:r>
          </w:p>
        </w:tc>
      </w:tr>
      <w:tr w:rsidR="00E51B3B" w:rsidRPr="001440E4" w14:paraId="16819B20" w14:textId="77777777" w:rsidTr="00452D9F">
        <w:trPr>
          <w:trHeight w:val="315"/>
        </w:trPr>
        <w:tc>
          <w:tcPr>
            <w:tcW w:w="1895" w:type="dxa"/>
            <w:tcBorders>
              <w:top w:val="single" w:sz="8" w:space="0" w:color="FFFFFF"/>
              <w:left w:val="single" w:sz="8" w:space="0" w:color="FFFFFF"/>
              <w:bottom w:val="single" w:sz="8" w:space="0" w:color="FFFFFF"/>
              <w:right w:val="single" w:sz="8" w:space="0" w:color="FFFFFF"/>
            </w:tcBorders>
            <w:shd w:val="clear" w:color="000000" w:fill="49723B"/>
            <w:noWrap/>
            <w:vAlign w:val="bottom"/>
            <w:hideMark/>
          </w:tcPr>
          <w:p w14:paraId="6CF52BED" w14:textId="77777777" w:rsidR="00E51B3B" w:rsidRPr="001440E4" w:rsidRDefault="00E51B3B" w:rsidP="00452D9F">
            <w:pPr>
              <w:spacing w:after="0" w:line="240" w:lineRule="auto"/>
              <w:jc w:val="center"/>
              <w:rPr>
                <w:rFonts w:ascii="Calibri" w:eastAsia="Times New Roman" w:hAnsi="Calibri" w:cs="Calibri"/>
                <w:b/>
                <w:bCs/>
                <w:color w:val="FFFFFF"/>
                <w:lang w:eastAsia="en-GB"/>
              </w:rPr>
            </w:pPr>
            <w:r w:rsidRPr="001440E4">
              <w:rPr>
                <w:rFonts w:ascii="Calibri" w:eastAsia="Times New Roman" w:hAnsi="Calibri" w:cs="Calibri"/>
                <w:b/>
                <w:bCs/>
                <w:color w:val="FFFFFF"/>
                <w:lang w:eastAsia="en-GB"/>
              </w:rPr>
              <w:t>University</w:t>
            </w:r>
          </w:p>
        </w:tc>
        <w:tc>
          <w:tcPr>
            <w:tcW w:w="1975" w:type="dxa"/>
            <w:tcBorders>
              <w:top w:val="single" w:sz="8" w:space="0" w:color="FFFFFF"/>
              <w:left w:val="nil"/>
              <w:bottom w:val="single" w:sz="8" w:space="0" w:color="FFFFFF"/>
              <w:right w:val="single" w:sz="8" w:space="0" w:color="FFFFFF"/>
            </w:tcBorders>
            <w:shd w:val="clear" w:color="000000" w:fill="49723B"/>
            <w:noWrap/>
            <w:vAlign w:val="bottom"/>
            <w:hideMark/>
          </w:tcPr>
          <w:p w14:paraId="14A3233A" w14:textId="6C97827B" w:rsidR="00E51B3B" w:rsidRPr="001440E4" w:rsidRDefault="00E51B3B" w:rsidP="00452D9F">
            <w:pPr>
              <w:spacing w:after="0" w:line="240" w:lineRule="auto"/>
              <w:jc w:val="center"/>
              <w:rPr>
                <w:rFonts w:ascii="Calibri" w:eastAsia="Times New Roman" w:hAnsi="Calibri" w:cs="Calibri"/>
                <w:b/>
                <w:bCs/>
                <w:color w:val="FFFFFF"/>
                <w:lang w:eastAsia="en-GB"/>
              </w:rPr>
            </w:pPr>
            <w:r w:rsidRPr="001440E4">
              <w:rPr>
                <w:rFonts w:ascii="Calibri" w:eastAsia="Times New Roman" w:hAnsi="Calibri" w:cs="Calibri"/>
                <w:b/>
                <w:bCs/>
                <w:color w:val="FFFFFF"/>
                <w:lang w:eastAsia="en-GB"/>
              </w:rPr>
              <w:t xml:space="preserve">Top </w:t>
            </w:r>
            <w:r w:rsidR="0031077B">
              <w:rPr>
                <w:rFonts w:ascii="Calibri" w:eastAsia="Times New Roman" w:hAnsi="Calibri" w:cs="Calibri"/>
                <w:b/>
                <w:bCs/>
                <w:color w:val="FFFFFF"/>
                <w:lang w:eastAsia="en-GB"/>
              </w:rPr>
              <w:t>offshore</w:t>
            </w:r>
            <w:r w:rsidRPr="001440E4">
              <w:rPr>
                <w:rFonts w:ascii="Calibri" w:eastAsia="Times New Roman" w:hAnsi="Calibri" w:cs="Calibri"/>
                <w:b/>
                <w:bCs/>
                <w:color w:val="FFFFFF"/>
                <w:lang w:eastAsia="en-GB"/>
              </w:rPr>
              <w:t xml:space="preserve"> country</w:t>
            </w:r>
          </w:p>
        </w:tc>
        <w:tc>
          <w:tcPr>
            <w:tcW w:w="1330" w:type="dxa"/>
            <w:tcBorders>
              <w:top w:val="single" w:sz="8" w:space="0" w:color="FFFFFF"/>
              <w:left w:val="nil"/>
              <w:bottom w:val="single" w:sz="8" w:space="0" w:color="FFFFFF"/>
              <w:right w:val="single" w:sz="8" w:space="0" w:color="FFFFFF"/>
            </w:tcBorders>
            <w:shd w:val="clear" w:color="000000" w:fill="49723B"/>
            <w:noWrap/>
            <w:vAlign w:val="bottom"/>
            <w:hideMark/>
          </w:tcPr>
          <w:p w14:paraId="518B32EC" w14:textId="39111E7D" w:rsidR="00E51B3B" w:rsidRPr="001440E4" w:rsidRDefault="0031077B" w:rsidP="00452D9F">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Offshore</w:t>
            </w:r>
            <w:r w:rsidR="00E51B3B" w:rsidRPr="001440E4">
              <w:rPr>
                <w:rFonts w:ascii="Calibri" w:eastAsia="Times New Roman" w:hAnsi="Calibri" w:cs="Calibri"/>
                <w:b/>
                <w:bCs/>
                <w:color w:val="FFFFFF"/>
                <w:lang w:eastAsia="en-GB"/>
              </w:rPr>
              <w:t xml:space="preserve"> 2016</w:t>
            </w:r>
          </w:p>
        </w:tc>
        <w:tc>
          <w:tcPr>
            <w:tcW w:w="1464" w:type="dxa"/>
            <w:tcBorders>
              <w:top w:val="single" w:sz="8" w:space="0" w:color="FFFFFF"/>
              <w:left w:val="nil"/>
              <w:bottom w:val="single" w:sz="8" w:space="0" w:color="FFFFFF"/>
              <w:right w:val="single" w:sz="8" w:space="0" w:color="FFFFFF"/>
            </w:tcBorders>
            <w:shd w:val="clear" w:color="000000" w:fill="49723B"/>
            <w:noWrap/>
            <w:vAlign w:val="bottom"/>
            <w:hideMark/>
          </w:tcPr>
          <w:p w14:paraId="642D732E" w14:textId="77777777" w:rsidR="00E51B3B" w:rsidRPr="001440E4" w:rsidRDefault="00E51B3B" w:rsidP="00452D9F">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 xml:space="preserve"> On</w:t>
            </w:r>
            <w:r w:rsidRPr="001440E4">
              <w:rPr>
                <w:rFonts w:ascii="Calibri" w:eastAsia="Times New Roman" w:hAnsi="Calibri" w:cs="Calibri"/>
                <w:b/>
                <w:bCs/>
                <w:color w:val="FFFFFF"/>
                <w:lang w:eastAsia="en-GB"/>
              </w:rPr>
              <w:t>shore</w:t>
            </w:r>
            <w:r>
              <w:rPr>
                <w:rFonts w:ascii="Calibri" w:eastAsia="Times New Roman" w:hAnsi="Calibri" w:cs="Calibri"/>
                <w:b/>
                <w:bCs/>
                <w:color w:val="FFFFFF"/>
                <w:lang w:eastAsia="en-GB"/>
              </w:rPr>
              <w:t xml:space="preserve"> </w:t>
            </w:r>
            <w:r w:rsidRPr="001440E4">
              <w:rPr>
                <w:rFonts w:ascii="Calibri" w:eastAsia="Times New Roman" w:hAnsi="Calibri" w:cs="Calibri"/>
                <w:b/>
                <w:bCs/>
                <w:color w:val="FFFFFF"/>
                <w:lang w:eastAsia="en-GB"/>
              </w:rPr>
              <w:t>2016</w:t>
            </w:r>
          </w:p>
        </w:tc>
        <w:tc>
          <w:tcPr>
            <w:tcW w:w="1927" w:type="dxa"/>
            <w:tcBorders>
              <w:top w:val="single" w:sz="8" w:space="0" w:color="FFFFFF"/>
              <w:left w:val="nil"/>
              <w:bottom w:val="single" w:sz="8" w:space="0" w:color="FFFFFF"/>
              <w:right w:val="single" w:sz="8" w:space="0" w:color="FFFFFF"/>
            </w:tcBorders>
            <w:shd w:val="clear" w:color="000000" w:fill="49723B"/>
            <w:noWrap/>
            <w:vAlign w:val="bottom"/>
            <w:hideMark/>
          </w:tcPr>
          <w:p w14:paraId="3EA897AF" w14:textId="79D6B153" w:rsidR="00E51B3B" w:rsidRPr="001440E4" w:rsidRDefault="00E51B3B" w:rsidP="00452D9F">
            <w:pPr>
              <w:spacing w:after="0" w:line="240" w:lineRule="auto"/>
              <w:jc w:val="center"/>
              <w:rPr>
                <w:rFonts w:ascii="Calibri" w:eastAsia="Times New Roman" w:hAnsi="Calibri" w:cs="Calibri"/>
                <w:b/>
                <w:bCs/>
                <w:color w:val="FFFFFF"/>
                <w:lang w:eastAsia="en-GB"/>
              </w:rPr>
            </w:pPr>
            <w:r w:rsidRPr="001440E4">
              <w:rPr>
                <w:rFonts w:ascii="Calibri" w:eastAsia="Times New Roman" w:hAnsi="Calibri" w:cs="Calibri"/>
                <w:b/>
                <w:bCs/>
                <w:color w:val="FFFFFF"/>
                <w:lang w:eastAsia="en-GB"/>
              </w:rPr>
              <w:t>Onshore</w:t>
            </w:r>
            <w:r>
              <w:rPr>
                <w:rFonts w:ascii="Calibri" w:eastAsia="Times New Roman" w:hAnsi="Calibri" w:cs="Calibri"/>
                <w:b/>
                <w:bCs/>
                <w:color w:val="FFFFFF"/>
                <w:lang w:eastAsia="en-GB"/>
              </w:rPr>
              <w:t xml:space="preserve"> </w:t>
            </w:r>
            <w:r w:rsidRPr="001440E4">
              <w:rPr>
                <w:rFonts w:ascii="Calibri" w:eastAsia="Times New Roman" w:hAnsi="Calibri" w:cs="Calibri"/>
                <w:b/>
                <w:bCs/>
                <w:color w:val="FFFFFF"/>
                <w:lang w:eastAsia="en-GB"/>
              </w:rPr>
              <w:t>%</w:t>
            </w:r>
            <w:r>
              <w:rPr>
                <w:rFonts w:ascii="Calibri" w:eastAsia="Times New Roman" w:hAnsi="Calibri" w:cs="Calibri"/>
                <w:b/>
                <w:bCs/>
                <w:color w:val="FFFFFF"/>
                <w:lang w:eastAsia="en-GB"/>
              </w:rPr>
              <w:t xml:space="preserve"> </w:t>
            </w:r>
            <w:r w:rsidR="0031077B">
              <w:rPr>
                <w:rFonts w:ascii="Calibri" w:eastAsia="Times New Roman" w:hAnsi="Calibri" w:cs="Calibri"/>
                <w:b/>
                <w:bCs/>
                <w:color w:val="FFFFFF"/>
                <w:lang w:eastAsia="en-GB"/>
              </w:rPr>
              <w:t>offshore</w:t>
            </w:r>
          </w:p>
        </w:tc>
        <w:tc>
          <w:tcPr>
            <w:tcW w:w="222" w:type="dxa"/>
            <w:tcBorders>
              <w:top w:val="nil"/>
              <w:left w:val="nil"/>
              <w:bottom w:val="nil"/>
              <w:right w:val="nil"/>
            </w:tcBorders>
            <w:shd w:val="clear" w:color="auto" w:fill="auto"/>
            <w:noWrap/>
            <w:vAlign w:val="bottom"/>
            <w:hideMark/>
          </w:tcPr>
          <w:p w14:paraId="64CFE499"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07498D94"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0528D06D"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 xml:space="preserve">Anglia Ruskin </w:t>
            </w:r>
          </w:p>
        </w:tc>
        <w:tc>
          <w:tcPr>
            <w:tcW w:w="1975" w:type="dxa"/>
            <w:tcBorders>
              <w:top w:val="nil"/>
              <w:left w:val="nil"/>
              <w:bottom w:val="single" w:sz="8" w:space="0" w:color="FFFFFF"/>
              <w:right w:val="single" w:sz="8" w:space="0" w:color="FFFFFF"/>
            </w:tcBorders>
            <w:shd w:val="clear" w:color="000000" w:fill="EFEAE6"/>
            <w:noWrap/>
            <w:vAlign w:val="bottom"/>
            <w:hideMark/>
          </w:tcPr>
          <w:p w14:paraId="09D0A91D"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Trinidad&amp; Tobago</w:t>
            </w:r>
          </w:p>
        </w:tc>
        <w:tc>
          <w:tcPr>
            <w:tcW w:w="1330" w:type="dxa"/>
            <w:tcBorders>
              <w:top w:val="nil"/>
              <w:left w:val="nil"/>
              <w:bottom w:val="single" w:sz="8" w:space="0" w:color="FFFFFF"/>
              <w:right w:val="single" w:sz="8" w:space="0" w:color="FFFFFF"/>
            </w:tcBorders>
            <w:shd w:val="clear" w:color="000000" w:fill="EFEAE6"/>
            <w:noWrap/>
            <w:vAlign w:val="bottom"/>
            <w:hideMark/>
          </w:tcPr>
          <w:p w14:paraId="24F463E7"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2047</w:t>
            </w:r>
          </w:p>
        </w:tc>
        <w:tc>
          <w:tcPr>
            <w:tcW w:w="1464" w:type="dxa"/>
            <w:tcBorders>
              <w:top w:val="nil"/>
              <w:left w:val="nil"/>
              <w:bottom w:val="single" w:sz="8" w:space="0" w:color="FFFFFF"/>
              <w:right w:val="single" w:sz="8" w:space="0" w:color="FFFFFF"/>
            </w:tcBorders>
            <w:shd w:val="clear" w:color="000000" w:fill="EFEAE6"/>
            <w:noWrap/>
            <w:vAlign w:val="bottom"/>
            <w:hideMark/>
          </w:tcPr>
          <w:p w14:paraId="4EA94865"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1</w:t>
            </w:r>
          </w:p>
        </w:tc>
        <w:tc>
          <w:tcPr>
            <w:tcW w:w="1927" w:type="dxa"/>
            <w:tcBorders>
              <w:top w:val="nil"/>
              <w:left w:val="nil"/>
              <w:bottom w:val="single" w:sz="8" w:space="0" w:color="FFFFFF"/>
              <w:right w:val="single" w:sz="8" w:space="0" w:color="FFFFFF"/>
            </w:tcBorders>
            <w:shd w:val="clear" w:color="000000" w:fill="EFEAE6"/>
            <w:noWrap/>
            <w:vAlign w:val="bottom"/>
            <w:hideMark/>
          </w:tcPr>
          <w:p w14:paraId="4F4B1C5D"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14:paraId="0F8BF52E"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7EC1DB42"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2BC90C28"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Bedfordshire</w:t>
            </w:r>
          </w:p>
        </w:tc>
        <w:tc>
          <w:tcPr>
            <w:tcW w:w="1975" w:type="dxa"/>
            <w:tcBorders>
              <w:top w:val="nil"/>
              <w:left w:val="nil"/>
              <w:bottom w:val="single" w:sz="8" w:space="0" w:color="FFFFFF"/>
              <w:right w:val="single" w:sz="8" w:space="0" w:color="FFFFFF"/>
            </w:tcBorders>
            <w:shd w:val="clear" w:color="000000" w:fill="EFEAE6"/>
            <w:noWrap/>
            <w:vAlign w:val="bottom"/>
            <w:hideMark/>
          </w:tcPr>
          <w:p w14:paraId="5AE42682"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Oman</w:t>
            </w:r>
          </w:p>
        </w:tc>
        <w:tc>
          <w:tcPr>
            <w:tcW w:w="1330" w:type="dxa"/>
            <w:tcBorders>
              <w:top w:val="nil"/>
              <w:left w:val="nil"/>
              <w:bottom w:val="single" w:sz="8" w:space="0" w:color="FFFFFF"/>
              <w:right w:val="single" w:sz="8" w:space="0" w:color="FFFFFF"/>
            </w:tcBorders>
            <w:shd w:val="clear" w:color="000000" w:fill="EFEAE6"/>
            <w:noWrap/>
            <w:vAlign w:val="bottom"/>
            <w:hideMark/>
          </w:tcPr>
          <w:p w14:paraId="7DA62A1B"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3374</w:t>
            </w:r>
          </w:p>
        </w:tc>
        <w:tc>
          <w:tcPr>
            <w:tcW w:w="1464" w:type="dxa"/>
            <w:tcBorders>
              <w:top w:val="nil"/>
              <w:left w:val="nil"/>
              <w:bottom w:val="single" w:sz="8" w:space="0" w:color="FFFFFF"/>
              <w:right w:val="single" w:sz="8" w:space="0" w:color="FFFFFF"/>
            </w:tcBorders>
            <w:shd w:val="clear" w:color="000000" w:fill="EFEAE6"/>
            <w:noWrap/>
            <w:vAlign w:val="bottom"/>
            <w:hideMark/>
          </w:tcPr>
          <w:p w14:paraId="6AAA48B0"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1</w:t>
            </w:r>
          </w:p>
        </w:tc>
        <w:tc>
          <w:tcPr>
            <w:tcW w:w="1927" w:type="dxa"/>
            <w:tcBorders>
              <w:top w:val="nil"/>
              <w:left w:val="nil"/>
              <w:bottom w:val="single" w:sz="8" w:space="0" w:color="FFFFFF"/>
              <w:right w:val="single" w:sz="8" w:space="0" w:color="FFFFFF"/>
            </w:tcBorders>
            <w:shd w:val="clear" w:color="000000" w:fill="EFEAE6"/>
            <w:noWrap/>
            <w:vAlign w:val="bottom"/>
            <w:hideMark/>
          </w:tcPr>
          <w:p w14:paraId="21B383F2"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14:paraId="7ED9A5FD"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26304E10"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6E057905"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East London</w:t>
            </w:r>
          </w:p>
        </w:tc>
        <w:tc>
          <w:tcPr>
            <w:tcW w:w="1975" w:type="dxa"/>
            <w:tcBorders>
              <w:top w:val="nil"/>
              <w:left w:val="nil"/>
              <w:bottom w:val="single" w:sz="8" w:space="0" w:color="FFFFFF"/>
              <w:right w:val="single" w:sz="8" w:space="0" w:color="FFFFFF"/>
            </w:tcBorders>
            <w:shd w:val="clear" w:color="000000" w:fill="EFEAE6"/>
            <w:noWrap/>
            <w:vAlign w:val="bottom"/>
            <w:hideMark/>
          </w:tcPr>
          <w:p w14:paraId="6300B35E"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Greece</w:t>
            </w:r>
          </w:p>
        </w:tc>
        <w:tc>
          <w:tcPr>
            <w:tcW w:w="1330" w:type="dxa"/>
            <w:tcBorders>
              <w:top w:val="nil"/>
              <w:left w:val="nil"/>
              <w:bottom w:val="single" w:sz="8" w:space="0" w:color="FFFFFF"/>
              <w:right w:val="single" w:sz="8" w:space="0" w:color="FFFFFF"/>
            </w:tcBorders>
            <w:shd w:val="clear" w:color="000000" w:fill="EFEAE6"/>
            <w:noWrap/>
            <w:vAlign w:val="bottom"/>
            <w:hideMark/>
          </w:tcPr>
          <w:p w14:paraId="2CEE1569"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2902</w:t>
            </w:r>
          </w:p>
        </w:tc>
        <w:tc>
          <w:tcPr>
            <w:tcW w:w="1464" w:type="dxa"/>
            <w:tcBorders>
              <w:top w:val="nil"/>
              <w:left w:val="nil"/>
              <w:bottom w:val="single" w:sz="8" w:space="0" w:color="FFFFFF"/>
              <w:right w:val="single" w:sz="8" w:space="0" w:color="FFFFFF"/>
            </w:tcBorders>
            <w:shd w:val="clear" w:color="000000" w:fill="EFEAE6"/>
            <w:noWrap/>
            <w:vAlign w:val="bottom"/>
            <w:hideMark/>
          </w:tcPr>
          <w:p w14:paraId="44B82513"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50</w:t>
            </w:r>
          </w:p>
        </w:tc>
        <w:tc>
          <w:tcPr>
            <w:tcW w:w="1927" w:type="dxa"/>
            <w:tcBorders>
              <w:top w:val="nil"/>
              <w:left w:val="nil"/>
              <w:bottom w:val="single" w:sz="8" w:space="0" w:color="FFFFFF"/>
              <w:right w:val="single" w:sz="8" w:space="0" w:color="FFFFFF"/>
            </w:tcBorders>
            <w:shd w:val="clear" w:color="000000" w:fill="EFEAE6"/>
            <w:noWrap/>
            <w:vAlign w:val="bottom"/>
            <w:hideMark/>
          </w:tcPr>
          <w:p w14:paraId="67733220"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1.7</w:t>
            </w:r>
          </w:p>
        </w:tc>
        <w:tc>
          <w:tcPr>
            <w:tcW w:w="222" w:type="dxa"/>
            <w:tcBorders>
              <w:top w:val="nil"/>
              <w:left w:val="nil"/>
              <w:bottom w:val="nil"/>
              <w:right w:val="nil"/>
            </w:tcBorders>
            <w:shd w:val="clear" w:color="auto" w:fill="auto"/>
            <w:noWrap/>
            <w:vAlign w:val="bottom"/>
            <w:hideMark/>
          </w:tcPr>
          <w:p w14:paraId="4956E8DD"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1912F3CE"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262F853E"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Greenwich</w:t>
            </w:r>
          </w:p>
        </w:tc>
        <w:tc>
          <w:tcPr>
            <w:tcW w:w="1975" w:type="dxa"/>
            <w:tcBorders>
              <w:top w:val="nil"/>
              <w:left w:val="nil"/>
              <w:bottom w:val="single" w:sz="8" w:space="0" w:color="FFFFFF"/>
              <w:right w:val="single" w:sz="8" w:space="0" w:color="FFFFFF"/>
            </w:tcBorders>
            <w:shd w:val="clear" w:color="000000" w:fill="EFEAE6"/>
            <w:noWrap/>
            <w:vAlign w:val="bottom"/>
            <w:hideMark/>
          </w:tcPr>
          <w:p w14:paraId="081775AA"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Egypt</w:t>
            </w:r>
          </w:p>
        </w:tc>
        <w:tc>
          <w:tcPr>
            <w:tcW w:w="1330" w:type="dxa"/>
            <w:tcBorders>
              <w:top w:val="nil"/>
              <w:left w:val="nil"/>
              <w:bottom w:val="single" w:sz="8" w:space="0" w:color="FFFFFF"/>
              <w:right w:val="single" w:sz="8" w:space="0" w:color="FFFFFF"/>
            </w:tcBorders>
            <w:shd w:val="clear" w:color="000000" w:fill="EFEAE6"/>
            <w:noWrap/>
            <w:vAlign w:val="bottom"/>
            <w:hideMark/>
          </w:tcPr>
          <w:p w14:paraId="0709C1F2"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7923</w:t>
            </w:r>
          </w:p>
        </w:tc>
        <w:tc>
          <w:tcPr>
            <w:tcW w:w="1464" w:type="dxa"/>
            <w:tcBorders>
              <w:top w:val="nil"/>
              <w:left w:val="nil"/>
              <w:bottom w:val="single" w:sz="8" w:space="0" w:color="FFFFFF"/>
              <w:right w:val="single" w:sz="8" w:space="0" w:color="FFFFFF"/>
            </w:tcBorders>
            <w:shd w:val="clear" w:color="000000" w:fill="EFEAE6"/>
            <w:noWrap/>
            <w:vAlign w:val="bottom"/>
            <w:hideMark/>
          </w:tcPr>
          <w:p w14:paraId="1C620375"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55</w:t>
            </w:r>
          </w:p>
        </w:tc>
        <w:tc>
          <w:tcPr>
            <w:tcW w:w="1927" w:type="dxa"/>
            <w:tcBorders>
              <w:top w:val="nil"/>
              <w:left w:val="nil"/>
              <w:bottom w:val="single" w:sz="8" w:space="0" w:color="FFFFFF"/>
              <w:right w:val="single" w:sz="8" w:space="0" w:color="FFFFFF"/>
            </w:tcBorders>
            <w:shd w:val="clear" w:color="000000" w:fill="EFEAE6"/>
            <w:noWrap/>
            <w:vAlign w:val="bottom"/>
            <w:hideMark/>
          </w:tcPr>
          <w:p w14:paraId="772B6F39"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0.7</w:t>
            </w:r>
          </w:p>
        </w:tc>
        <w:tc>
          <w:tcPr>
            <w:tcW w:w="222" w:type="dxa"/>
            <w:tcBorders>
              <w:top w:val="nil"/>
              <w:left w:val="nil"/>
              <w:bottom w:val="nil"/>
              <w:right w:val="nil"/>
            </w:tcBorders>
            <w:shd w:val="clear" w:color="auto" w:fill="auto"/>
            <w:noWrap/>
            <w:vAlign w:val="bottom"/>
            <w:hideMark/>
          </w:tcPr>
          <w:p w14:paraId="5856E819"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61596D21"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071FEED2"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Hertfordshire</w:t>
            </w:r>
          </w:p>
        </w:tc>
        <w:tc>
          <w:tcPr>
            <w:tcW w:w="1975" w:type="dxa"/>
            <w:tcBorders>
              <w:top w:val="nil"/>
              <w:left w:val="nil"/>
              <w:bottom w:val="single" w:sz="8" w:space="0" w:color="FFFFFF"/>
              <w:right w:val="single" w:sz="8" w:space="0" w:color="FFFFFF"/>
            </w:tcBorders>
            <w:shd w:val="clear" w:color="000000" w:fill="EFEAE6"/>
            <w:noWrap/>
            <w:vAlign w:val="bottom"/>
            <w:hideMark/>
          </w:tcPr>
          <w:p w14:paraId="6F199E9E"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Malaysia</w:t>
            </w:r>
          </w:p>
        </w:tc>
        <w:tc>
          <w:tcPr>
            <w:tcW w:w="1330" w:type="dxa"/>
            <w:tcBorders>
              <w:top w:val="nil"/>
              <w:left w:val="nil"/>
              <w:bottom w:val="single" w:sz="8" w:space="0" w:color="FFFFFF"/>
              <w:right w:val="single" w:sz="8" w:space="0" w:color="FFFFFF"/>
            </w:tcBorders>
            <w:shd w:val="clear" w:color="000000" w:fill="EFEAE6"/>
            <w:noWrap/>
            <w:vAlign w:val="bottom"/>
            <w:hideMark/>
          </w:tcPr>
          <w:p w14:paraId="44E6F34F"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3956</w:t>
            </w:r>
          </w:p>
        </w:tc>
        <w:tc>
          <w:tcPr>
            <w:tcW w:w="1464" w:type="dxa"/>
            <w:tcBorders>
              <w:top w:val="nil"/>
              <w:left w:val="nil"/>
              <w:bottom w:val="single" w:sz="8" w:space="0" w:color="FFFFFF"/>
              <w:right w:val="single" w:sz="8" w:space="0" w:color="FFFFFF"/>
            </w:tcBorders>
            <w:shd w:val="clear" w:color="000000" w:fill="EFEAE6"/>
            <w:noWrap/>
            <w:vAlign w:val="bottom"/>
            <w:hideMark/>
          </w:tcPr>
          <w:p w14:paraId="6B10E45B"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273</w:t>
            </w:r>
          </w:p>
        </w:tc>
        <w:tc>
          <w:tcPr>
            <w:tcW w:w="1927" w:type="dxa"/>
            <w:tcBorders>
              <w:top w:val="nil"/>
              <w:left w:val="nil"/>
              <w:bottom w:val="single" w:sz="8" w:space="0" w:color="FFFFFF"/>
              <w:right w:val="single" w:sz="8" w:space="0" w:color="FFFFFF"/>
            </w:tcBorders>
            <w:shd w:val="clear" w:color="000000" w:fill="EFEAE6"/>
            <w:noWrap/>
            <w:vAlign w:val="bottom"/>
            <w:hideMark/>
          </w:tcPr>
          <w:p w14:paraId="02155BEB"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6.9</w:t>
            </w:r>
          </w:p>
        </w:tc>
        <w:tc>
          <w:tcPr>
            <w:tcW w:w="222" w:type="dxa"/>
            <w:tcBorders>
              <w:top w:val="nil"/>
              <w:left w:val="nil"/>
              <w:bottom w:val="nil"/>
              <w:right w:val="nil"/>
            </w:tcBorders>
            <w:shd w:val="clear" w:color="auto" w:fill="auto"/>
            <w:noWrap/>
            <w:vAlign w:val="bottom"/>
            <w:hideMark/>
          </w:tcPr>
          <w:p w14:paraId="0873E65F"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4E3B18C5"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3EBC78AD"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Lancaster</w:t>
            </w:r>
          </w:p>
        </w:tc>
        <w:tc>
          <w:tcPr>
            <w:tcW w:w="1975" w:type="dxa"/>
            <w:tcBorders>
              <w:top w:val="nil"/>
              <w:left w:val="nil"/>
              <w:bottom w:val="single" w:sz="8" w:space="0" w:color="FFFFFF"/>
              <w:right w:val="single" w:sz="8" w:space="0" w:color="FFFFFF"/>
            </w:tcBorders>
            <w:shd w:val="clear" w:color="000000" w:fill="EFEAE6"/>
            <w:noWrap/>
            <w:vAlign w:val="bottom"/>
            <w:hideMark/>
          </w:tcPr>
          <w:p w14:paraId="5F6E4C67"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Malaysia</w:t>
            </w:r>
          </w:p>
        </w:tc>
        <w:tc>
          <w:tcPr>
            <w:tcW w:w="1330" w:type="dxa"/>
            <w:tcBorders>
              <w:top w:val="nil"/>
              <w:left w:val="nil"/>
              <w:bottom w:val="single" w:sz="8" w:space="0" w:color="FFFFFF"/>
              <w:right w:val="single" w:sz="8" w:space="0" w:color="FFFFFF"/>
            </w:tcBorders>
            <w:shd w:val="clear" w:color="000000" w:fill="EFEAE6"/>
            <w:noWrap/>
            <w:vAlign w:val="bottom"/>
            <w:hideMark/>
          </w:tcPr>
          <w:p w14:paraId="2575F72B"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3881</w:t>
            </w:r>
          </w:p>
        </w:tc>
        <w:tc>
          <w:tcPr>
            <w:tcW w:w="1464" w:type="dxa"/>
            <w:tcBorders>
              <w:top w:val="nil"/>
              <w:left w:val="nil"/>
              <w:bottom w:val="single" w:sz="8" w:space="0" w:color="FFFFFF"/>
              <w:right w:val="single" w:sz="8" w:space="0" w:color="FFFFFF"/>
            </w:tcBorders>
            <w:shd w:val="clear" w:color="000000" w:fill="EFEAE6"/>
            <w:noWrap/>
            <w:vAlign w:val="bottom"/>
            <w:hideMark/>
          </w:tcPr>
          <w:p w14:paraId="3997E7BE"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174</w:t>
            </w:r>
          </w:p>
        </w:tc>
        <w:tc>
          <w:tcPr>
            <w:tcW w:w="1927" w:type="dxa"/>
            <w:tcBorders>
              <w:top w:val="nil"/>
              <w:left w:val="nil"/>
              <w:bottom w:val="single" w:sz="8" w:space="0" w:color="FFFFFF"/>
              <w:right w:val="single" w:sz="8" w:space="0" w:color="FFFFFF"/>
            </w:tcBorders>
            <w:shd w:val="clear" w:color="000000" w:fill="EFEAE6"/>
            <w:noWrap/>
            <w:vAlign w:val="bottom"/>
            <w:hideMark/>
          </w:tcPr>
          <w:p w14:paraId="13A22391"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4.5</w:t>
            </w:r>
          </w:p>
        </w:tc>
        <w:tc>
          <w:tcPr>
            <w:tcW w:w="222" w:type="dxa"/>
            <w:tcBorders>
              <w:top w:val="nil"/>
              <w:left w:val="nil"/>
              <w:bottom w:val="nil"/>
              <w:right w:val="nil"/>
            </w:tcBorders>
            <w:shd w:val="clear" w:color="auto" w:fill="auto"/>
            <w:noWrap/>
            <w:vAlign w:val="bottom"/>
            <w:hideMark/>
          </w:tcPr>
          <w:p w14:paraId="4E3B265A"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31F366B8"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4C3221BF"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Liverpool</w:t>
            </w:r>
          </w:p>
        </w:tc>
        <w:tc>
          <w:tcPr>
            <w:tcW w:w="1975" w:type="dxa"/>
            <w:tcBorders>
              <w:top w:val="nil"/>
              <w:left w:val="nil"/>
              <w:bottom w:val="single" w:sz="8" w:space="0" w:color="FFFFFF"/>
              <w:right w:val="single" w:sz="8" w:space="0" w:color="FFFFFF"/>
            </w:tcBorders>
            <w:shd w:val="clear" w:color="000000" w:fill="EFEAE6"/>
            <w:noWrap/>
            <w:vAlign w:val="bottom"/>
            <w:hideMark/>
          </w:tcPr>
          <w:p w14:paraId="3A45709B"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China</w:t>
            </w:r>
          </w:p>
        </w:tc>
        <w:tc>
          <w:tcPr>
            <w:tcW w:w="1330" w:type="dxa"/>
            <w:tcBorders>
              <w:top w:val="nil"/>
              <w:left w:val="nil"/>
              <w:bottom w:val="single" w:sz="8" w:space="0" w:color="FFFFFF"/>
              <w:right w:val="single" w:sz="8" w:space="0" w:color="FFFFFF"/>
            </w:tcBorders>
            <w:shd w:val="clear" w:color="000000" w:fill="EFEAE6"/>
            <w:noWrap/>
            <w:vAlign w:val="bottom"/>
            <w:hideMark/>
          </w:tcPr>
          <w:p w14:paraId="14FDCA72"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7644</w:t>
            </w:r>
          </w:p>
        </w:tc>
        <w:tc>
          <w:tcPr>
            <w:tcW w:w="1464" w:type="dxa"/>
            <w:tcBorders>
              <w:top w:val="nil"/>
              <w:left w:val="nil"/>
              <w:bottom w:val="single" w:sz="8" w:space="0" w:color="FFFFFF"/>
              <w:right w:val="single" w:sz="8" w:space="0" w:color="FFFFFF"/>
            </w:tcBorders>
            <w:shd w:val="clear" w:color="000000" w:fill="EFEAE6"/>
            <w:noWrap/>
            <w:vAlign w:val="bottom"/>
            <w:hideMark/>
          </w:tcPr>
          <w:p w14:paraId="674C2C9C"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4441</w:t>
            </w:r>
          </w:p>
        </w:tc>
        <w:tc>
          <w:tcPr>
            <w:tcW w:w="1927" w:type="dxa"/>
            <w:tcBorders>
              <w:top w:val="nil"/>
              <w:left w:val="nil"/>
              <w:bottom w:val="single" w:sz="8" w:space="0" w:color="FFFFFF"/>
              <w:right w:val="single" w:sz="8" w:space="0" w:color="FFFFFF"/>
            </w:tcBorders>
            <w:shd w:val="clear" w:color="000000" w:fill="EFEAE6"/>
            <w:noWrap/>
            <w:vAlign w:val="bottom"/>
            <w:hideMark/>
          </w:tcPr>
          <w:p w14:paraId="70585B86"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58.1</w:t>
            </w:r>
          </w:p>
        </w:tc>
        <w:tc>
          <w:tcPr>
            <w:tcW w:w="222" w:type="dxa"/>
            <w:tcBorders>
              <w:top w:val="nil"/>
              <w:left w:val="nil"/>
              <w:bottom w:val="nil"/>
              <w:right w:val="nil"/>
            </w:tcBorders>
            <w:shd w:val="clear" w:color="auto" w:fill="auto"/>
            <w:noWrap/>
            <w:vAlign w:val="bottom"/>
            <w:hideMark/>
          </w:tcPr>
          <w:p w14:paraId="08BC1161"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00944D7F"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61B86853"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Middlesex</w:t>
            </w:r>
          </w:p>
        </w:tc>
        <w:tc>
          <w:tcPr>
            <w:tcW w:w="1975" w:type="dxa"/>
            <w:tcBorders>
              <w:top w:val="nil"/>
              <w:left w:val="nil"/>
              <w:bottom w:val="single" w:sz="8" w:space="0" w:color="FFFFFF"/>
              <w:right w:val="single" w:sz="8" w:space="0" w:color="FFFFFF"/>
            </w:tcBorders>
            <w:shd w:val="clear" w:color="000000" w:fill="EFEAE6"/>
            <w:noWrap/>
            <w:vAlign w:val="bottom"/>
            <w:hideMark/>
          </w:tcPr>
          <w:p w14:paraId="7A871CED"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UAE</w:t>
            </w:r>
          </w:p>
        </w:tc>
        <w:tc>
          <w:tcPr>
            <w:tcW w:w="1330" w:type="dxa"/>
            <w:tcBorders>
              <w:top w:val="nil"/>
              <w:left w:val="nil"/>
              <w:bottom w:val="single" w:sz="8" w:space="0" w:color="FFFFFF"/>
              <w:right w:val="single" w:sz="8" w:space="0" w:color="FFFFFF"/>
            </w:tcBorders>
            <w:shd w:val="clear" w:color="000000" w:fill="EFEAE6"/>
            <w:noWrap/>
            <w:vAlign w:val="bottom"/>
            <w:hideMark/>
          </w:tcPr>
          <w:p w14:paraId="2C6DBC11"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2995</w:t>
            </w:r>
          </w:p>
        </w:tc>
        <w:tc>
          <w:tcPr>
            <w:tcW w:w="1464" w:type="dxa"/>
            <w:tcBorders>
              <w:top w:val="nil"/>
              <w:left w:val="nil"/>
              <w:bottom w:val="single" w:sz="8" w:space="0" w:color="FFFFFF"/>
              <w:right w:val="single" w:sz="8" w:space="0" w:color="FFFFFF"/>
            </w:tcBorders>
            <w:shd w:val="clear" w:color="000000" w:fill="EFEAE6"/>
            <w:noWrap/>
            <w:vAlign w:val="bottom"/>
            <w:hideMark/>
          </w:tcPr>
          <w:p w14:paraId="08D49758"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73</w:t>
            </w:r>
          </w:p>
        </w:tc>
        <w:tc>
          <w:tcPr>
            <w:tcW w:w="1927" w:type="dxa"/>
            <w:tcBorders>
              <w:top w:val="nil"/>
              <w:left w:val="nil"/>
              <w:bottom w:val="single" w:sz="8" w:space="0" w:color="FFFFFF"/>
              <w:right w:val="single" w:sz="8" w:space="0" w:color="FFFFFF"/>
            </w:tcBorders>
            <w:shd w:val="clear" w:color="000000" w:fill="EFEAE6"/>
            <w:noWrap/>
            <w:vAlign w:val="bottom"/>
            <w:hideMark/>
          </w:tcPr>
          <w:p w14:paraId="5EBEC32A"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2.4</w:t>
            </w:r>
          </w:p>
        </w:tc>
        <w:tc>
          <w:tcPr>
            <w:tcW w:w="222" w:type="dxa"/>
            <w:tcBorders>
              <w:top w:val="nil"/>
              <w:left w:val="nil"/>
              <w:bottom w:val="nil"/>
              <w:right w:val="nil"/>
            </w:tcBorders>
            <w:shd w:val="clear" w:color="auto" w:fill="auto"/>
            <w:noWrap/>
            <w:vAlign w:val="bottom"/>
            <w:hideMark/>
          </w:tcPr>
          <w:p w14:paraId="575204F0"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61F30BBF"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546DC09A"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Nottingham</w:t>
            </w:r>
          </w:p>
        </w:tc>
        <w:tc>
          <w:tcPr>
            <w:tcW w:w="1975" w:type="dxa"/>
            <w:tcBorders>
              <w:top w:val="nil"/>
              <w:left w:val="nil"/>
              <w:bottom w:val="single" w:sz="8" w:space="0" w:color="FFFFFF"/>
              <w:right w:val="single" w:sz="8" w:space="0" w:color="FFFFFF"/>
            </w:tcBorders>
            <w:shd w:val="clear" w:color="000000" w:fill="EFEAE6"/>
            <w:noWrap/>
            <w:vAlign w:val="bottom"/>
            <w:hideMark/>
          </w:tcPr>
          <w:p w14:paraId="1182A805"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China</w:t>
            </w:r>
          </w:p>
        </w:tc>
        <w:tc>
          <w:tcPr>
            <w:tcW w:w="1330" w:type="dxa"/>
            <w:tcBorders>
              <w:top w:val="nil"/>
              <w:left w:val="nil"/>
              <w:bottom w:val="single" w:sz="8" w:space="0" w:color="FFFFFF"/>
              <w:right w:val="single" w:sz="8" w:space="0" w:color="FFFFFF"/>
            </w:tcBorders>
            <w:shd w:val="clear" w:color="000000" w:fill="EFEAE6"/>
            <w:noWrap/>
            <w:vAlign w:val="bottom"/>
            <w:hideMark/>
          </w:tcPr>
          <w:p w14:paraId="5C747F1D"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6178</w:t>
            </w:r>
          </w:p>
        </w:tc>
        <w:tc>
          <w:tcPr>
            <w:tcW w:w="1464" w:type="dxa"/>
            <w:tcBorders>
              <w:top w:val="nil"/>
              <w:left w:val="nil"/>
              <w:bottom w:val="single" w:sz="8" w:space="0" w:color="FFFFFF"/>
              <w:right w:val="single" w:sz="8" w:space="0" w:color="FFFFFF"/>
            </w:tcBorders>
            <w:shd w:val="clear" w:color="000000" w:fill="EFEAE6"/>
            <w:noWrap/>
            <w:vAlign w:val="bottom"/>
            <w:hideMark/>
          </w:tcPr>
          <w:p w14:paraId="7C3D5752"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1549</w:t>
            </w:r>
          </w:p>
        </w:tc>
        <w:tc>
          <w:tcPr>
            <w:tcW w:w="1927" w:type="dxa"/>
            <w:tcBorders>
              <w:top w:val="nil"/>
              <w:left w:val="nil"/>
              <w:bottom w:val="single" w:sz="8" w:space="0" w:color="FFFFFF"/>
              <w:right w:val="single" w:sz="8" w:space="0" w:color="FFFFFF"/>
            </w:tcBorders>
            <w:shd w:val="clear" w:color="000000" w:fill="EFEAE6"/>
            <w:noWrap/>
            <w:vAlign w:val="bottom"/>
            <w:hideMark/>
          </w:tcPr>
          <w:p w14:paraId="584BD22F"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25.1</w:t>
            </w:r>
          </w:p>
        </w:tc>
        <w:tc>
          <w:tcPr>
            <w:tcW w:w="222" w:type="dxa"/>
            <w:tcBorders>
              <w:top w:val="nil"/>
              <w:left w:val="nil"/>
              <w:bottom w:val="nil"/>
              <w:right w:val="nil"/>
            </w:tcBorders>
            <w:shd w:val="clear" w:color="auto" w:fill="auto"/>
            <w:noWrap/>
            <w:vAlign w:val="bottom"/>
            <w:hideMark/>
          </w:tcPr>
          <w:p w14:paraId="6FCB3667"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4C35F9AE"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441681D1"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 xml:space="preserve">Nottingham Trent </w:t>
            </w:r>
          </w:p>
        </w:tc>
        <w:tc>
          <w:tcPr>
            <w:tcW w:w="1975" w:type="dxa"/>
            <w:tcBorders>
              <w:top w:val="nil"/>
              <w:left w:val="nil"/>
              <w:bottom w:val="single" w:sz="8" w:space="0" w:color="FFFFFF"/>
              <w:right w:val="single" w:sz="8" w:space="0" w:color="FFFFFF"/>
            </w:tcBorders>
            <w:shd w:val="clear" w:color="000000" w:fill="EFEAE6"/>
            <w:noWrap/>
            <w:vAlign w:val="bottom"/>
            <w:hideMark/>
          </w:tcPr>
          <w:p w14:paraId="2E7F0A31"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India</w:t>
            </w:r>
          </w:p>
        </w:tc>
        <w:tc>
          <w:tcPr>
            <w:tcW w:w="1330" w:type="dxa"/>
            <w:tcBorders>
              <w:top w:val="nil"/>
              <w:left w:val="nil"/>
              <w:bottom w:val="single" w:sz="8" w:space="0" w:color="FFFFFF"/>
              <w:right w:val="single" w:sz="8" w:space="0" w:color="FFFFFF"/>
            </w:tcBorders>
            <w:shd w:val="clear" w:color="000000" w:fill="EFEAE6"/>
            <w:noWrap/>
            <w:vAlign w:val="bottom"/>
            <w:hideMark/>
          </w:tcPr>
          <w:p w14:paraId="5AB6B66B"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3068</w:t>
            </w:r>
          </w:p>
        </w:tc>
        <w:tc>
          <w:tcPr>
            <w:tcW w:w="1464" w:type="dxa"/>
            <w:tcBorders>
              <w:top w:val="nil"/>
              <w:left w:val="nil"/>
              <w:bottom w:val="single" w:sz="8" w:space="0" w:color="FFFFFF"/>
              <w:right w:val="single" w:sz="8" w:space="0" w:color="FFFFFF"/>
            </w:tcBorders>
            <w:shd w:val="clear" w:color="000000" w:fill="EFEAE6"/>
            <w:noWrap/>
            <w:vAlign w:val="bottom"/>
            <w:hideMark/>
          </w:tcPr>
          <w:p w14:paraId="2E80FEB0"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395</w:t>
            </w:r>
          </w:p>
        </w:tc>
        <w:tc>
          <w:tcPr>
            <w:tcW w:w="1927" w:type="dxa"/>
            <w:tcBorders>
              <w:top w:val="nil"/>
              <w:left w:val="nil"/>
              <w:bottom w:val="single" w:sz="8" w:space="0" w:color="FFFFFF"/>
              <w:right w:val="single" w:sz="8" w:space="0" w:color="FFFFFF"/>
            </w:tcBorders>
            <w:shd w:val="clear" w:color="000000" w:fill="EFEAE6"/>
            <w:noWrap/>
            <w:vAlign w:val="bottom"/>
            <w:hideMark/>
          </w:tcPr>
          <w:p w14:paraId="25B77B48"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12.9</w:t>
            </w:r>
          </w:p>
        </w:tc>
        <w:tc>
          <w:tcPr>
            <w:tcW w:w="222" w:type="dxa"/>
            <w:tcBorders>
              <w:top w:val="nil"/>
              <w:left w:val="nil"/>
              <w:bottom w:val="nil"/>
              <w:right w:val="nil"/>
            </w:tcBorders>
            <w:shd w:val="clear" w:color="auto" w:fill="auto"/>
            <w:noWrap/>
            <w:vAlign w:val="bottom"/>
            <w:hideMark/>
          </w:tcPr>
          <w:p w14:paraId="0B014EBA"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35255E36"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4DB86652"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 xml:space="preserve">Staffordshire </w:t>
            </w:r>
          </w:p>
        </w:tc>
        <w:tc>
          <w:tcPr>
            <w:tcW w:w="1975" w:type="dxa"/>
            <w:tcBorders>
              <w:top w:val="nil"/>
              <w:left w:val="nil"/>
              <w:bottom w:val="single" w:sz="8" w:space="0" w:color="FFFFFF"/>
              <w:right w:val="single" w:sz="8" w:space="0" w:color="FFFFFF"/>
            </w:tcBorders>
            <w:shd w:val="clear" w:color="000000" w:fill="EFEAE6"/>
            <w:noWrap/>
            <w:vAlign w:val="bottom"/>
            <w:hideMark/>
          </w:tcPr>
          <w:p w14:paraId="363A3706"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Malaysia</w:t>
            </w:r>
          </w:p>
        </w:tc>
        <w:tc>
          <w:tcPr>
            <w:tcW w:w="1330" w:type="dxa"/>
            <w:tcBorders>
              <w:top w:val="nil"/>
              <w:left w:val="nil"/>
              <w:bottom w:val="single" w:sz="8" w:space="0" w:color="FFFFFF"/>
              <w:right w:val="single" w:sz="8" w:space="0" w:color="FFFFFF"/>
            </w:tcBorders>
            <w:shd w:val="clear" w:color="000000" w:fill="EFEAE6"/>
            <w:noWrap/>
            <w:vAlign w:val="bottom"/>
            <w:hideMark/>
          </w:tcPr>
          <w:p w14:paraId="725DB5D9"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9980</w:t>
            </w:r>
          </w:p>
        </w:tc>
        <w:tc>
          <w:tcPr>
            <w:tcW w:w="1464" w:type="dxa"/>
            <w:tcBorders>
              <w:top w:val="nil"/>
              <w:left w:val="nil"/>
              <w:bottom w:val="single" w:sz="8" w:space="0" w:color="FFFFFF"/>
              <w:right w:val="single" w:sz="8" w:space="0" w:color="FFFFFF"/>
            </w:tcBorders>
            <w:shd w:val="clear" w:color="000000" w:fill="EFEAE6"/>
            <w:noWrap/>
            <w:vAlign w:val="bottom"/>
            <w:hideMark/>
          </w:tcPr>
          <w:p w14:paraId="1016296A"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18</w:t>
            </w:r>
          </w:p>
        </w:tc>
        <w:tc>
          <w:tcPr>
            <w:tcW w:w="1927" w:type="dxa"/>
            <w:tcBorders>
              <w:top w:val="nil"/>
              <w:left w:val="nil"/>
              <w:bottom w:val="single" w:sz="8" w:space="0" w:color="FFFFFF"/>
              <w:right w:val="single" w:sz="8" w:space="0" w:color="FFFFFF"/>
            </w:tcBorders>
            <w:shd w:val="clear" w:color="000000" w:fill="EFEAE6"/>
            <w:noWrap/>
            <w:vAlign w:val="bottom"/>
            <w:hideMark/>
          </w:tcPr>
          <w:p w14:paraId="3D3F8A6B"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0.2</w:t>
            </w:r>
          </w:p>
        </w:tc>
        <w:tc>
          <w:tcPr>
            <w:tcW w:w="222" w:type="dxa"/>
            <w:tcBorders>
              <w:top w:val="nil"/>
              <w:left w:val="nil"/>
              <w:bottom w:val="nil"/>
              <w:right w:val="nil"/>
            </w:tcBorders>
            <w:shd w:val="clear" w:color="auto" w:fill="auto"/>
            <w:noWrap/>
            <w:vAlign w:val="bottom"/>
            <w:hideMark/>
          </w:tcPr>
          <w:p w14:paraId="49AE0C94"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4DC2B33A"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759C0C4A"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Sunderland</w:t>
            </w:r>
          </w:p>
        </w:tc>
        <w:tc>
          <w:tcPr>
            <w:tcW w:w="1975" w:type="dxa"/>
            <w:tcBorders>
              <w:top w:val="nil"/>
              <w:left w:val="nil"/>
              <w:bottom w:val="single" w:sz="8" w:space="0" w:color="FFFFFF"/>
              <w:right w:val="single" w:sz="8" w:space="0" w:color="FFFFFF"/>
            </w:tcBorders>
            <w:shd w:val="clear" w:color="000000" w:fill="EFEAE6"/>
            <w:noWrap/>
            <w:vAlign w:val="bottom"/>
            <w:hideMark/>
          </w:tcPr>
          <w:p w14:paraId="7E906871"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Malaysia</w:t>
            </w:r>
          </w:p>
        </w:tc>
        <w:tc>
          <w:tcPr>
            <w:tcW w:w="1330" w:type="dxa"/>
            <w:tcBorders>
              <w:top w:val="nil"/>
              <w:left w:val="nil"/>
              <w:bottom w:val="single" w:sz="8" w:space="0" w:color="FFFFFF"/>
              <w:right w:val="single" w:sz="8" w:space="0" w:color="FFFFFF"/>
            </w:tcBorders>
            <w:shd w:val="clear" w:color="000000" w:fill="EFEAE6"/>
            <w:noWrap/>
            <w:vAlign w:val="bottom"/>
            <w:hideMark/>
          </w:tcPr>
          <w:p w14:paraId="0503B71B"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2768</w:t>
            </w:r>
          </w:p>
        </w:tc>
        <w:tc>
          <w:tcPr>
            <w:tcW w:w="1464" w:type="dxa"/>
            <w:tcBorders>
              <w:top w:val="nil"/>
              <w:left w:val="nil"/>
              <w:bottom w:val="single" w:sz="8" w:space="0" w:color="FFFFFF"/>
              <w:right w:val="single" w:sz="8" w:space="0" w:color="FFFFFF"/>
            </w:tcBorders>
            <w:shd w:val="clear" w:color="000000" w:fill="EFEAE6"/>
            <w:noWrap/>
            <w:vAlign w:val="bottom"/>
            <w:hideMark/>
          </w:tcPr>
          <w:p w14:paraId="7A944A9E"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215</w:t>
            </w:r>
          </w:p>
        </w:tc>
        <w:tc>
          <w:tcPr>
            <w:tcW w:w="1927" w:type="dxa"/>
            <w:tcBorders>
              <w:top w:val="nil"/>
              <w:left w:val="nil"/>
              <w:bottom w:val="single" w:sz="8" w:space="0" w:color="FFFFFF"/>
              <w:right w:val="single" w:sz="8" w:space="0" w:color="FFFFFF"/>
            </w:tcBorders>
            <w:shd w:val="clear" w:color="000000" w:fill="EFEAE6"/>
            <w:noWrap/>
            <w:vAlign w:val="bottom"/>
            <w:hideMark/>
          </w:tcPr>
          <w:p w14:paraId="25FF7800"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7.8</w:t>
            </w:r>
          </w:p>
        </w:tc>
        <w:tc>
          <w:tcPr>
            <w:tcW w:w="222" w:type="dxa"/>
            <w:tcBorders>
              <w:top w:val="nil"/>
              <w:left w:val="nil"/>
              <w:bottom w:val="nil"/>
              <w:right w:val="nil"/>
            </w:tcBorders>
            <w:shd w:val="clear" w:color="auto" w:fill="auto"/>
            <w:noWrap/>
            <w:vAlign w:val="bottom"/>
            <w:hideMark/>
          </w:tcPr>
          <w:p w14:paraId="54AB615B"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6AE99276"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4162A9BD"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West of England</w:t>
            </w:r>
          </w:p>
        </w:tc>
        <w:tc>
          <w:tcPr>
            <w:tcW w:w="1975" w:type="dxa"/>
            <w:tcBorders>
              <w:top w:val="nil"/>
              <w:left w:val="nil"/>
              <w:bottom w:val="single" w:sz="8" w:space="0" w:color="FFFFFF"/>
              <w:right w:val="single" w:sz="8" w:space="0" w:color="FFFFFF"/>
            </w:tcBorders>
            <w:shd w:val="clear" w:color="000000" w:fill="EFEAE6"/>
            <w:noWrap/>
            <w:vAlign w:val="bottom"/>
            <w:hideMark/>
          </w:tcPr>
          <w:p w14:paraId="01168032"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Malaysia</w:t>
            </w:r>
          </w:p>
        </w:tc>
        <w:tc>
          <w:tcPr>
            <w:tcW w:w="1330" w:type="dxa"/>
            <w:tcBorders>
              <w:top w:val="nil"/>
              <w:left w:val="nil"/>
              <w:bottom w:val="single" w:sz="8" w:space="0" w:color="FFFFFF"/>
              <w:right w:val="single" w:sz="8" w:space="0" w:color="FFFFFF"/>
            </w:tcBorders>
            <w:shd w:val="clear" w:color="000000" w:fill="EFEAE6"/>
            <w:noWrap/>
            <w:vAlign w:val="bottom"/>
            <w:hideMark/>
          </w:tcPr>
          <w:p w14:paraId="5740AB0C"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3457</w:t>
            </w:r>
          </w:p>
        </w:tc>
        <w:tc>
          <w:tcPr>
            <w:tcW w:w="1464" w:type="dxa"/>
            <w:tcBorders>
              <w:top w:val="nil"/>
              <w:left w:val="nil"/>
              <w:bottom w:val="single" w:sz="8" w:space="0" w:color="FFFFFF"/>
              <w:right w:val="single" w:sz="8" w:space="0" w:color="FFFFFF"/>
            </w:tcBorders>
            <w:shd w:val="clear" w:color="000000" w:fill="EFEAE6"/>
            <w:noWrap/>
            <w:vAlign w:val="bottom"/>
            <w:hideMark/>
          </w:tcPr>
          <w:p w14:paraId="66EEBDA1"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518</w:t>
            </w:r>
          </w:p>
        </w:tc>
        <w:tc>
          <w:tcPr>
            <w:tcW w:w="1927" w:type="dxa"/>
            <w:tcBorders>
              <w:top w:val="nil"/>
              <w:left w:val="nil"/>
              <w:bottom w:val="single" w:sz="8" w:space="0" w:color="FFFFFF"/>
              <w:right w:val="single" w:sz="8" w:space="0" w:color="FFFFFF"/>
            </w:tcBorders>
            <w:shd w:val="clear" w:color="000000" w:fill="EFEAE6"/>
            <w:noWrap/>
            <w:vAlign w:val="bottom"/>
            <w:hideMark/>
          </w:tcPr>
          <w:p w14:paraId="6FEDBFB9"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15</w:t>
            </w:r>
          </w:p>
        </w:tc>
        <w:tc>
          <w:tcPr>
            <w:tcW w:w="222" w:type="dxa"/>
            <w:tcBorders>
              <w:top w:val="nil"/>
              <w:left w:val="nil"/>
              <w:bottom w:val="nil"/>
              <w:right w:val="nil"/>
            </w:tcBorders>
            <w:shd w:val="clear" w:color="auto" w:fill="auto"/>
            <w:noWrap/>
            <w:vAlign w:val="bottom"/>
            <w:hideMark/>
          </w:tcPr>
          <w:p w14:paraId="0EE10E2D"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073459CD"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1DA4A8F6"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Westminster</w:t>
            </w:r>
          </w:p>
        </w:tc>
        <w:tc>
          <w:tcPr>
            <w:tcW w:w="1975" w:type="dxa"/>
            <w:tcBorders>
              <w:top w:val="nil"/>
              <w:left w:val="nil"/>
              <w:bottom w:val="single" w:sz="8" w:space="0" w:color="FFFFFF"/>
              <w:right w:val="single" w:sz="8" w:space="0" w:color="FFFFFF"/>
            </w:tcBorders>
            <w:shd w:val="clear" w:color="000000" w:fill="EFEAE6"/>
            <w:noWrap/>
            <w:vAlign w:val="bottom"/>
            <w:hideMark/>
          </w:tcPr>
          <w:p w14:paraId="50F2B504"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Uzbekistan</w:t>
            </w:r>
          </w:p>
        </w:tc>
        <w:tc>
          <w:tcPr>
            <w:tcW w:w="1330" w:type="dxa"/>
            <w:tcBorders>
              <w:top w:val="nil"/>
              <w:left w:val="nil"/>
              <w:bottom w:val="single" w:sz="8" w:space="0" w:color="FFFFFF"/>
              <w:right w:val="single" w:sz="8" w:space="0" w:color="FFFFFF"/>
            </w:tcBorders>
            <w:shd w:val="clear" w:color="000000" w:fill="EFEAE6"/>
            <w:noWrap/>
            <w:vAlign w:val="bottom"/>
            <w:hideMark/>
          </w:tcPr>
          <w:p w14:paraId="0A173785"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2515</w:t>
            </w:r>
          </w:p>
        </w:tc>
        <w:tc>
          <w:tcPr>
            <w:tcW w:w="1464" w:type="dxa"/>
            <w:tcBorders>
              <w:top w:val="nil"/>
              <w:left w:val="nil"/>
              <w:bottom w:val="single" w:sz="8" w:space="0" w:color="FFFFFF"/>
              <w:right w:val="single" w:sz="8" w:space="0" w:color="FFFFFF"/>
            </w:tcBorders>
            <w:shd w:val="clear" w:color="000000" w:fill="EFEAE6"/>
            <w:noWrap/>
            <w:vAlign w:val="bottom"/>
            <w:hideMark/>
          </w:tcPr>
          <w:p w14:paraId="37B98D5C"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6</w:t>
            </w:r>
          </w:p>
        </w:tc>
        <w:tc>
          <w:tcPr>
            <w:tcW w:w="1927" w:type="dxa"/>
            <w:tcBorders>
              <w:top w:val="nil"/>
              <w:left w:val="nil"/>
              <w:bottom w:val="single" w:sz="8" w:space="0" w:color="FFFFFF"/>
              <w:right w:val="single" w:sz="8" w:space="0" w:color="FFFFFF"/>
            </w:tcBorders>
            <w:shd w:val="clear" w:color="000000" w:fill="EFEAE6"/>
            <w:noWrap/>
            <w:vAlign w:val="bottom"/>
            <w:hideMark/>
          </w:tcPr>
          <w:p w14:paraId="6470C40F"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0.2</w:t>
            </w:r>
          </w:p>
        </w:tc>
        <w:tc>
          <w:tcPr>
            <w:tcW w:w="222" w:type="dxa"/>
            <w:tcBorders>
              <w:top w:val="nil"/>
              <w:left w:val="nil"/>
              <w:bottom w:val="nil"/>
              <w:right w:val="nil"/>
            </w:tcBorders>
            <w:shd w:val="clear" w:color="auto" w:fill="auto"/>
            <w:noWrap/>
            <w:vAlign w:val="bottom"/>
            <w:hideMark/>
          </w:tcPr>
          <w:p w14:paraId="551E51C8"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11CFABD6"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7E65AF69"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 xml:space="preserve">Cardiff Metropolitan </w:t>
            </w:r>
          </w:p>
        </w:tc>
        <w:tc>
          <w:tcPr>
            <w:tcW w:w="1975" w:type="dxa"/>
            <w:tcBorders>
              <w:top w:val="nil"/>
              <w:left w:val="nil"/>
              <w:bottom w:val="single" w:sz="8" w:space="0" w:color="FFFFFF"/>
              <w:right w:val="single" w:sz="8" w:space="0" w:color="FFFFFF"/>
            </w:tcBorders>
            <w:shd w:val="clear" w:color="000000" w:fill="EFEAE6"/>
            <w:noWrap/>
            <w:vAlign w:val="bottom"/>
            <w:hideMark/>
          </w:tcPr>
          <w:p w14:paraId="1E075A37"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Oman</w:t>
            </w:r>
          </w:p>
        </w:tc>
        <w:tc>
          <w:tcPr>
            <w:tcW w:w="1330" w:type="dxa"/>
            <w:tcBorders>
              <w:top w:val="nil"/>
              <w:left w:val="nil"/>
              <w:bottom w:val="single" w:sz="8" w:space="0" w:color="FFFFFF"/>
              <w:right w:val="single" w:sz="8" w:space="0" w:color="FFFFFF"/>
            </w:tcBorders>
            <w:shd w:val="clear" w:color="000000" w:fill="EFEAE6"/>
            <w:noWrap/>
            <w:vAlign w:val="bottom"/>
            <w:hideMark/>
          </w:tcPr>
          <w:p w14:paraId="1B1CA841"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4005</w:t>
            </w:r>
          </w:p>
        </w:tc>
        <w:tc>
          <w:tcPr>
            <w:tcW w:w="1464" w:type="dxa"/>
            <w:tcBorders>
              <w:top w:val="nil"/>
              <w:left w:val="nil"/>
              <w:bottom w:val="single" w:sz="8" w:space="0" w:color="FFFFFF"/>
              <w:right w:val="single" w:sz="8" w:space="0" w:color="FFFFFF"/>
            </w:tcBorders>
            <w:shd w:val="clear" w:color="000000" w:fill="EFEAE6"/>
            <w:noWrap/>
            <w:vAlign w:val="bottom"/>
            <w:hideMark/>
          </w:tcPr>
          <w:p w14:paraId="356F88E6"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13</w:t>
            </w:r>
          </w:p>
        </w:tc>
        <w:tc>
          <w:tcPr>
            <w:tcW w:w="1927" w:type="dxa"/>
            <w:tcBorders>
              <w:top w:val="nil"/>
              <w:left w:val="nil"/>
              <w:bottom w:val="single" w:sz="8" w:space="0" w:color="FFFFFF"/>
              <w:right w:val="single" w:sz="8" w:space="0" w:color="FFFFFF"/>
            </w:tcBorders>
            <w:shd w:val="clear" w:color="000000" w:fill="EFEAE6"/>
            <w:noWrap/>
            <w:vAlign w:val="bottom"/>
            <w:hideMark/>
          </w:tcPr>
          <w:p w14:paraId="12E3BDBE"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0.3</w:t>
            </w:r>
          </w:p>
        </w:tc>
        <w:tc>
          <w:tcPr>
            <w:tcW w:w="222" w:type="dxa"/>
            <w:tcBorders>
              <w:top w:val="nil"/>
              <w:left w:val="nil"/>
              <w:bottom w:val="nil"/>
              <w:right w:val="nil"/>
            </w:tcBorders>
            <w:shd w:val="clear" w:color="auto" w:fill="auto"/>
            <w:noWrap/>
            <w:vAlign w:val="bottom"/>
            <w:hideMark/>
          </w:tcPr>
          <w:p w14:paraId="45F2E1DD"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3D472691"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66FFEE55"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Abertay Dundee</w:t>
            </w:r>
          </w:p>
        </w:tc>
        <w:tc>
          <w:tcPr>
            <w:tcW w:w="1975" w:type="dxa"/>
            <w:tcBorders>
              <w:top w:val="nil"/>
              <w:left w:val="nil"/>
              <w:bottom w:val="single" w:sz="8" w:space="0" w:color="FFFFFF"/>
              <w:right w:val="single" w:sz="8" w:space="0" w:color="FFFFFF"/>
            </w:tcBorders>
            <w:shd w:val="clear" w:color="000000" w:fill="EFEAE6"/>
            <w:noWrap/>
            <w:vAlign w:val="bottom"/>
            <w:hideMark/>
          </w:tcPr>
          <w:p w14:paraId="03671890"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Malaysia</w:t>
            </w:r>
          </w:p>
        </w:tc>
        <w:tc>
          <w:tcPr>
            <w:tcW w:w="1330" w:type="dxa"/>
            <w:tcBorders>
              <w:top w:val="nil"/>
              <w:left w:val="nil"/>
              <w:bottom w:val="single" w:sz="8" w:space="0" w:color="FFFFFF"/>
              <w:right w:val="single" w:sz="8" w:space="0" w:color="FFFFFF"/>
            </w:tcBorders>
            <w:shd w:val="clear" w:color="000000" w:fill="EFEAE6"/>
            <w:noWrap/>
            <w:vAlign w:val="bottom"/>
            <w:hideMark/>
          </w:tcPr>
          <w:p w14:paraId="2525EC16"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1888</w:t>
            </w:r>
          </w:p>
        </w:tc>
        <w:tc>
          <w:tcPr>
            <w:tcW w:w="1464" w:type="dxa"/>
            <w:tcBorders>
              <w:top w:val="nil"/>
              <w:left w:val="nil"/>
              <w:bottom w:val="single" w:sz="8" w:space="0" w:color="FFFFFF"/>
              <w:right w:val="single" w:sz="8" w:space="0" w:color="FFFFFF"/>
            </w:tcBorders>
            <w:shd w:val="clear" w:color="000000" w:fill="EFEAE6"/>
            <w:noWrap/>
            <w:vAlign w:val="bottom"/>
            <w:hideMark/>
          </w:tcPr>
          <w:p w14:paraId="3ADEBC11"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2</w:t>
            </w:r>
          </w:p>
        </w:tc>
        <w:tc>
          <w:tcPr>
            <w:tcW w:w="1927" w:type="dxa"/>
            <w:tcBorders>
              <w:top w:val="nil"/>
              <w:left w:val="nil"/>
              <w:bottom w:val="single" w:sz="8" w:space="0" w:color="FFFFFF"/>
              <w:right w:val="single" w:sz="8" w:space="0" w:color="FFFFFF"/>
            </w:tcBorders>
            <w:shd w:val="clear" w:color="000000" w:fill="EFEAE6"/>
            <w:noWrap/>
            <w:vAlign w:val="bottom"/>
            <w:hideMark/>
          </w:tcPr>
          <w:p w14:paraId="0DE1BB3C"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0.1</w:t>
            </w:r>
          </w:p>
        </w:tc>
        <w:tc>
          <w:tcPr>
            <w:tcW w:w="222" w:type="dxa"/>
            <w:tcBorders>
              <w:top w:val="nil"/>
              <w:left w:val="nil"/>
              <w:bottom w:val="nil"/>
              <w:right w:val="nil"/>
            </w:tcBorders>
            <w:shd w:val="clear" w:color="auto" w:fill="auto"/>
            <w:noWrap/>
            <w:vAlign w:val="bottom"/>
            <w:hideMark/>
          </w:tcPr>
          <w:p w14:paraId="27D8A538"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4C0D8DD8"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6D9F5E9E"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 xml:space="preserve">Edinburgh Napier </w:t>
            </w:r>
          </w:p>
        </w:tc>
        <w:tc>
          <w:tcPr>
            <w:tcW w:w="1975" w:type="dxa"/>
            <w:tcBorders>
              <w:top w:val="nil"/>
              <w:left w:val="nil"/>
              <w:bottom w:val="single" w:sz="8" w:space="0" w:color="FFFFFF"/>
              <w:right w:val="single" w:sz="8" w:space="0" w:color="FFFFFF"/>
            </w:tcBorders>
            <w:shd w:val="clear" w:color="000000" w:fill="EFEAE6"/>
            <w:noWrap/>
            <w:vAlign w:val="bottom"/>
            <w:hideMark/>
          </w:tcPr>
          <w:p w14:paraId="15FDBA5A"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Hong Kong</w:t>
            </w:r>
          </w:p>
        </w:tc>
        <w:tc>
          <w:tcPr>
            <w:tcW w:w="1330" w:type="dxa"/>
            <w:tcBorders>
              <w:top w:val="nil"/>
              <w:left w:val="nil"/>
              <w:bottom w:val="single" w:sz="8" w:space="0" w:color="FFFFFF"/>
              <w:right w:val="single" w:sz="8" w:space="0" w:color="FFFFFF"/>
            </w:tcBorders>
            <w:shd w:val="clear" w:color="000000" w:fill="EFEAE6"/>
            <w:noWrap/>
            <w:vAlign w:val="bottom"/>
            <w:hideMark/>
          </w:tcPr>
          <w:p w14:paraId="41E2D85A"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3243</w:t>
            </w:r>
          </w:p>
        </w:tc>
        <w:tc>
          <w:tcPr>
            <w:tcW w:w="1464" w:type="dxa"/>
            <w:tcBorders>
              <w:top w:val="nil"/>
              <w:left w:val="nil"/>
              <w:bottom w:val="single" w:sz="8" w:space="0" w:color="FFFFFF"/>
              <w:right w:val="single" w:sz="8" w:space="0" w:color="FFFFFF"/>
            </w:tcBorders>
            <w:shd w:val="clear" w:color="000000" w:fill="EFEAE6"/>
            <w:noWrap/>
            <w:vAlign w:val="bottom"/>
            <w:hideMark/>
          </w:tcPr>
          <w:p w14:paraId="3692BD60"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24</w:t>
            </w:r>
          </w:p>
        </w:tc>
        <w:tc>
          <w:tcPr>
            <w:tcW w:w="1927" w:type="dxa"/>
            <w:tcBorders>
              <w:top w:val="nil"/>
              <w:left w:val="nil"/>
              <w:bottom w:val="single" w:sz="8" w:space="0" w:color="FFFFFF"/>
              <w:right w:val="single" w:sz="8" w:space="0" w:color="FFFFFF"/>
            </w:tcBorders>
            <w:shd w:val="clear" w:color="000000" w:fill="EFEAE6"/>
            <w:noWrap/>
            <w:vAlign w:val="bottom"/>
            <w:hideMark/>
          </w:tcPr>
          <w:p w14:paraId="3677ED0F"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0.7</w:t>
            </w:r>
          </w:p>
        </w:tc>
        <w:tc>
          <w:tcPr>
            <w:tcW w:w="222" w:type="dxa"/>
            <w:tcBorders>
              <w:top w:val="nil"/>
              <w:left w:val="nil"/>
              <w:bottom w:val="nil"/>
              <w:right w:val="nil"/>
            </w:tcBorders>
            <w:shd w:val="clear" w:color="auto" w:fill="auto"/>
            <w:noWrap/>
            <w:vAlign w:val="bottom"/>
            <w:hideMark/>
          </w:tcPr>
          <w:p w14:paraId="31CE227B"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184F6DA0"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3F07640C"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 xml:space="preserve">Glasgow Caledonian </w:t>
            </w:r>
          </w:p>
        </w:tc>
        <w:tc>
          <w:tcPr>
            <w:tcW w:w="1975" w:type="dxa"/>
            <w:tcBorders>
              <w:top w:val="nil"/>
              <w:left w:val="nil"/>
              <w:bottom w:val="single" w:sz="8" w:space="0" w:color="FFFFFF"/>
              <w:right w:val="single" w:sz="8" w:space="0" w:color="FFFFFF"/>
            </w:tcBorders>
            <w:shd w:val="clear" w:color="000000" w:fill="EFEAE6"/>
            <w:noWrap/>
            <w:vAlign w:val="bottom"/>
            <w:hideMark/>
          </w:tcPr>
          <w:p w14:paraId="1995EC44"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Oman</w:t>
            </w:r>
          </w:p>
        </w:tc>
        <w:tc>
          <w:tcPr>
            <w:tcW w:w="1330" w:type="dxa"/>
            <w:tcBorders>
              <w:top w:val="nil"/>
              <w:left w:val="nil"/>
              <w:bottom w:val="single" w:sz="8" w:space="0" w:color="FFFFFF"/>
              <w:right w:val="single" w:sz="8" w:space="0" w:color="FFFFFF"/>
            </w:tcBorders>
            <w:shd w:val="clear" w:color="000000" w:fill="EFEAE6"/>
            <w:noWrap/>
            <w:vAlign w:val="bottom"/>
            <w:hideMark/>
          </w:tcPr>
          <w:p w14:paraId="2795A041"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3251</w:t>
            </w:r>
          </w:p>
        </w:tc>
        <w:tc>
          <w:tcPr>
            <w:tcW w:w="1464" w:type="dxa"/>
            <w:tcBorders>
              <w:top w:val="nil"/>
              <w:left w:val="nil"/>
              <w:bottom w:val="single" w:sz="8" w:space="0" w:color="FFFFFF"/>
              <w:right w:val="single" w:sz="8" w:space="0" w:color="FFFFFF"/>
            </w:tcBorders>
            <w:shd w:val="clear" w:color="000000" w:fill="EFEAE6"/>
            <w:noWrap/>
            <w:vAlign w:val="bottom"/>
            <w:hideMark/>
          </w:tcPr>
          <w:p w14:paraId="3231B641"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26</w:t>
            </w:r>
          </w:p>
        </w:tc>
        <w:tc>
          <w:tcPr>
            <w:tcW w:w="1927" w:type="dxa"/>
            <w:tcBorders>
              <w:top w:val="nil"/>
              <w:left w:val="nil"/>
              <w:bottom w:val="single" w:sz="8" w:space="0" w:color="FFFFFF"/>
              <w:right w:val="single" w:sz="8" w:space="0" w:color="FFFFFF"/>
            </w:tcBorders>
            <w:shd w:val="clear" w:color="000000" w:fill="EFEAE6"/>
            <w:noWrap/>
            <w:vAlign w:val="bottom"/>
            <w:hideMark/>
          </w:tcPr>
          <w:p w14:paraId="3829B0E2"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0.8</w:t>
            </w:r>
          </w:p>
        </w:tc>
        <w:tc>
          <w:tcPr>
            <w:tcW w:w="222" w:type="dxa"/>
            <w:tcBorders>
              <w:top w:val="nil"/>
              <w:left w:val="nil"/>
              <w:bottom w:val="nil"/>
              <w:right w:val="nil"/>
            </w:tcBorders>
            <w:shd w:val="clear" w:color="auto" w:fill="auto"/>
            <w:noWrap/>
            <w:vAlign w:val="bottom"/>
            <w:hideMark/>
          </w:tcPr>
          <w:p w14:paraId="32739CB4" w14:textId="77777777" w:rsidR="00E51B3B" w:rsidRPr="001440E4" w:rsidRDefault="00E51B3B" w:rsidP="00452D9F">
            <w:pPr>
              <w:spacing w:after="0" w:line="240" w:lineRule="auto"/>
              <w:rPr>
                <w:rFonts w:ascii="Calibri" w:eastAsia="Times New Roman" w:hAnsi="Calibri" w:cs="Calibri"/>
                <w:color w:val="000000"/>
                <w:lang w:eastAsia="en-GB"/>
              </w:rPr>
            </w:pPr>
          </w:p>
        </w:tc>
      </w:tr>
      <w:tr w:rsidR="00E51B3B" w:rsidRPr="001440E4" w14:paraId="0D216586" w14:textId="77777777" w:rsidTr="00452D9F">
        <w:trPr>
          <w:trHeight w:val="315"/>
        </w:trPr>
        <w:tc>
          <w:tcPr>
            <w:tcW w:w="1895" w:type="dxa"/>
            <w:tcBorders>
              <w:top w:val="nil"/>
              <w:left w:val="single" w:sz="8" w:space="0" w:color="FFFFFF"/>
              <w:bottom w:val="single" w:sz="8" w:space="0" w:color="FFFFFF"/>
              <w:right w:val="single" w:sz="8" w:space="0" w:color="FFFFFF"/>
            </w:tcBorders>
            <w:shd w:val="clear" w:color="000000" w:fill="EFEAE6"/>
            <w:noWrap/>
            <w:vAlign w:val="bottom"/>
            <w:hideMark/>
          </w:tcPr>
          <w:p w14:paraId="3A2D4A7F"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 xml:space="preserve">Heriot-Watt </w:t>
            </w:r>
          </w:p>
        </w:tc>
        <w:tc>
          <w:tcPr>
            <w:tcW w:w="1975" w:type="dxa"/>
            <w:tcBorders>
              <w:top w:val="nil"/>
              <w:left w:val="nil"/>
              <w:bottom w:val="single" w:sz="8" w:space="0" w:color="FFFFFF"/>
              <w:right w:val="single" w:sz="8" w:space="0" w:color="FFFFFF"/>
            </w:tcBorders>
            <w:shd w:val="clear" w:color="000000" w:fill="EFEAE6"/>
            <w:noWrap/>
            <w:vAlign w:val="bottom"/>
            <w:hideMark/>
          </w:tcPr>
          <w:p w14:paraId="768FCCE4"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UAE</w:t>
            </w:r>
          </w:p>
        </w:tc>
        <w:tc>
          <w:tcPr>
            <w:tcW w:w="1330" w:type="dxa"/>
            <w:tcBorders>
              <w:top w:val="nil"/>
              <w:left w:val="nil"/>
              <w:bottom w:val="single" w:sz="8" w:space="0" w:color="FFFFFF"/>
              <w:right w:val="single" w:sz="8" w:space="0" w:color="FFFFFF"/>
            </w:tcBorders>
            <w:shd w:val="clear" w:color="000000" w:fill="EFEAE6"/>
            <w:noWrap/>
            <w:vAlign w:val="bottom"/>
            <w:hideMark/>
          </w:tcPr>
          <w:p w14:paraId="05B4301B"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3969</w:t>
            </w:r>
          </w:p>
        </w:tc>
        <w:tc>
          <w:tcPr>
            <w:tcW w:w="1464" w:type="dxa"/>
            <w:tcBorders>
              <w:top w:val="nil"/>
              <w:left w:val="nil"/>
              <w:bottom w:val="single" w:sz="8" w:space="0" w:color="FFFFFF"/>
              <w:right w:val="single" w:sz="8" w:space="0" w:color="FFFFFF"/>
            </w:tcBorders>
            <w:shd w:val="clear" w:color="000000" w:fill="EFEAE6"/>
            <w:noWrap/>
            <w:vAlign w:val="bottom"/>
            <w:hideMark/>
          </w:tcPr>
          <w:p w14:paraId="6CA63739"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84</w:t>
            </w:r>
          </w:p>
        </w:tc>
        <w:tc>
          <w:tcPr>
            <w:tcW w:w="1927" w:type="dxa"/>
            <w:tcBorders>
              <w:top w:val="nil"/>
              <w:left w:val="nil"/>
              <w:bottom w:val="single" w:sz="8" w:space="0" w:color="FFFFFF"/>
              <w:right w:val="single" w:sz="8" w:space="0" w:color="FFFFFF"/>
            </w:tcBorders>
            <w:shd w:val="clear" w:color="000000" w:fill="EFEAE6"/>
            <w:noWrap/>
            <w:vAlign w:val="bottom"/>
            <w:hideMark/>
          </w:tcPr>
          <w:p w14:paraId="3FA1877C" w14:textId="77777777" w:rsidR="00E51B3B" w:rsidRPr="001440E4" w:rsidRDefault="00E51B3B" w:rsidP="00452D9F">
            <w:pPr>
              <w:spacing w:after="0" w:line="240" w:lineRule="auto"/>
              <w:jc w:val="center"/>
              <w:rPr>
                <w:rFonts w:ascii="Calibri" w:eastAsia="Times New Roman" w:hAnsi="Calibri" w:cs="Calibri"/>
                <w:color w:val="000000"/>
                <w:lang w:eastAsia="en-GB"/>
              </w:rPr>
            </w:pPr>
            <w:r w:rsidRPr="001440E4">
              <w:rPr>
                <w:rFonts w:ascii="Calibri" w:eastAsia="Times New Roman" w:hAnsi="Calibri" w:cs="Calibri"/>
                <w:color w:val="000000"/>
                <w:lang w:eastAsia="en-GB"/>
              </w:rPr>
              <w:t>2.1</w:t>
            </w:r>
          </w:p>
        </w:tc>
        <w:tc>
          <w:tcPr>
            <w:tcW w:w="222" w:type="dxa"/>
            <w:tcBorders>
              <w:top w:val="nil"/>
              <w:left w:val="nil"/>
              <w:bottom w:val="nil"/>
              <w:right w:val="nil"/>
            </w:tcBorders>
            <w:shd w:val="clear" w:color="auto" w:fill="auto"/>
            <w:noWrap/>
            <w:vAlign w:val="bottom"/>
            <w:hideMark/>
          </w:tcPr>
          <w:p w14:paraId="32D76A9A" w14:textId="77777777" w:rsidR="00E51B3B" w:rsidRPr="001440E4" w:rsidRDefault="00E51B3B" w:rsidP="00452D9F">
            <w:pPr>
              <w:spacing w:after="0" w:line="240" w:lineRule="auto"/>
              <w:rPr>
                <w:rFonts w:ascii="Calibri" w:eastAsia="Times New Roman" w:hAnsi="Calibri" w:cs="Calibri"/>
                <w:color w:val="000000"/>
                <w:lang w:eastAsia="en-GB"/>
              </w:rPr>
            </w:pPr>
          </w:p>
        </w:tc>
      </w:tr>
    </w:tbl>
    <w:p w14:paraId="55407568" w14:textId="77777777" w:rsidR="00E51B3B" w:rsidRDefault="00E51B3B" w:rsidP="00E51B3B">
      <w:pPr>
        <w:jc w:val="both"/>
        <w:rPr>
          <w:rFonts w:cstheme="minorHAnsi"/>
          <w:b/>
          <w:sz w:val="32"/>
          <w:szCs w:val="32"/>
        </w:rPr>
      </w:pPr>
    </w:p>
    <w:p w14:paraId="539AADB8" w14:textId="77777777" w:rsidR="00260DBC" w:rsidRPr="007E1312" w:rsidRDefault="00260DBC" w:rsidP="009A1611">
      <w:pPr>
        <w:jc w:val="both"/>
        <w:rPr>
          <w:sz w:val="28"/>
          <w:szCs w:val="28"/>
        </w:rPr>
      </w:pPr>
    </w:p>
    <w:sectPr w:rsidR="00260DBC" w:rsidRPr="007E13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C19D5" w14:textId="77777777" w:rsidR="00C46542" w:rsidRDefault="00C46542" w:rsidP="00220005">
      <w:pPr>
        <w:spacing w:after="0" w:line="240" w:lineRule="auto"/>
      </w:pPr>
      <w:r>
        <w:separator/>
      </w:r>
    </w:p>
  </w:endnote>
  <w:endnote w:type="continuationSeparator" w:id="0">
    <w:p w14:paraId="105D7AA4" w14:textId="77777777" w:rsidR="00C46542" w:rsidRDefault="00C46542" w:rsidP="0022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055701"/>
      <w:docPartObj>
        <w:docPartGallery w:val="Page Numbers (Bottom of Page)"/>
        <w:docPartUnique/>
      </w:docPartObj>
    </w:sdtPr>
    <w:sdtEndPr>
      <w:rPr>
        <w:noProof/>
      </w:rPr>
    </w:sdtEndPr>
    <w:sdtContent>
      <w:p w14:paraId="2FB21612" w14:textId="77777777" w:rsidR="00F95B5E" w:rsidRDefault="00F95B5E">
        <w:pPr>
          <w:pStyle w:val="Footer"/>
          <w:jc w:val="center"/>
        </w:pPr>
        <w:r>
          <w:fldChar w:fldCharType="begin"/>
        </w:r>
        <w:r>
          <w:instrText xml:space="preserve"> PAGE   \* MERGEFORMAT </w:instrText>
        </w:r>
        <w:r>
          <w:fldChar w:fldCharType="separate"/>
        </w:r>
        <w:r w:rsidR="00A52123">
          <w:rPr>
            <w:noProof/>
          </w:rPr>
          <w:t>1</w:t>
        </w:r>
        <w:r>
          <w:rPr>
            <w:noProof/>
          </w:rPr>
          <w:fldChar w:fldCharType="end"/>
        </w:r>
      </w:p>
    </w:sdtContent>
  </w:sdt>
  <w:p w14:paraId="5E057A1E" w14:textId="77777777" w:rsidR="00F95B5E" w:rsidRDefault="00F95B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06414"/>
      <w:docPartObj>
        <w:docPartGallery w:val="Page Numbers (Bottom of Page)"/>
        <w:docPartUnique/>
      </w:docPartObj>
    </w:sdtPr>
    <w:sdtEndPr>
      <w:rPr>
        <w:noProof/>
      </w:rPr>
    </w:sdtEndPr>
    <w:sdtContent>
      <w:p w14:paraId="022564D5" w14:textId="7FD2CF8F" w:rsidR="00F95B5E" w:rsidRDefault="00F95B5E">
        <w:pPr>
          <w:pStyle w:val="Footer"/>
          <w:jc w:val="center"/>
        </w:pPr>
        <w:r>
          <w:fldChar w:fldCharType="begin"/>
        </w:r>
        <w:r>
          <w:instrText xml:space="preserve"> PAGE   \* MERGEFORMAT </w:instrText>
        </w:r>
        <w:r>
          <w:fldChar w:fldCharType="separate"/>
        </w:r>
        <w:r w:rsidR="00A52123">
          <w:rPr>
            <w:noProof/>
          </w:rPr>
          <w:t>21</w:t>
        </w:r>
        <w:r>
          <w:rPr>
            <w:noProof/>
          </w:rPr>
          <w:fldChar w:fldCharType="end"/>
        </w:r>
      </w:p>
    </w:sdtContent>
  </w:sdt>
  <w:p w14:paraId="48CD6F8D" w14:textId="77777777" w:rsidR="00F95B5E" w:rsidRDefault="00F95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ADA0C" w14:textId="77777777" w:rsidR="00C46542" w:rsidRDefault="00C46542" w:rsidP="00220005">
      <w:pPr>
        <w:spacing w:after="0" w:line="240" w:lineRule="auto"/>
      </w:pPr>
      <w:r>
        <w:separator/>
      </w:r>
    </w:p>
  </w:footnote>
  <w:footnote w:type="continuationSeparator" w:id="0">
    <w:p w14:paraId="62CC8FE1" w14:textId="77777777" w:rsidR="00C46542" w:rsidRDefault="00C46542" w:rsidP="00220005">
      <w:pPr>
        <w:spacing w:after="0" w:line="240" w:lineRule="auto"/>
      </w:pPr>
      <w:r>
        <w:continuationSeparator/>
      </w:r>
    </w:p>
  </w:footnote>
  <w:footnote w:id="1">
    <w:p w14:paraId="28853E59" w14:textId="2369317C" w:rsidR="00F95B5E" w:rsidRDefault="00F95B5E">
      <w:pPr>
        <w:pStyle w:val="FootnoteText"/>
      </w:pPr>
      <w:r>
        <w:rPr>
          <w:rStyle w:val="FootnoteReference"/>
        </w:rPr>
        <w:footnoteRef/>
      </w:r>
      <w:r>
        <w:t xml:space="preserve"> HESA charges for this data and so it was only possible to purchase three years of onshore overseas student data.</w:t>
      </w:r>
    </w:p>
  </w:footnote>
  <w:footnote w:id="2">
    <w:p w14:paraId="1D91855D" w14:textId="68CA01F7" w:rsidR="00F95B5E" w:rsidRDefault="00F95B5E">
      <w:pPr>
        <w:pStyle w:val="FootnoteText"/>
      </w:pPr>
      <w:r>
        <w:rPr>
          <w:rStyle w:val="FootnoteReference"/>
        </w:rPr>
        <w:footnoteRef/>
      </w:r>
      <w:r>
        <w:t xml:space="preserve"> The ancient universities (Cambridge, Durham, Oxford, St. Andrews) date from prior to the industrial revolution. The redbrick universities (most notably Birmingham, Bristol, Leeds, London, Manchester, Nottingham, Sheffield) were mainly established in the major industrial cities during the mid-late nineteenth century. Plate-glass universities (such as Essex, Exeter, Lancaster, Sussex, York, Warwick) were established mainly in the early-mid 1960s in response to the Labour Government’s strategy to expand rapidly higher education. Most polytechnics and teacher training colleges were up-graded to university status in 1992. ,  </w:t>
      </w:r>
    </w:p>
  </w:footnote>
  <w:footnote w:id="3">
    <w:p w14:paraId="3B251872" w14:textId="77777777" w:rsidR="00F95B5E" w:rsidRDefault="00F95B5E" w:rsidP="005E1DD4">
      <w:pPr>
        <w:pStyle w:val="FootnoteText"/>
      </w:pPr>
      <w:r>
        <w:rPr>
          <w:rStyle w:val="FootnoteReference"/>
        </w:rPr>
        <w:footnoteRef/>
      </w:r>
      <w:r>
        <w:t xml:space="preserve"> The coefficient of determination (R-squared) value for this relationship was 0.0012.</w:t>
      </w:r>
    </w:p>
  </w:footnote>
  <w:footnote w:id="4">
    <w:p w14:paraId="354A0AD6" w14:textId="25C885A9" w:rsidR="00F95B5E" w:rsidRDefault="00F95B5E">
      <w:pPr>
        <w:pStyle w:val="FootnoteText"/>
      </w:pPr>
      <w:r>
        <w:rPr>
          <w:rStyle w:val="FootnoteReference"/>
        </w:rPr>
        <w:footnoteRef/>
      </w:r>
      <w:r>
        <w:t xml:space="preserve"> Average costs for undergraduate students are reported to be in the region of £6,000 at most universities.</w:t>
      </w:r>
    </w:p>
  </w:footnote>
  <w:footnote w:id="5">
    <w:p w14:paraId="3D167D7B" w14:textId="6454652F" w:rsidR="007541CF" w:rsidRDefault="007541CF">
      <w:pPr>
        <w:pStyle w:val="FootnoteText"/>
      </w:pPr>
      <w:r>
        <w:rPr>
          <w:rStyle w:val="FootnoteReference"/>
        </w:rPr>
        <w:footnoteRef/>
      </w:r>
      <w:r>
        <w:t xml:space="preserve"> Most also want to become higher education ‘regional hubs’ with the capacity to attract large numbers of overseas students in direct with the traditional recipient countries in Europe and North America.</w:t>
      </w:r>
    </w:p>
  </w:footnote>
  <w:footnote w:id="6">
    <w:p w14:paraId="6AED1AC0" w14:textId="1F399610" w:rsidR="00F95B5E" w:rsidRDefault="00F95B5E">
      <w:pPr>
        <w:pStyle w:val="FootnoteText"/>
      </w:pPr>
      <w:r>
        <w:rPr>
          <w:rStyle w:val="FootnoteReference"/>
        </w:rPr>
        <w:footnoteRef/>
      </w:r>
      <w:r>
        <w:t xml:space="preserve"> Central Lancashire (601), De Montford (502), Greenwich (521), Heriot Watt 714), Hull (714), Plymouth (699), and Strathclyde (587).  </w:t>
      </w:r>
    </w:p>
  </w:footnote>
  <w:footnote w:id="7">
    <w:p w14:paraId="57EEF363" w14:textId="2CE349F2" w:rsidR="00F95B5E" w:rsidRDefault="00F95B5E">
      <w:pPr>
        <w:pStyle w:val="FootnoteText"/>
      </w:pPr>
      <w:r>
        <w:rPr>
          <w:rStyle w:val="FootnoteReference"/>
        </w:rPr>
        <w:footnoteRef/>
      </w:r>
      <w:r>
        <w:t xml:space="preserve"> There were 1,054 articulation students from China in 2011/12 and 2,770 in 2014/15.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2E76"/>
    <w:multiLevelType w:val="hybridMultilevel"/>
    <w:tmpl w:val="3884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40C89"/>
    <w:multiLevelType w:val="multilevel"/>
    <w:tmpl w:val="6494F98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033097B"/>
    <w:multiLevelType w:val="hybridMultilevel"/>
    <w:tmpl w:val="9208E1E0"/>
    <w:lvl w:ilvl="0" w:tplc="D0A27BD8">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A03435"/>
    <w:multiLevelType w:val="hybridMultilevel"/>
    <w:tmpl w:val="5B08B4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2360F0"/>
    <w:multiLevelType w:val="hybridMultilevel"/>
    <w:tmpl w:val="DC4A8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B658EF"/>
    <w:multiLevelType w:val="hybridMultilevel"/>
    <w:tmpl w:val="D5DCDA50"/>
    <w:lvl w:ilvl="0" w:tplc="5994D988">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B445787"/>
    <w:multiLevelType w:val="multilevel"/>
    <w:tmpl w:val="2AA435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0F2725"/>
    <w:multiLevelType w:val="multilevel"/>
    <w:tmpl w:val="C614952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47CC0F5B"/>
    <w:multiLevelType w:val="multilevel"/>
    <w:tmpl w:val="9362C3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9D82DDD"/>
    <w:multiLevelType w:val="multilevel"/>
    <w:tmpl w:val="609CDC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B6704B4"/>
    <w:multiLevelType w:val="hybridMultilevel"/>
    <w:tmpl w:val="34563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45184"/>
    <w:multiLevelType w:val="multilevel"/>
    <w:tmpl w:val="82A8C55C"/>
    <w:lvl w:ilvl="0">
      <w:start w:val="3"/>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EC5347D"/>
    <w:multiLevelType w:val="multilevel"/>
    <w:tmpl w:val="94EE0C5A"/>
    <w:lvl w:ilvl="0">
      <w:start w:val="3"/>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14513F4"/>
    <w:multiLevelType w:val="multilevel"/>
    <w:tmpl w:val="70EED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63E4E87"/>
    <w:multiLevelType w:val="hybridMultilevel"/>
    <w:tmpl w:val="F8CE9C3E"/>
    <w:lvl w:ilvl="0" w:tplc="BD001AF2">
      <w:start w:val="3"/>
      <w:numFmt w:val="decimal"/>
      <w:lvlText w:val="%1."/>
      <w:lvlJc w:val="left"/>
      <w:pPr>
        <w:ind w:left="720" w:hanging="360"/>
      </w:pPr>
      <w:rPr>
        <w:rFonts w:hint="default"/>
        <w:b/>
        <w:sz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1442A5"/>
    <w:multiLevelType w:val="multilevel"/>
    <w:tmpl w:val="035C37EC"/>
    <w:lvl w:ilvl="0">
      <w:start w:val="3"/>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16" w15:restartNumberingAfterBreak="0">
    <w:nsid w:val="6E9A5B67"/>
    <w:multiLevelType w:val="multilevel"/>
    <w:tmpl w:val="B0E01078"/>
    <w:lvl w:ilvl="0">
      <w:start w:val="5"/>
      <w:numFmt w:val="decimal"/>
      <w:lvlText w:val="%1."/>
      <w:lvlJc w:val="left"/>
      <w:pPr>
        <w:ind w:left="720" w:hanging="360"/>
      </w:pPr>
      <w:rPr>
        <w:rFonts w:hint="default"/>
        <w:b/>
        <w:sz w:val="3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F277E4C"/>
    <w:multiLevelType w:val="hybridMultilevel"/>
    <w:tmpl w:val="49B61FF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890099"/>
    <w:multiLevelType w:val="multilevel"/>
    <w:tmpl w:val="14DEFE3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0"/>
  </w:num>
  <w:num w:numId="3">
    <w:abstractNumId w:val="18"/>
  </w:num>
  <w:num w:numId="4">
    <w:abstractNumId w:val="2"/>
  </w:num>
  <w:num w:numId="5">
    <w:abstractNumId w:val="5"/>
  </w:num>
  <w:num w:numId="6">
    <w:abstractNumId w:val="11"/>
  </w:num>
  <w:num w:numId="7">
    <w:abstractNumId w:val="15"/>
  </w:num>
  <w:num w:numId="8">
    <w:abstractNumId w:val="14"/>
  </w:num>
  <w:num w:numId="9">
    <w:abstractNumId w:val="7"/>
  </w:num>
  <w:num w:numId="10">
    <w:abstractNumId w:val="4"/>
  </w:num>
  <w:num w:numId="11">
    <w:abstractNumId w:val="9"/>
  </w:num>
  <w:num w:numId="12">
    <w:abstractNumId w:val="13"/>
  </w:num>
  <w:num w:numId="13">
    <w:abstractNumId w:val="6"/>
  </w:num>
  <w:num w:numId="14">
    <w:abstractNumId w:val="12"/>
  </w:num>
  <w:num w:numId="15">
    <w:abstractNumId w:val="8"/>
  </w:num>
  <w:num w:numId="16">
    <w:abstractNumId w:val="17"/>
  </w:num>
  <w:num w:numId="17">
    <w:abstractNumId w:val="3"/>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05"/>
    <w:rsid w:val="00002DB2"/>
    <w:rsid w:val="000033D0"/>
    <w:rsid w:val="0001449E"/>
    <w:rsid w:val="0002268C"/>
    <w:rsid w:val="00030D0F"/>
    <w:rsid w:val="00035D02"/>
    <w:rsid w:val="000458FF"/>
    <w:rsid w:val="000524F8"/>
    <w:rsid w:val="00054F26"/>
    <w:rsid w:val="000608BB"/>
    <w:rsid w:val="00092BEE"/>
    <w:rsid w:val="000A31FC"/>
    <w:rsid w:val="000B4C50"/>
    <w:rsid w:val="000C7F08"/>
    <w:rsid w:val="000E41E9"/>
    <w:rsid w:val="000F0E31"/>
    <w:rsid w:val="000F347B"/>
    <w:rsid w:val="000F4DFD"/>
    <w:rsid w:val="00104099"/>
    <w:rsid w:val="00117817"/>
    <w:rsid w:val="00130DC1"/>
    <w:rsid w:val="00140984"/>
    <w:rsid w:val="00155093"/>
    <w:rsid w:val="00156332"/>
    <w:rsid w:val="00190EBF"/>
    <w:rsid w:val="001B3D85"/>
    <w:rsid w:val="001C5734"/>
    <w:rsid w:val="001C795E"/>
    <w:rsid w:val="001E62A3"/>
    <w:rsid w:val="00220005"/>
    <w:rsid w:val="002232F5"/>
    <w:rsid w:val="002244CC"/>
    <w:rsid w:val="0022710F"/>
    <w:rsid w:val="002358EA"/>
    <w:rsid w:val="00250A17"/>
    <w:rsid w:val="0025156F"/>
    <w:rsid w:val="00260DBC"/>
    <w:rsid w:val="00272545"/>
    <w:rsid w:val="0027301E"/>
    <w:rsid w:val="00277601"/>
    <w:rsid w:val="00285D82"/>
    <w:rsid w:val="00286EB8"/>
    <w:rsid w:val="00287509"/>
    <w:rsid w:val="0029080C"/>
    <w:rsid w:val="002B2EDD"/>
    <w:rsid w:val="002B55F2"/>
    <w:rsid w:val="002B7943"/>
    <w:rsid w:val="002D09A6"/>
    <w:rsid w:val="002D68DA"/>
    <w:rsid w:val="002E583E"/>
    <w:rsid w:val="002E769B"/>
    <w:rsid w:val="003044E8"/>
    <w:rsid w:val="0031077B"/>
    <w:rsid w:val="00347C96"/>
    <w:rsid w:val="003528B7"/>
    <w:rsid w:val="0036019A"/>
    <w:rsid w:val="00366A93"/>
    <w:rsid w:val="00375262"/>
    <w:rsid w:val="00377C38"/>
    <w:rsid w:val="00384ACB"/>
    <w:rsid w:val="003A23E3"/>
    <w:rsid w:val="003A4C2F"/>
    <w:rsid w:val="003B2F56"/>
    <w:rsid w:val="003F1803"/>
    <w:rsid w:val="004238DB"/>
    <w:rsid w:val="00427EA9"/>
    <w:rsid w:val="00432720"/>
    <w:rsid w:val="00452D9F"/>
    <w:rsid w:val="00484D17"/>
    <w:rsid w:val="0049724C"/>
    <w:rsid w:val="004B6495"/>
    <w:rsid w:val="004B7172"/>
    <w:rsid w:val="004C57CA"/>
    <w:rsid w:val="004D2E3B"/>
    <w:rsid w:val="004E7044"/>
    <w:rsid w:val="004F3E98"/>
    <w:rsid w:val="004F6AC2"/>
    <w:rsid w:val="00503870"/>
    <w:rsid w:val="00503CE9"/>
    <w:rsid w:val="00505BD6"/>
    <w:rsid w:val="00537065"/>
    <w:rsid w:val="0054439C"/>
    <w:rsid w:val="00546BCE"/>
    <w:rsid w:val="005532F5"/>
    <w:rsid w:val="00553FC9"/>
    <w:rsid w:val="005609DC"/>
    <w:rsid w:val="0056603A"/>
    <w:rsid w:val="005731A5"/>
    <w:rsid w:val="00577000"/>
    <w:rsid w:val="0058447A"/>
    <w:rsid w:val="00592DBF"/>
    <w:rsid w:val="005A0092"/>
    <w:rsid w:val="005A5627"/>
    <w:rsid w:val="005C4BF5"/>
    <w:rsid w:val="005C5AEB"/>
    <w:rsid w:val="005D2801"/>
    <w:rsid w:val="005D45CC"/>
    <w:rsid w:val="005E1DD4"/>
    <w:rsid w:val="005F21A8"/>
    <w:rsid w:val="005F25D0"/>
    <w:rsid w:val="005F7D42"/>
    <w:rsid w:val="006150FC"/>
    <w:rsid w:val="00627EC1"/>
    <w:rsid w:val="00655356"/>
    <w:rsid w:val="0065652E"/>
    <w:rsid w:val="0068077C"/>
    <w:rsid w:val="00693C98"/>
    <w:rsid w:val="006A336E"/>
    <w:rsid w:val="006A4703"/>
    <w:rsid w:val="006B0462"/>
    <w:rsid w:val="006B09CE"/>
    <w:rsid w:val="006B52B5"/>
    <w:rsid w:val="006C794C"/>
    <w:rsid w:val="00717C91"/>
    <w:rsid w:val="00734FCE"/>
    <w:rsid w:val="007541CF"/>
    <w:rsid w:val="00765E92"/>
    <w:rsid w:val="00775377"/>
    <w:rsid w:val="007911E2"/>
    <w:rsid w:val="007A5E22"/>
    <w:rsid w:val="007B2C6F"/>
    <w:rsid w:val="007C35EA"/>
    <w:rsid w:val="007D2C01"/>
    <w:rsid w:val="007E1312"/>
    <w:rsid w:val="00800452"/>
    <w:rsid w:val="008178CF"/>
    <w:rsid w:val="00837451"/>
    <w:rsid w:val="0089588F"/>
    <w:rsid w:val="008A0D31"/>
    <w:rsid w:val="008C49AE"/>
    <w:rsid w:val="008D1B59"/>
    <w:rsid w:val="00925294"/>
    <w:rsid w:val="00927EFE"/>
    <w:rsid w:val="0093169F"/>
    <w:rsid w:val="00943108"/>
    <w:rsid w:val="00975A97"/>
    <w:rsid w:val="00982931"/>
    <w:rsid w:val="00985AEF"/>
    <w:rsid w:val="0099464B"/>
    <w:rsid w:val="009A1611"/>
    <w:rsid w:val="009A70C8"/>
    <w:rsid w:val="009C4220"/>
    <w:rsid w:val="009C7C8A"/>
    <w:rsid w:val="009F42D3"/>
    <w:rsid w:val="00A2411E"/>
    <w:rsid w:val="00A479B1"/>
    <w:rsid w:val="00A52123"/>
    <w:rsid w:val="00A75961"/>
    <w:rsid w:val="00A82052"/>
    <w:rsid w:val="00AA0055"/>
    <w:rsid w:val="00AB4B64"/>
    <w:rsid w:val="00AB4E03"/>
    <w:rsid w:val="00AC2877"/>
    <w:rsid w:val="00AD5F6B"/>
    <w:rsid w:val="00B30EA6"/>
    <w:rsid w:val="00B43615"/>
    <w:rsid w:val="00B51DBD"/>
    <w:rsid w:val="00B75325"/>
    <w:rsid w:val="00B9124D"/>
    <w:rsid w:val="00B9135E"/>
    <w:rsid w:val="00B93EB1"/>
    <w:rsid w:val="00BA592E"/>
    <w:rsid w:val="00BA6ED2"/>
    <w:rsid w:val="00BE485E"/>
    <w:rsid w:val="00BF4CCC"/>
    <w:rsid w:val="00BF760E"/>
    <w:rsid w:val="00C04D80"/>
    <w:rsid w:val="00C31A86"/>
    <w:rsid w:val="00C46542"/>
    <w:rsid w:val="00C535A0"/>
    <w:rsid w:val="00CD36E6"/>
    <w:rsid w:val="00D04BA9"/>
    <w:rsid w:val="00D23127"/>
    <w:rsid w:val="00D35E90"/>
    <w:rsid w:val="00D46F8C"/>
    <w:rsid w:val="00D55ACD"/>
    <w:rsid w:val="00D61B42"/>
    <w:rsid w:val="00D65524"/>
    <w:rsid w:val="00D84989"/>
    <w:rsid w:val="00D866D2"/>
    <w:rsid w:val="00DB5EFE"/>
    <w:rsid w:val="00DC3EBC"/>
    <w:rsid w:val="00DF22E1"/>
    <w:rsid w:val="00DF59F8"/>
    <w:rsid w:val="00E058B3"/>
    <w:rsid w:val="00E060D5"/>
    <w:rsid w:val="00E06FEE"/>
    <w:rsid w:val="00E12726"/>
    <w:rsid w:val="00E274C2"/>
    <w:rsid w:val="00E4446F"/>
    <w:rsid w:val="00E516F5"/>
    <w:rsid w:val="00E51B3B"/>
    <w:rsid w:val="00E67709"/>
    <w:rsid w:val="00E7354A"/>
    <w:rsid w:val="00E7643C"/>
    <w:rsid w:val="00E92571"/>
    <w:rsid w:val="00EA0C77"/>
    <w:rsid w:val="00EA6F15"/>
    <w:rsid w:val="00EB6852"/>
    <w:rsid w:val="00EC011B"/>
    <w:rsid w:val="00EC1FA2"/>
    <w:rsid w:val="00EE46F0"/>
    <w:rsid w:val="00F5454F"/>
    <w:rsid w:val="00F61874"/>
    <w:rsid w:val="00F621CF"/>
    <w:rsid w:val="00F63819"/>
    <w:rsid w:val="00F91CC6"/>
    <w:rsid w:val="00F95B5E"/>
    <w:rsid w:val="00FA3BA8"/>
    <w:rsid w:val="00FB10B5"/>
    <w:rsid w:val="00FB6E4D"/>
    <w:rsid w:val="00FC1AB3"/>
    <w:rsid w:val="00FC29B6"/>
    <w:rsid w:val="00FF445E"/>
    <w:rsid w:val="00FF7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5BD9"/>
  <w15:chartTrackingRefBased/>
  <w15:docId w15:val="{25DD0F68-2AC7-4D22-95D1-B0A97DE9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005"/>
    <w:pPr>
      <w:spacing w:after="200" w:line="276" w:lineRule="auto"/>
    </w:pPr>
  </w:style>
  <w:style w:type="paragraph" w:styleId="Heading1">
    <w:name w:val="heading 1"/>
    <w:basedOn w:val="Normal"/>
    <w:next w:val="Normal"/>
    <w:link w:val="Heading1Char"/>
    <w:uiPriority w:val="9"/>
    <w:qFormat/>
    <w:rsid w:val="003044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3615"/>
    <w:pPr>
      <w:jc w:val="both"/>
      <w:outlineLvl w:val="1"/>
    </w:pPr>
    <w:rPr>
      <w:rFonts w:cs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0005"/>
    <w:pPr>
      <w:ind w:left="720"/>
      <w:contextualSpacing/>
    </w:pPr>
  </w:style>
  <w:style w:type="paragraph" w:styleId="FootnoteText">
    <w:name w:val="footnote text"/>
    <w:basedOn w:val="Normal"/>
    <w:link w:val="FootnoteTextChar"/>
    <w:uiPriority w:val="99"/>
    <w:semiHidden/>
    <w:unhideWhenUsed/>
    <w:rsid w:val="002200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005"/>
    <w:rPr>
      <w:sz w:val="20"/>
      <w:szCs w:val="20"/>
    </w:rPr>
  </w:style>
  <w:style w:type="character" w:styleId="FootnoteReference">
    <w:name w:val="footnote reference"/>
    <w:basedOn w:val="DefaultParagraphFont"/>
    <w:uiPriority w:val="99"/>
    <w:semiHidden/>
    <w:unhideWhenUsed/>
    <w:rsid w:val="00220005"/>
    <w:rPr>
      <w:vertAlign w:val="superscript"/>
    </w:rPr>
  </w:style>
  <w:style w:type="character" w:styleId="CommentReference">
    <w:name w:val="annotation reference"/>
    <w:basedOn w:val="DefaultParagraphFont"/>
    <w:uiPriority w:val="99"/>
    <w:semiHidden/>
    <w:unhideWhenUsed/>
    <w:rsid w:val="00220005"/>
    <w:rPr>
      <w:sz w:val="16"/>
      <w:szCs w:val="16"/>
    </w:rPr>
  </w:style>
  <w:style w:type="paragraph" w:styleId="CommentText">
    <w:name w:val="annotation text"/>
    <w:basedOn w:val="Normal"/>
    <w:link w:val="CommentTextChar"/>
    <w:uiPriority w:val="99"/>
    <w:semiHidden/>
    <w:unhideWhenUsed/>
    <w:rsid w:val="00220005"/>
    <w:pPr>
      <w:spacing w:line="240" w:lineRule="auto"/>
    </w:pPr>
    <w:rPr>
      <w:sz w:val="20"/>
      <w:szCs w:val="20"/>
    </w:rPr>
  </w:style>
  <w:style w:type="character" w:customStyle="1" w:styleId="CommentTextChar">
    <w:name w:val="Comment Text Char"/>
    <w:basedOn w:val="DefaultParagraphFont"/>
    <w:link w:val="CommentText"/>
    <w:uiPriority w:val="99"/>
    <w:semiHidden/>
    <w:rsid w:val="00220005"/>
    <w:rPr>
      <w:sz w:val="20"/>
      <w:szCs w:val="20"/>
    </w:rPr>
  </w:style>
  <w:style w:type="character" w:customStyle="1" w:styleId="ListParagraphChar">
    <w:name w:val="List Paragraph Char"/>
    <w:basedOn w:val="DefaultParagraphFont"/>
    <w:link w:val="ListParagraph"/>
    <w:uiPriority w:val="34"/>
    <w:rsid w:val="00220005"/>
  </w:style>
  <w:style w:type="paragraph" w:styleId="BalloonText">
    <w:name w:val="Balloon Text"/>
    <w:basedOn w:val="Normal"/>
    <w:link w:val="BalloonTextChar"/>
    <w:uiPriority w:val="99"/>
    <w:semiHidden/>
    <w:unhideWhenUsed/>
    <w:rsid w:val="00220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005"/>
    <w:rPr>
      <w:rFonts w:ascii="Segoe UI" w:hAnsi="Segoe UI" w:cs="Segoe UI"/>
      <w:sz w:val="18"/>
      <w:szCs w:val="18"/>
    </w:rPr>
  </w:style>
  <w:style w:type="paragraph" w:styleId="Header">
    <w:name w:val="header"/>
    <w:basedOn w:val="Normal"/>
    <w:link w:val="HeaderChar"/>
    <w:uiPriority w:val="99"/>
    <w:unhideWhenUsed/>
    <w:rsid w:val="00E27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4C2"/>
  </w:style>
  <w:style w:type="paragraph" w:styleId="Footer">
    <w:name w:val="footer"/>
    <w:basedOn w:val="Normal"/>
    <w:link w:val="FooterChar"/>
    <w:uiPriority w:val="99"/>
    <w:unhideWhenUsed/>
    <w:rsid w:val="00E27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4C2"/>
  </w:style>
  <w:style w:type="paragraph" w:styleId="EndnoteText">
    <w:name w:val="endnote text"/>
    <w:basedOn w:val="Normal"/>
    <w:link w:val="EndnoteTextChar"/>
    <w:uiPriority w:val="99"/>
    <w:semiHidden/>
    <w:unhideWhenUsed/>
    <w:rsid w:val="00C535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35A0"/>
    <w:rPr>
      <w:sz w:val="20"/>
      <w:szCs w:val="20"/>
    </w:rPr>
  </w:style>
  <w:style w:type="character" w:styleId="EndnoteReference">
    <w:name w:val="endnote reference"/>
    <w:basedOn w:val="DefaultParagraphFont"/>
    <w:uiPriority w:val="99"/>
    <w:semiHidden/>
    <w:unhideWhenUsed/>
    <w:rsid w:val="00C535A0"/>
    <w:rPr>
      <w:vertAlign w:val="superscript"/>
    </w:rPr>
  </w:style>
  <w:style w:type="character" w:customStyle="1" w:styleId="Heading2Char">
    <w:name w:val="Heading 2 Char"/>
    <w:basedOn w:val="DefaultParagraphFont"/>
    <w:link w:val="Heading2"/>
    <w:uiPriority w:val="9"/>
    <w:rsid w:val="00B43615"/>
    <w:rPr>
      <w:rFonts w:cstheme="minorHAnsi"/>
      <w:b/>
      <w:sz w:val="28"/>
      <w:szCs w:val="28"/>
    </w:rPr>
  </w:style>
  <w:style w:type="character" w:customStyle="1" w:styleId="Heading1Char">
    <w:name w:val="Heading 1 Char"/>
    <w:basedOn w:val="DefaultParagraphFont"/>
    <w:link w:val="Heading1"/>
    <w:uiPriority w:val="9"/>
    <w:rsid w:val="003044E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19457">
      <w:bodyDiv w:val="1"/>
      <w:marLeft w:val="0"/>
      <w:marRight w:val="0"/>
      <w:marTop w:val="0"/>
      <w:marBottom w:val="0"/>
      <w:divBdr>
        <w:top w:val="none" w:sz="0" w:space="0" w:color="auto"/>
        <w:left w:val="none" w:sz="0" w:space="0" w:color="auto"/>
        <w:bottom w:val="none" w:sz="0" w:space="0" w:color="auto"/>
        <w:right w:val="none" w:sz="0" w:space="0" w:color="auto"/>
      </w:divBdr>
    </w:div>
    <w:div w:id="1488747188">
      <w:bodyDiv w:val="1"/>
      <w:marLeft w:val="0"/>
      <w:marRight w:val="0"/>
      <w:marTop w:val="0"/>
      <w:marBottom w:val="0"/>
      <w:divBdr>
        <w:top w:val="none" w:sz="0" w:space="0" w:color="auto"/>
        <w:left w:val="none" w:sz="0" w:space="0" w:color="auto"/>
        <w:bottom w:val="none" w:sz="0" w:space="0" w:color="auto"/>
        <w:right w:val="none" w:sz="0" w:space="0" w:color="auto"/>
      </w:divBdr>
    </w:div>
    <w:div w:id="19641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ul\Documents\TNEpaperFIGURESfinalBACKUP_v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aul\Documents\TNEpaperFIGURESfinalBACKUP_v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ntranet.barcapint.com\Dfs-emea\User\ldn\0144\ghantiwu\Misc\PIL\TNEpaperFIGURESfinalBACKUP_v2.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2: </a:t>
            </a:r>
            <a:r>
              <a:rPr lang="en-GB" sz="1400" b="0" i="0" u="none" strike="noStrike" kern="1200" spc="0" baseline="0">
                <a:solidFill>
                  <a:sysClr val="windowText" lastClr="000000">
                    <a:lumMod val="65000"/>
                    <a:lumOff val="35000"/>
                  </a:sysClr>
                </a:solidFill>
                <a:latin typeface="+mn-lt"/>
                <a:ea typeface="+mn-ea"/>
                <a:cs typeface="+mn-cs"/>
              </a:rPr>
              <a:t>Offshore</a:t>
            </a:r>
            <a:r>
              <a:rPr lang="en-GB" baseline="0"/>
              <a:t> enrolments by type of provision, 2007/08 - 20016/17</a:t>
            </a:r>
            <a:endParaRPr lang="en-GB"/>
          </a:p>
        </c:rich>
      </c:tx>
      <c:overlay val="0"/>
      <c:spPr>
        <a:noFill/>
        <a:ln>
          <a:noFill/>
        </a:ln>
        <a:effectLst/>
      </c:spPr>
    </c:title>
    <c:autoTitleDeleted val="0"/>
    <c:plotArea>
      <c:layout/>
      <c:lineChart>
        <c:grouping val="standard"/>
        <c:varyColors val="0"/>
        <c:ser>
          <c:idx val="0"/>
          <c:order val="0"/>
          <c:tx>
            <c:strRef>
              <c:f>'C:\Users\Paul\Documents\[tneODLtrend.xlsx]offshares'!$D$3</c:f>
              <c:strCache>
                <c:ptCount val="1"/>
                <c:pt idx="0">
                  <c:v>IBC</c:v>
                </c:pt>
              </c:strCache>
            </c:strRef>
          </c:tx>
          <c:spPr>
            <a:ln w="28575" cap="rnd">
              <a:solidFill>
                <a:schemeClr val="accent1"/>
              </a:solidFill>
              <a:round/>
            </a:ln>
            <a:effectLst/>
          </c:spPr>
          <c:marker>
            <c:symbol val="none"/>
          </c:marker>
          <c:cat>
            <c:strRef>
              <c:f>[4]offshares!$C$4:$C$13</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[4]offshares!$D$4:$D$13</c:f>
              <c:numCache>
                <c:formatCode>General</c:formatCode>
                <c:ptCount val="10"/>
                <c:pt idx="0">
                  <c:v>7125</c:v>
                </c:pt>
                <c:pt idx="1">
                  <c:v>29655</c:v>
                </c:pt>
                <c:pt idx="2">
                  <c:v>11409</c:v>
                </c:pt>
                <c:pt idx="3">
                  <c:v>12315</c:v>
                </c:pt>
                <c:pt idx="4">
                  <c:v>15146</c:v>
                </c:pt>
                <c:pt idx="5">
                  <c:v>17522</c:v>
                </c:pt>
                <c:pt idx="6">
                  <c:v>19614</c:v>
                </c:pt>
                <c:pt idx="7">
                  <c:v>23109</c:v>
                </c:pt>
                <c:pt idx="8">
                  <c:v>23106</c:v>
                </c:pt>
                <c:pt idx="9">
                  <c:v>25620</c:v>
                </c:pt>
              </c:numCache>
            </c:numRef>
          </c:val>
          <c:smooth val="0"/>
          <c:extLst xmlns:c16r2="http://schemas.microsoft.com/office/drawing/2015/06/chart">
            <c:ext xmlns:c16="http://schemas.microsoft.com/office/drawing/2014/chart" uri="{C3380CC4-5D6E-409C-BE32-E72D297353CC}">
              <c16:uniqueId val="{00000000-91B1-49F7-94EC-4D7746787C89}"/>
            </c:ext>
          </c:extLst>
        </c:ser>
        <c:ser>
          <c:idx val="1"/>
          <c:order val="1"/>
          <c:tx>
            <c:strRef>
              <c:f>'C:\Users\Paul\Documents\[tneODLtrend.xlsx]offshares'!$E$3</c:f>
              <c:strCache>
                <c:ptCount val="1"/>
                <c:pt idx="0">
                  <c:v>FVA partner degree</c:v>
                </c:pt>
              </c:strCache>
            </c:strRef>
          </c:tx>
          <c:spPr>
            <a:ln w="28575" cap="rnd">
              <a:solidFill>
                <a:schemeClr val="accent2"/>
              </a:solidFill>
              <a:round/>
            </a:ln>
            <a:effectLst/>
          </c:spPr>
          <c:marker>
            <c:symbol val="none"/>
          </c:marker>
          <c:cat>
            <c:strRef>
              <c:f>[4]offshares!$C$4:$C$13</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[4]offshares!$E$4:$E$13</c:f>
              <c:numCache>
                <c:formatCode>General</c:formatCode>
                <c:ptCount val="10"/>
                <c:pt idx="0">
                  <c:v>29251</c:v>
                </c:pt>
                <c:pt idx="1">
                  <c:v>35095</c:v>
                </c:pt>
                <c:pt idx="2">
                  <c:v>47075</c:v>
                </c:pt>
                <c:pt idx="3">
                  <c:v>52996</c:v>
                </c:pt>
                <c:pt idx="4">
                  <c:v>92230</c:v>
                </c:pt>
                <c:pt idx="5">
                  <c:v>93001</c:v>
                </c:pt>
                <c:pt idx="6">
                  <c:v>98895</c:v>
                </c:pt>
                <c:pt idx="7">
                  <c:v>102445</c:v>
                </c:pt>
                <c:pt idx="8">
                  <c:v>101604</c:v>
                </c:pt>
                <c:pt idx="9">
                  <c:v>106845</c:v>
                </c:pt>
              </c:numCache>
            </c:numRef>
          </c:val>
          <c:smooth val="0"/>
          <c:extLst xmlns:c16r2="http://schemas.microsoft.com/office/drawing/2015/06/chart">
            <c:ext xmlns:c16="http://schemas.microsoft.com/office/drawing/2014/chart" uri="{C3380CC4-5D6E-409C-BE32-E72D297353CC}">
              <c16:uniqueId val="{00000001-91B1-49F7-94EC-4D7746787C89}"/>
            </c:ext>
          </c:extLst>
        </c:ser>
        <c:ser>
          <c:idx val="2"/>
          <c:order val="2"/>
          <c:tx>
            <c:strRef>
              <c:f>'C:\Users\Paul\Documents\[tneODLtrend.xlsx]offshares'!$F$3</c:f>
              <c:strCache>
                <c:ptCount val="1"/>
                <c:pt idx="0">
                  <c:v>FVA UK degree</c:v>
                </c:pt>
              </c:strCache>
            </c:strRef>
          </c:tx>
          <c:spPr>
            <a:ln w="28575" cap="rnd">
              <a:solidFill>
                <a:schemeClr val="accent3"/>
              </a:solidFill>
              <a:round/>
            </a:ln>
            <a:effectLst/>
          </c:spPr>
          <c:marker>
            <c:symbol val="none"/>
          </c:marker>
          <c:cat>
            <c:strRef>
              <c:f>[4]offshares!$C$4:$C$13</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[4]offshares!$F$4:$F$13</c:f>
              <c:numCache>
                <c:formatCode>General</c:formatCode>
                <c:ptCount val="10"/>
                <c:pt idx="0">
                  <c:v>59920</c:v>
                </c:pt>
                <c:pt idx="1">
                  <c:v>68596</c:v>
                </c:pt>
                <c:pt idx="2">
                  <c:v>74382</c:v>
                </c:pt>
                <c:pt idx="3">
                  <c:v>86669</c:v>
                </c:pt>
                <c:pt idx="4">
                  <c:v>96073</c:v>
                </c:pt>
                <c:pt idx="5">
                  <c:v>103796</c:v>
                </c:pt>
                <c:pt idx="6">
                  <c:v>116035</c:v>
                </c:pt>
                <c:pt idx="7">
                  <c:v>120473</c:v>
                </c:pt>
                <c:pt idx="8">
                  <c:v>138851</c:v>
                </c:pt>
                <c:pt idx="9">
                  <c:v>146665</c:v>
                </c:pt>
              </c:numCache>
            </c:numRef>
          </c:val>
          <c:smooth val="0"/>
          <c:extLst xmlns:c16r2="http://schemas.microsoft.com/office/drawing/2015/06/chart">
            <c:ext xmlns:c16="http://schemas.microsoft.com/office/drawing/2014/chart" uri="{C3380CC4-5D6E-409C-BE32-E72D297353CC}">
              <c16:uniqueId val="{00000002-91B1-49F7-94EC-4D7746787C89}"/>
            </c:ext>
          </c:extLst>
        </c:ser>
        <c:ser>
          <c:idx val="3"/>
          <c:order val="3"/>
          <c:tx>
            <c:strRef>
              <c:f>'C:\Users\Paul\Documents\[tneODLtrend.xlsx]offshares'!$G$3</c:f>
              <c:strCache>
                <c:ptCount val="1"/>
                <c:pt idx="0">
                  <c:v>ODL</c:v>
                </c:pt>
              </c:strCache>
            </c:strRef>
          </c:tx>
          <c:spPr>
            <a:ln w="28575" cap="rnd">
              <a:solidFill>
                <a:schemeClr val="accent4"/>
              </a:solidFill>
              <a:round/>
            </a:ln>
            <a:effectLst/>
          </c:spPr>
          <c:marker>
            <c:symbol val="none"/>
          </c:marker>
          <c:cat>
            <c:strRef>
              <c:f>[4]offshares!$C$4:$C$13</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[4]offshares!$G$4:$G$13</c:f>
              <c:numCache>
                <c:formatCode>General</c:formatCode>
                <c:ptCount val="10"/>
                <c:pt idx="0">
                  <c:v>100360</c:v>
                </c:pt>
                <c:pt idx="1">
                  <c:v>112383</c:v>
                </c:pt>
                <c:pt idx="2">
                  <c:v>115010</c:v>
                </c:pt>
                <c:pt idx="3">
                  <c:v>113062</c:v>
                </c:pt>
                <c:pt idx="4">
                  <c:v>116536</c:v>
                </c:pt>
                <c:pt idx="5">
                  <c:v>123634</c:v>
                </c:pt>
                <c:pt idx="6">
                  <c:v>119756</c:v>
                </c:pt>
                <c:pt idx="7">
                  <c:v>120473</c:v>
                </c:pt>
                <c:pt idx="8">
                  <c:v>113995</c:v>
                </c:pt>
                <c:pt idx="9">
                  <c:v>117195</c:v>
                </c:pt>
              </c:numCache>
            </c:numRef>
          </c:val>
          <c:smooth val="0"/>
          <c:extLst xmlns:c16r2="http://schemas.microsoft.com/office/drawing/2015/06/chart">
            <c:ext xmlns:c16="http://schemas.microsoft.com/office/drawing/2014/chart" uri="{C3380CC4-5D6E-409C-BE32-E72D297353CC}">
              <c16:uniqueId val="{00000003-91B1-49F7-94EC-4D7746787C89}"/>
            </c:ext>
          </c:extLst>
        </c:ser>
        <c:ser>
          <c:idx val="4"/>
          <c:order val="4"/>
          <c:tx>
            <c:strRef>
              <c:f>'C:\Users\Paul\Documents\[tneODLtrend.xlsx]offshares'!$H$3</c:f>
              <c:strCache>
                <c:ptCount val="1"/>
                <c:pt idx="0">
                  <c:v>Other</c:v>
                </c:pt>
              </c:strCache>
            </c:strRef>
          </c:tx>
          <c:spPr>
            <a:ln w="28575" cap="rnd">
              <a:solidFill>
                <a:schemeClr val="accent5"/>
              </a:solidFill>
              <a:round/>
            </a:ln>
            <a:effectLst/>
          </c:spPr>
          <c:marker>
            <c:symbol val="none"/>
          </c:marker>
          <c:cat>
            <c:strRef>
              <c:f>[4]offshares!$C$4:$C$13</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[4]offshares!$H$4:$H$13</c:f>
              <c:numCache>
                <c:formatCode>General</c:formatCode>
                <c:ptCount val="10"/>
                <c:pt idx="0">
                  <c:v>94</c:v>
                </c:pt>
                <c:pt idx="1">
                  <c:v>67</c:v>
                </c:pt>
                <c:pt idx="2">
                  <c:v>78</c:v>
                </c:pt>
                <c:pt idx="3">
                  <c:v>153</c:v>
                </c:pt>
                <c:pt idx="4">
                  <c:v>343</c:v>
                </c:pt>
                <c:pt idx="5">
                  <c:v>597</c:v>
                </c:pt>
                <c:pt idx="6">
                  <c:v>8955</c:v>
                </c:pt>
                <c:pt idx="7">
                  <c:v>9961</c:v>
                </c:pt>
                <c:pt idx="8">
                  <c:v>8300</c:v>
                </c:pt>
                <c:pt idx="9">
                  <c:v>7720</c:v>
                </c:pt>
              </c:numCache>
            </c:numRef>
          </c:val>
          <c:smooth val="0"/>
          <c:extLst xmlns:c16r2="http://schemas.microsoft.com/office/drawing/2015/06/chart">
            <c:ext xmlns:c16="http://schemas.microsoft.com/office/drawing/2014/chart" uri="{C3380CC4-5D6E-409C-BE32-E72D297353CC}">
              <c16:uniqueId val="{00000004-91B1-49F7-94EC-4D7746787C89}"/>
            </c:ext>
          </c:extLst>
        </c:ser>
        <c:dLbls>
          <c:showLegendKey val="0"/>
          <c:showVal val="0"/>
          <c:showCatName val="0"/>
          <c:showSerName val="0"/>
          <c:showPercent val="0"/>
          <c:showBubbleSize val="0"/>
        </c:dLbls>
        <c:smooth val="0"/>
        <c:axId val="-1224803696"/>
        <c:axId val="-1224822192"/>
      </c:lineChart>
      <c:catAx>
        <c:axId val="-122480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4822192"/>
        <c:crosses val="autoZero"/>
        <c:auto val="1"/>
        <c:lblAlgn val="ctr"/>
        <c:lblOffset val="100"/>
        <c:noMultiLvlLbl val="0"/>
      </c:catAx>
      <c:valAx>
        <c:axId val="-122482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4803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Figure 3: Scatter plot of %onshore</a:t>
            </a:r>
            <a:r>
              <a:rPr lang="en-GB" sz="1000" baseline="0"/>
              <a:t> and %</a:t>
            </a:r>
            <a:r>
              <a:rPr lang="en-GB" sz="1000" b="1" i="0" u="none" strike="noStrike" kern="1200" baseline="0">
                <a:solidFill>
                  <a:sysClr val="windowText" lastClr="000000"/>
                </a:solidFill>
                <a:latin typeface="+mn-lt"/>
                <a:ea typeface="+mn-ea"/>
                <a:cs typeface="+mn-cs"/>
              </a:rPr>
              <a:t>offshore</a:t>
            </a:r>
            <a:r>
              <a:rPr lang="en-GB" sz="1000" baseline="0"/>
              <a:t> overseas students at UK universities, 2015/16</a:t>
            </a:r>
            <a:endParaRPr lang="en-GB" sz="1000"/>
          </a:p>
        </c:rich>
      </c:tx>
      <c:overlay val="0"/>
    </c:title>
    <c:autoTitleDeleted val="0"/>
    <c:plotArea>
      <c:layout/>
      <c:scatterChart>
        <c:scatterStyle val="lineMarker"/>
        <c:varyColors val="0"/>
        <c:ser>
          <c:idx val="0"/>
          <c:order val="0"/>
          <c:spPr>
            <a:ln w="28575">
              <a:noFill/>
            </a:ln>
          </c:spPr>
          <c:xVal>
            <c:numRef>
              <c:f>[3]Sheet8!$B$2:$B$112</c:f>
              <c:numCache>
                <c:formatCode>General</c:formatCode>
                <c:ptCount val="111"/>
                <c:pt idx="0">
                  <c:v>43.222506393861963</c:v>
                </c:pt>
                <c:pt idx="1">
                  <c:v>15.730337078651679</c:v>
                </c:pt>
                <c:pt idx="2">
                  <c:v>16.597048175995539</c:v>
                </c:pt>
                <c:pt idx="3">
                  <c:v>23.34649555774925</c:v>
                </c:pt>
                <c:pt idx="4">
                  <c:v>26.32204396910279</c:v>
                </c:pt>
                <c:pt idx="5">
                  <c:v>41.030117852466176</c:v>
                </c:pt>
                <c:pt idx="6">
                  <c:v>11.63130943672275</c:v>
                </c:pt>
                <c:pt idx="7">
                  <c:v>22.033898305084751</c:v>
                </c:pt>
                <c:pt idx="8">
                  <c:v>29.567215626196869</c:v>
                </c:pt>
                <c:pt idx="9">
                  <c:v>13.30037664783428</c:v>
                </c:pt>
                <c:pt idx="10">
                  <c:v>8.6844368013757567</c:v>
                </c:pt>
                <c:pt idx="11">
                  <c:v>16.19890176937157</c:v>
                </c:pt>
                <c:pt idx="12">
                  <c:v>17.127937336814639</c:v>
                </c:pt>
                <c:pt idx="13">
                  <c:v>15.90348231423088</c:v>
                </c:pt>
                <c:pt idx="14">
                  <c:v>27.46581320919406</c:v>
                </c:pt>
                <c:pt idx="15">
                  <c:v>47.552083333333293</c:v>
                </c:pt>
                <c:pt idx="16">
                  <c:v>9.7186700767263421</c:v>
                </c:pt>
                <c:pt idx="17">
                  <c:v>49.676437000380623</c:v>
                </c:pt>
                <c:pt idx="18">
                  <c:v>5.3132174483437176</c:v>
                </c:pt>
                <c:pt idx="19">
                  <c:v>35.341581495427533</c:v>
                </c:pt>
                <c:pt idx="20">
                  <c:v>30.199490662139201</c:v>
                </c:pt>
                <c:pt idx="21">
                  <c:v>10.954865048763899</c:v>
                </c:pt>
                <c:pt idx="22">
                  <c:v>6.0810810810810834</c:v>
                </c:pt>
                <c:pt idx="23">
                  <c:v>3.0812324929971999</c:v>
                </c:pt>
                <c:pt idx="24">
                  <c:v>49.315068493150598</c:v>
                </c:pt>
                <c:pt idx="25">
                  <c:v>2.746931618936296</c:v>
                </c:pt>
                <c:pt idx="26">
                  <c:v>15.593032900193529</c:v>
                </c:pt>
                <c:pt idx="27">
                  <c:v>8.1260364842454393</c:v>
                </c:pt>
                <c:pt idx="28">
                  <c:v>18.99441340782122</c:v>
                </c:pt>
                <c:pt idx="29">
                  <c:v>36.789554531489998</c:v>
                </c:pt>
                <c:pt idx="30">
                  <c:v>33.209570957095721</c:v>
                </c:pt>
                <c:pt idx="31">
                  <c:v>10.498581272800971</c:v>
                </c:pt>
                <c:pt idx="32">
                  <c:v>1.701570680628272</c:v>
                </c:pt>
                <c:pt idx="33">
                  <c:v>55.149501661129563</c:v>
                </c:pt>
                <c:pt idx="34">
                  <c:v>25.787106446776601</c:v>
                </c:pt>
                <c:pt idx="35">
                  <c:v>47.777182645956081</c:v>
                </c:pt>
                <c:pt idx="36">
                  <c:v>33.600493218249078</c:v>
                </c:pt>
                <c:pt idx="37">
                  <c:v>38.983916262445753</c:v>
                </c:pt>
                <c:pt idx="38">
                  <c:v>14.069487444100449</c:v>
                </c:pt>
                <c:pt idx="39">
                  <c:v>5.4508748317631222</c:v>
                </c:pt>
                <c:pt idx="40">
                  <c:v>17.047451669595809</c:v>
                </c:pt>
                <c:pt idx="41">
                  <c:v>25.463384989364879</c:v>
                </c:pt>
                <c:pt idx="42">
                  <c:v>4.2056074766355076</c:v>
                </c:pt>
                <c:pt idx="43">
                  <c:v>45.076282940360613</c:v>
                </c:pt>
                <c:pt idx="44">
                  <c:v>18.192713326941512</c:v>
                </c:pt>
                <c:pt idx="45">
                  <c:v>3.3783783783783781</c:v>
                </c:pt>
                <c:pt idx="46">
                  <c:v>19.318885448916419</c:v>
                </c:pt>
                <c:pt idx="47">
                  <c:v>17.133620689655171</c:v>
                </c:pt>
                <c:pt idx="48">
                  <c:v>16.522740356937181</c:v>
                </c:pt>
                <c:pt idx="49">
                  <c:v>32.279757901815742</c:v>
                </c:pt>
                <c:pt idx="50">
                  <c:v>21.565774155995339</c:v>
                </c:pt>
                <c:pt idx="51">
                  <c:v>52.677532013969753</c:v>
                </c:pt>
                <c:pt idx="52">
                  <c:v>26.12576869668716</c:v>
                </c:pt>
                <c:pt idx="53">
                  <c:v>7.2403806371534909</c:v>
                </c:pt>
                <c:pt idx="54">
                  <c:v>45.688598283612521</c:v>
                </c:pt>
                <c:pt idx="55">
                  <c:v>11.640430820215411</c:v>
                </c:pt>
                <c:pt idx="56">
                  <c:v>4.3294614572333696</c:v>
                </c:pt>
                <c:pt idx="57">
                  <c:v>6.8898118739311016</c:v>
                </c:pt>
                <c:pt idx="58">
                  <c:v>41.89576174112257</c:v>
                </c:pt>
                <c:pt idx="59">
                  <c:v>14.05141843971631</c:v>
                </c:pt>
                <c:pt idx="60">
                  <c:v>12.098057943330151</c:v>
                </c:pt>
                <c:pt idx="61">
                  <c:v>56.409443110245093</c:v>
                </c:pt>
                <c:pt idx="62">
                  <c:v>25.928677563150071</c:v>
                </c:pt>
                <c:pt idx="63">
                  <c:v>48.217285794287847</c:v>
                </c:pt>
                <c:pt idx="64">
                  <c:v>7.6018549188472884</c:v>
                </c:pt>
                <c:pt idx="65">
                  <c:v>34.058225184145911</c:v>
                </c:pt>
                <c:pt idx="66">
                  <c:v>38.022041763341043</c:v>
                </c:pt>
                <c:pt idx="67">
                  <c:v>12.76595744680851</c:v>
                </c:pt>
                <c:pt idx="68">
                  <c:v>13.47117794486215</c:v>
                </c:pt>
                <c:pt idx="69">
                  <c:v>29.145728643216081</c:v>
                </c:pt>
                <c:pt idx="70">
                  <c:v>14.68474019305812</c:v>
                </c:pt>
                <c:pt idx="71">
                  <c:v>0.22713806043847501</c:v>
                </c:pt>
                <c:pt idx="72">
                  <c:v>47.976190476190453</c:v>
                </c:pt>
                <c:pt idx="73">
                  <c:v>22.149948647723381</c:v>
                </c:pt>
                <c:pt idx="74">
                  <c:v>10.86904476897295</c:v>
                </c:pt>
                <c:pt idx="75">
                  <c:v>20.843604491920019</c:v>
                </c:pt>
                <c:pt idx="76">
                  <c:v>25.683709869203319</c:v>
                </c:pt>
                <c:pt idx="77">
                  <c:v>13.315926892950401</c:v>
                </c:pt>
                <c:pt idx="78">
                  <c:v>36.243747157798992</c:v>
                </c:pt>
                <c:pt idx="79">
                  <c:v>24.196689386562799</c:v>
                </c:pt>
                <c:pt idx="80">
                  <c:v>12.54019292604502</c:v>
                </c:pt>
                <c:pt idx="81">
                  <c:v>18.544194107452341</c:v>
                </c:pt>
                <c:pt idx="82">
                  <c:v>43.980407321474573</c:v>
                </c:pt>
                <c:pt idx="83">
                  <c:v>11.60935838355193</c:v>
                </c:pt>
                <c:pt idx="84">
                  <c:v>15.86792020178858</c:v>
                </c:pt>
                <c:pt idx="85">
                  <c:v>40.934844192634458</c:v>
                </c:pt>
                <c:pt idx="86">
                  <c:v>17.859007832898179</c:v>
                </c:pt>
                <c:pt idx="87">
                  <c:v>89.33920704845815</c:v>
                </c:pt>
                <c:pt idx="88">
                  <c:v>7.5801749271136956</c:v>
                </c:pt>
                <c:pt idx="89">
                  <c:v>6.90933602965959</c:v>
                </c:pt>
                <c:pt idx="90">
                  <c:v>23.91418105703821</c:v>
                </c:pt>
                <c:pt idx="91">
                  <c:v>22.650671236789488</c:v>
                </c:pt>
                <c:pt idx="92">
                  <c:v>33.900051519835102</c:v>
                </c:pt>
                <c:pt idx="93">
                  <c:v>40.65420560747657</c:v>
                </c:pt>
                <c:pt idx="94">
                  <c:v>49.016715830875199</c:v>
                </c:pt>
                <c:pt idx="95">
                  <c:v>23.025387870239719</c:v>
                </c:pt>
                <c:pt idx="96">
                  <c:v>5.9309951525520397</c:v>
                </c:pt>
                <c:pt idx="97">
                  <c:v>10.11162179908076</c:v>
                </c:pt>
                <c:pt idx="98">
                  <c:v>32.585751978891828</c:v>
                </c:pt>
                <c:pt idx="99">
                  <c:v>86.909650924024646</c:v>
                </c:pt>
                <c:pt idx="100">
                  <c:v>7.4675324675324646</c:v>
                </c:pt>
                <c:pt idx="101">
                  <c:v>52.018489984591653</c:v>
                </c:pt>
                <c:pt idx="102">
                  <c:v>16.83501683501683</c:v>
                </c:pt>
                <c:pt idx="103">
                  <c:v>14.857024450891011</c:v>
                </c:pt>
                <c:pt idx="104">
                  <c:v>9.5808383233532943</c:v>
                </c:pt>
                <c:pt idx="105">
                  <c:v>44.147037830121349</c:v>
                </c:pt>
                <c:pt idx="106">
                  <c:v>7.1022727272727284</c:v>
                </c:pt>
                <c:pt idx="107">
                  <c:v>8.7362637362637212</c:v>
                </c:pt>
                <c:pt idx="108">
                  <c:v>5.8198380566801617</c:v>
                </c:pt>
                <c:pt idx="109">
                  <c:v>24.899890789952678</c:v>
                </c:pt>
                <c:pt idx="110">
                  <c:v>8.2352941176470598</c:v>
                </c:pt>
              </c:numCache>
            </c:numRef>
          </c:xVal>
          <c:yVal>
            <c:numRef>
              <c:f>[3]Sheet8!$C$2:$C$112</c:f>
              <c:numCache>
                <c:formatCode>General</c:formatCode>
                <c:ptCount val="111"/>
                <c:pt idx="0">
                  <c:v>3.7340153452685421</c:v>
                </c:pt>
                <c:pt idx="1">
                  <c:v>4.4943820224719087</c:v>
                </c:pt>
                <c:pt idx="2">
                  <c:v>24.979114452798669</c:v>
                </c:pt>
                <c:pt idx="3">
                  <c:v>6.1697926949654498</c:v>
                </c:pt>
                <c:pt idx="4">
                  <c:v>22.222222222222179</c:v>
                </c:pt>
                <c:pt idx="5">
                  <c:v>5.2815364469663866</c:v>
                </c:pt>
                <c:pt idx="6">
                  <c:v>1.0241404535479151</c:v>
                </c:pt>
                <c:pt idx="7">
                  <c:v>45.974576271186393</c:v>
                </c:pt>
                <c:pt idx="8">
                  <c:v>3.983148219073152</c:v>
                </c:pt>
                <c:pt idx="9">
                  <c:v>12.00564971751413</c:v>
                </c:pt>
                <c:pt idx="10">
                  <c:v>26.48323301805674</c:v>
                </c:pt>
                <c:pt idx="11">
                  <c:v>0.18303843807199499</c:v>
                </c:pt>
                <c:pt idx="12">
                  <c:v>45.744125326370799</c:v>
                </c:pt>
                <c:pt idx="13">
                  <c:v>1.26131066630107</c:v>
                </c:pt>
                <c:pt idx="14">
                  <c:v>1.047425080011638</c:v>
                </c:pt>
                <c:pt idx="15">
                  <c:v>0.98958333333333304</c:v>
                </c:pt>
                <c:pt idx="16">
                  <c:v>12.148337595907931</c:v>
                </c:pt>
                <c:pt idx="17">
                  <c:v>3.6162923486867151</c:v>
                </c:pt>
                <c:pt idx="18">
                  <c:v>2.1646441456215162</c:v>
                </c:pt>
                <c:pt idx="19">
                  <c:v>79.074771382463453</c:v>
                </c:pt>
                <c:pt idx="20">
                  <c:v>3.247028862478778</c:v>
                </c:pt>
                <c:pt idx="21">
                  <c:v>17.192107053753681</c:v>
                </c:pt>
                <c:pt idx="22">
                  <c:v>12.339971550497861</c:v>
                </c:pt>
                <c:pt idx="23">
                  <c:v>7.4696545284780509</c:v>
                </c:pt>
                <c:pt idx="24">
                  <c:v>66.539827498731611</c:v>
                </c:pt>
                <c:pt idx="25">
                  <c:v>15.25423728813559</c:v>
                </c:pt>
                <c:pt idx="26">
                  <c:v>9.0129941940834968</c:v>
                </c:pt>
                <c:pt idx="27">
                  <c:v>35.223880597014933</c:v>
                </c:pt>
                <c:pt idx="28">
                  <c:v>13.328012769353551</c:v>
                </c:pt>
                <c:pt idx="29">
                  <c:v>1.7665130568356371</c:v>
                </c:pt>
                <c:pt idx="30">
                  <c:v>0.45379537953795401</c:v>
                </c:pt>
                <c:pt idx="31">
                  <c:v>40.737738143494127</c:v>
                </c:pt>
                <c:pt idx="32">
                  <c:v>1.0471204188481671</c:v>
                </c:pt>
                <c:pt idx="33">
                  <c:v>9.0723230258113983</c:v>
                </c:pt>
                <c:pt idx="34">
                  <c:v>64.167916041979026</c:v>
                </c:pt>
                <c:pt idx="35">
                  <c:v>5.4633101231922874</c:v>
                </c:pt>
                <c:pt idx="36">
                  <c:v>0.73982737361282402</c:v>
                </c:pt>
                <c:pt idx="37">
                  <c:v>6.9185601225427629</c:v>
                </c:pt>
                <c:pt idx="38">
                  <c:v>27.175782593739189</c:v>
                </c:pt>
                <c:pt idx="39">
                  <c:v>12.44952893674294</c:v>
                </c:pt>
                <c:pt idx="40">
                  <c:v>5.2724077328646803</c:v>
                </c:pt>
                <c:pt idx="41">
                  <c:v>106.0467942874506</c:v>
                </c:pt>
                <c:pt idx="42">
                  <c:v>0</c:v>
                </c:pt>
                <c:pt idx="43">
                  <c:v>195.97780859916779</c:v>
                </c:pt>
                <c:pt idx="44">
                  <c:v>30.80057526366252</c:v>
                </c:pt>
                <c:pt idx="45">
                  <c:v>2.7641277641277648</c:v>
                </c:pt>
                <c:pt idx="46">
                  <c:v>6.6873065015479787</c:v>
                </c:pt>
                <c:pt idx="47">
                  <c:v>10.488505747126441</c:v>
                </c:pt>
                <c:pt idx="48">
                  <c:v>12.60794473229706</c:v>
                </c:pt>
                <c:pt idx="49">
                  <c:v>3.496973772696705</c:v>
                </c:pt>
                <c:pt idx="50">
                  <c:v>4.5110593713620499</c:v>
                </c:pt>
                <c:pt idx="51">
                  <c:v>93.830034924330633</c:v>
                </c:pt>
                <c:pt idx="52">
                  <c:v>1.2100773656020629</c:v>
                </c:pt>
                <c:pt idx="53">
                  <c:v>6.8266446007447259</c:v>
                </c:pt>
                <c:pt idx="54">
                  <c:v>41.438496117695102</c:v>
                </c:pt>
                <c:pt idx="55">
                  <c:v>3.645401822700912</c:v>
                </c:pt>
                <c:pt idx="56">
                  <c:v>0.84477296726504802</c:v>
                </c:pt>
                <c:pt idx="57">
                  <c:v>8.0625458099193796</c:v>
                </c:pt>
                <c:pt idx="58">
                  <c:v>91.953035509736509</c:v>
                </c:pt>
                <c:pt idx="59">
                  <c:v>31.382978723404261</c:v>
                </c:pt>
                <c:pt idx="60">
                  <c:v>15.7593123209169</c:v>
                </c:pt>
                <c:pt idx="61">
                  <c:v>48.321174498164851</c:v>
                </c:pt>
                <c:pt idx="62">
                  <c:v>6.7607726597325408</c:v>
                </c:pt>
                <c:pt idx="63">
                  <c:v>15.2324061974986</c:v>
                </c:pt>
                <c:pt idx="64">
                  <c:v>4.2398145081152636</c:v>
                </c:pt>
                <c:pt idx="65">
                  <c:v>68.502279901788839</c:v>
                </c:pt>
                <c:pt idx="66">
                  <c:v>7.8886310904872383</c:v>
                </c:pt>
                <c:pt idx="67">
                  <c:v>17.455492835431979</c:v>
                </c:pt>
                <c:pt idx="68">
                  <c:v>26.06516290726816</c:v>
                </c:pt>
                <c:pt idx="69">
                  <c:v>53.165829145728637</c:v>
                </c:pt>
                <c:pt idx="70">
                  <c:v>19.757650441569101</c:v>
                </c:pt>
                <c:pt idx="71">
                  <c:v>30.589571400355521</c:v>
                </c:pt>
                <c:pt idx="72">
                  <c:v>11.25</c:v>
                </c:pt>
                <c:pt idx="73">
                  <c:v>8.1136597055802806</c:v>
                </c:pt>
                <c:pt idx="74">
                  <c:v>10.318410342350971</c:v>
                </c:pt>
                <c:pt idx="75">
                  <c:v>10.572445905231451</c:v>
                </c:pt>
                <c:pt idx="76">
                  <c:v>58.026159334126099</c:v>
                </c:pt>
                <c:pt idx="77">
                  <c:v>1.447899359126513</c:v>
                </c:pt>
                <c:pt idx="78">
                  <c:v>26.421100500227311</c:v>
                </c:pt>
                <c:pt idx="79">
                  <c:v>0</c:v>
                </c:pt>
                <c:pt idx="80">
                  <c:v>80.771704180064248</c:v>
                </c:pt>
                <c:pt idx="81">
                  <c:v>14.38474870017331</c:v>
                </c:pt>
                <c:pt idx="82">
                  <c:v>4.9755091518432604</c:v>
                </c:pt>
                <c:pt idx="83">
                  <c:v>7.9936192839418698</c:v>
                </c:pt>
                <c:pt idx="84">
                  <c:v>34.877321715202868</c:v>
                </c:pt>
                <c:pt idx="85">
                  <c:v>4.6742209631728064</c:v>
                </c:pt>
                <c:pt idx="86">
                  <c:v>0</c:v>
                </c:pt>
                <c:pt idx="87">
                  <c:v>0.26431718061673998</c:v>
                </c:pt>
                <c:pt idx="88">
                  <c:v>5.5393586005830917</c:v>
                </c:pt>
                <c:pt idx="89">
                  <c:v>124.40175261206601</c:v>
                </c:pt>
                <c:pt idx="90">
                  <c:v>16.378859236002089</c:v>
                </c:pt>
                <c:pt idx="91">
                  <c:v>0.656955155669809</c:v>
                </c:pt>
                <c:pt idx="92">
                  <c:v>82.89541473467284</c:v>
                </c:pt>
                <c:pt idx="93">
                  <c:v>2.3364485981308341</c:v>
                </c:pt>
                <c:pt idx="94">
                  <c:v>0</c:v>
                </c:pt>
                <c:pt idx="95">
                  <c:v>6.1001410437235544</c:v>
                </c:pt>
                <c:pt idx="96">
                  <c:v>9.9800399201596832</c:v>
                </c:pt>
                <c:pt idx="97">
                  <c:v>6.5441015539505356</c:v>
                </c:pt>
                <c:pt idx="98">
                  <c:v>6.4643799472295456</c:v>
                </c:pt>
                <c:pt idx="99">
                  <c:v>0.61601642710472304</c:v>
                </c:pt>
                <c:pt idx="100">
                  <c:v>158.14935064935051</c:v>
                </c:pt>
                <c:pt idx="101">
                  <c:v>13.312788906009249</c:v>
                </c:pt>
                <c:pt idx="102">
                  <c:v>10.94276094276095</c:v>
                </c:pt>
                <c:pt idx="103">
                  <c:v>26.481558226274341</c:v>
                </c:pt>
                <c:pt idx="104">
                  <c:v>45</c:v>
                </c:pt>
                <c:pt idx="105">
                  <c:v>26.873661670235531</c:v>
                </c:pt>
                <c:pt idx="106">
                  <c:v>0.56818181818181801</c:v>
                </c:pt>
                <c:pt idx="107">
                  <c:v>18.983516483516471</c:v>
                </c:pt>
                <c:pt idx="108">
                  <c:v>5.1113360323886639</c:v>
                </c:pt>
                <c:pt idx="109">
                  <c:v>2.2206042955951948</c:v>
                </c:pt>
                <c:pt idx="110">
                  <c:v>12.036199095022621</c:v>
                </c:pt>
              </c:numCache>
            </c:numRef>
          </c:yVal>
          <c:smooth val="0"/>
          <c:extLst xmlns:c16r2="http://schemas.microsoft.com/office/drawing/2015/06/chart">
            <c:ext xmlns:c16="http://schemas.microsoft.com/office/drawing/2014/chart" uri="{C3380CC4-5D6E-409C-BE32-E72D297353CC}">
              <c16:uniqueId val="{00000000-1B38-4F66-82CD-F14B6D56507B}"/>
            </c:ext>
          </c:extLst>
        </c:ser>
        <c:dLbls>
          <c:showLegendKey val="0"/>
          <c:showVal val="0"/>
          <c:showCatName val="0"/>
          <c:showSerName val="0"/>
          <c:showPercent val="0"/>
          <c:showBubbleSize val="0"/>
        </c:dLbls>
        <c:axId val="-1224809680"/>
        <c:axId val="-1224794992"/>
      </c:scatterChart>
      <c:valAx>
        <c:axId val="-1224809680"/>
        <c:scaling>
          <c:orientation val="minMax"/>
        </c:scaling>
        <c:delete val="0"/>
        <c:axPos val="b"/>
        <c:title>
          <c:tx>
            <c:rich>
              <a:bodyPr/>
              <a:lstStyle/>
              <a:p>
                <a:pPr>
                  <a:defRPr/>
                </a:pPr>
                <a:r>
                  <a:rPr lang="en-GB"/>
                  <a:t>%</a:t>
                </a:r>
                <a:r>
                  <a:rPr lang="en-GB" baseline="0"/>
                  <a:t> onshore overseas students</a:t>
                </a:r>
                <a:endParaRPr lang="en-GB"/>
              </a:p>
            </c:rich>
          </c:tx>
          <c:overlay val="0"/>
        </c:title>
        <c:numFmt formatCode="General" sourceLinked="1"/>
        <c:majorTickMark val="none"/>
        <c:minorTickMark val="none"/>
        <c:tickLblPos val="nextTo"/>
        <c:crossAx val="-1224794992"/>
        <c:crosses val="autoZero"/>
        <c:crossBetween val="midCat"/>
      </c:valAx>
      <c:valAx>
        <c:axId val="-1224794992"/>
        <c:scaling>
          <c:orientation val="minMax"/>
        </c:scaling>
        <c:delete val="0"/>
        <c:axPos val="l"/>
        <c:majorGridlines/>
        <c:title>
          <c:tx>
            <c:rich>
              <a:bodyPr/>
              <a:lstStyle/>
              <a:p>
                <a:pPr>
                  <a:defRPr/>
                </a:pPr>
                <a:r>
                  <a:rPr lang="en-GB"/>
                  <a:t>%</a:t>
                </a:r>
                <a:r>
                  <a:rPr lang="en-GB" baseline="0"/>
                  <a:t> </a:t>
                </a:r>
                <a:r>
                  <a:rPr lang="en-GB" sz="1000" b="1" i="0" u="none" strike="noStrike" kern="1200" baseline="0">
                    <a:solidFill>
                      <a:sysClr val="windowText" lastClr="000000"/>
                    </a:solidFill>
                    <a:latin typeface="+mn-lt"/>
                    <a:ea typeface="+mn-ea"/>
                    <a:cs typeface="+mn-cs"/>
                  </a:rPr>
                  <a:t>offshore</a:t>
                </a:r>
                <a:r>
                  <a:rPr lang="en-GB" baseline="0"/>
                  <a:t> students</a:t>
                </a:r>
                <a:endParaRPr lang="en-GB"/>
              </a:p>
            </c:rich>
          </c:tx>
          <c:overlay val="0"/>
        </c:title>
        <c:numFmt formatCode="General" sourceLinked="1"/>
        <c:majorTickMark val="none"/>
        <c:minorTickMark val="none"/>
        <c:tickLblPos val="nextTo"/>
        <c:crossAx val="-1224809680"/>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solidFill>
                  <a:srgbClr val="5F705C"/>
                </a:solidFill>
              </a:defRPr>
            </a:pPr>
            <a:r>
              <a:rPr lang="en-GB" sz="900">
                <a:solidFill>
                  <a:srgbClr val="5F705C"/>
                </a:solidFill>
              </a:rPr>
              <a:t>Figure 4:  Change in onshore and </a:t>
            </a:r>
            <a:r>
              <a:rPr lang="en-GB" sz="900" b="1" i="0" u="none" strike="noStrike" kern="1200" baseline="0">
                <a:solidFill>
                  <a:srgbClr val="5F705C"/>
                </a:solidFill>
                <a:latin typeface="+mn-lt"/>
                <a:ea typeface="+mn-ea"/>
                <a:cs typeface="+mn-cs"/>
              </a:rPr>
              <a:t>offshore</a:t>
            </a:r>
            <a:r>
              <a:rPr lang="en-GB" sz="900">
                <a:solidFill>
                  <a:srgbClr val="5F705C"/>
                </a:solidFill>
              </a:rPr>
              <a:t> overseas student enrolments by global region, 2007/08-2015/16 </a:t>
            </a:r>
          </a:p>
        </c:rich>
      </c:tx>
      <c:overlay val="0"/>
    </c:title>
    <c:autoTitleDeleted val="0"/>
    <c:plotArea>
      <c:layout/>
      <c:barChart>
        <c:barDir val="col"/>
        <c:grouping val="clustered"/>
        <c:varyColors val="0"/>
        <c:ser>
          <c:idx val="0"/>
          <c:order val="0"/>
          <c:tx>
            <c:strRef>
              <c:f>[2]figures!$F$3</c:f>
              <c:strCache>
                <c:ptCount val="1"/>
                <c:pt idx="0">
                  <c:v>AOR</c:v>
                </c:pt>
              </c:strCache>
            </c:strRef>
          </c:tx>
          <c:invertIfNegative val="0"/>
          <c:cat>
            <c:strRef>
              <c:f>[2]figures!$E$4:$E$10</c:f>
              <c:strCache>
                <c:ptCount val="7"/>
                <c:pt idx="0">
                  <c:v>Western Europe</c:v>
                </c:pt>
                <c:pt idx="1">
                  <c:v>Eastern Europe</c:v>
                </c:pt>
                <c:pt idx="2">
                  <c:v>Americas, Pacific</c:v>
                </c:pt>
                <c:pt idx="3">
                  <c:v>Africa</c:v>
                </c:pt>
                <c:pt idx="4">
                  <c:v>Middle East</c:v>
                </c:pt>
                <c:pt idx="5">
                  <c:v>South&amp;Central Asia</c:v>
                </c:pt>
                <c:pt idx="6">
                  <c:v>South-East and East Asia</c:v>
                </c:pt>
              </c:strCache>
            </c:strRef>
          </c:cat>
          <c:val>
            <c:numRef>
              <c:f>[2]figures!$F$4:$F$10</c:f>
              <c:numCache>
                <c:formatCode>General</c:formatCode>
                <c:ptCount val="7"/>
                <c:pt idx="0">
                  <c:v>11590</c:v>
                </c:pt>
                <c:pt idx="1">
                  <c:v>-7267</c:v>
                </c:pt>
                <c:pt idx="2">
                  <c:v>8388</c:v>
                </c:pt>
                <c:pt idx="3">
                  <c:v>22751</c:v>
                </c:pt>
                <c:pt idx="4">
                  <c:v>53776</c:v>
                </c:pt>
                <c:pt idx="5">
                  <c:v>31125</c:v>
                </c:pt>
                <c:pt idx="6">
                  <c:v>71881</c:v>
                </c:pt>
              </c:numCache>
            </c:numRef>
          </c:val>
          <c:extLst xmlns:c16r2="http://schemas.microsoft.com/office/drawing/2015/06/chart">
            <c:ext xmlns:c16="http://schemas.microsoft.com/office/drawing/2014/chart" uri="{C3380CC4-5D6E-409C-BE32-E72D297353CC}">
              <c16:uniqueId val="{00000000-9EB5-48BC-BB34-0559FAB13460}"/>
            </c:ext>
          </c:extLst>
        </c:ser>
        <c:ser>
          <c:idx val="1"/>
          <c:order val="1"/>
          <c:tx>
            <c:strRef>
              <c:f>[2]figures!$G$3</c:f>
              <c:strCache>
                <c:ptCount val="1"/>
                <c:pt idx="0">
                  <c:v>OS</c:v>
                </c:pt>
              </c:strCache>
            </c:strRef>
          </c:tx>
          <c:invertIfNegative val="0"/>
          <c:cat>
            <c:strRef>
              <c:f>[2]figures!$E$4:$E$10</c:f>
              <c:strCache>
                <c:ptCount val="7"/>
                <c:pt idx="0">
                  <c:v>Western Europe</c:v>
                </c:pt>
                <c:pt idx="1">
                  <c:v>Eastern Europe</c:v>
                </c:pt>
                <c:pt idx="2">
                  <c:v>Americas, Pacific</c:v>
                </c:pt>
                <c:pt idx="3">
                  <c:v>Africa</c:v>
                </c:pt>
                <c:pt idx="4">
                  <c:v>Middle East</c:v>
                </c:pt>
                <c:pt idx="5">
                  <c:v>South&amp;Central Asia</c:v>
                </c:pt>
                <c:pt idx="6">
                  <c:v>South-East and East Asia</c:v>
                </c:pt>
              </c:strCache>
            </c:strRef>
          </c:cat>
          <c:val>
            <c:numRef>
              <c:f>[2]figures!$G$4:$G$10</c:f>
              <c:numCache>
                <c:formatCode>General</c:formatCode>
                <c:ptCount val="7"/>
                <c:pt idx="0">
                  <c:v>11825</c:v>
                </c:pt>
                <c:pt idx="1">
                  <c:v>18208</c:v>
                </c:pt>
                <c:pt idx="2">
                  <c:v>7614</c:v>
                </c:pt>
                <c:pt idx="3">
                  <c:v>-3154</c:v>
                </c:pt>
                <c:pt idx="4">
                  <c:v>14646</c:v>
                </c:pt>
                <c:pt idx="5">
                  <c:v>-15324</c:v>
                </c:pt>
                <c:pt idx="6">
                  <c:v>72969</c:v>
                </c:pt>
              </c:numCache>
            </c:numRef>
          </c:val>
          <c:extLst xmlns:c16r2="http://schemas.microsoft.com/office/drawing/2015/06/chart">
            <c:ext xmlns:c16="http://schemas.microsoft.com/office/drawing/2014/chart" uri="{C3380CC4-5D6E-409C-BE32-E72D297353CC}">
              <c16:uniqueId val="{00000001-9EB5-48BC-BB34-0559FAB13460}"/>
            </c:ext>
          </c:extLst>
        </c:ser>
        <c:dLbls>
          <c:showLegendKey val="0"/>
          <c:showVal val="0"/>
          <c:showCatName val="0"/>
          <c:showSerName val="0"/>
          <c:showPercent val="0"/>
          <c:showBubbleSize val="0"/>
        </c:dLbls>
        <c:gapWidth val="150"/>
        <c:axId val="-1224818384"/>
        <c:axId val="-1224803152"/>
      </c:barChart>
      <c:catAx>
        <c:axId val="-1224818384"/>
        <c:scaling>
          <c:orientation val="minMax"/>
        </c:scaling>
        <c:delete val="0"/>
        <c:axPos val="b"/>
        <c:numFmt formatCode="General" sourceLinked="0"/>
        <c:majorTickMark val="none"/>
        <c:minorTickMark val="none"/>
        <c:tickLblPos val="nextTo"/>
        <c:crossAx val="-1224803152"/>
        <c:crosses val="autoZero"/>
        <c:auto val="1"/>
        <c:lblAlgn val="ctr"/>
        <c:lblOffset val="100"/>
        <c:noMultiLvlLbl val="0"/>
      </c:catAx>
      <c:valAx>
        <c:axId val="-1224803152"/>
        <c:scaling>
          <c:orientation val="minMax"/>
        </c:scaling>
        <c:delete val="0"/>
        <c:axPos val="l"/>
        <c:majorGridlines/>
        <c:numFmt formatCode="General" sourceLinked="1"/>
        <c:majorTickMark val="none"/>
        <c:minorTickMark val="none"/>
        <c:tickLblPos val="nextTo"/>
        <c:crossAx val="-1224818384"/>
        <c:crosses val="autoZero"/>
        <c:crossBetween val="between"/>
      </c:valAx>
      <c:spPr>
        <a:solidFill>
          <a:srgbClr val="DFE0DB"/>
        </a:solidFill>
      </c:spPr>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en-US" sz="900"/>
              <a:t>Figure</a:t>
            </a:r>
            <a:r>
              <a:rPr lang="en-US" sz="900" baseline="0"/>
              <a:t> 5</a:t>
            </a:r>
            <a:r>
              <a:rPr lang="en-US" sz="900"/>
              <a:t>: Onshore</a:t>
            </a:r>
            <a:r>
              <a:rPr lang="en-US" sz="900" baseline="0"/>
              <a:t> and </a:t>
            </a:r>
            <a:r>
              <a:rPr lang="en-US" sz="900" b="1" i="0" u="none" strike="noStrike" kern="1200" baseline="0">
                <a:solidFill>
                  <a:sysClr val="windowText" lastClr="000000"/>
                </a:solidFill>
                <a:latin typeface="+mn-lt"/>
                <a:ea typeface="+mn-ea"/>
                <a:cs typeface="+mn-cs"/>
              </a:rPr>
              <a:t>offshore</a:t>
            </a:r>
            <a:r>
              <a:rPr lang="en-US" sz="900" baseline="0"/>
              <a:t> overseas students as % of UK students by university ranking (groups of 20), 2015/16</a:t>
            </a:r>
            <a:endParaRPr lang="en-US" sz="900"/>
          </a:p>
        </c:rich>
      </c:tx>
      <c:overlay val="0"/>
    </c:title>
    <c:autoTitleDeleted val="0"/>
    <c:plotArea>
      <c:layout>
        <c:manualLayout>
          <c:layoutTarget val="inner"/>
          <c:xMode val="edge"/>
          <c:yMode val="edge"/>
          <c:x val="6.0877296587926497E-2"/>
          <c:y val="0.176284995625547"/>
          <c:w val="0.89745603674540697"/>
          <c:h val="0.68921660834062404"/>
        </c:manualLayout>
      </c:layout>
      <c:barChart>
        <c:barDir val="col"/>
        <c:grouping val="clustered"/>
        <c:varyColors val="0"/>
        <c:ser>
          <c:idx val="0"/>
          <c:order val="0"/>
          <c:invertIfNegative val="0"/>
          <c:cat>
            <c:strRef>
              <c:f>[3]Sheet22!$M$12:$M$17</c:f>
              <c:strCache>
                <c:ptCount val="6"/>
                <c:pt idx="0">
                  <c:v>1 to 20</c:v>
                </c:pt>
                <c:pt idx="1">
                  <c:v>21-40</c:v>
                </c:pt>
                <c:pt idx="2">
                  <c:v>41-60</c:v>
                </c:pt>
                <c:pt idx="3">
                  <c:v>61-80</c:v>
                </c:pt>
                <c:pt idx="4">
                  <c:v>81-100</c:v>
                </c:pt>
                <c:pt idx="5">
                  <c:v>101-120</c:v>
                </c:pt>
              </c:strCache>
            </c:strRef>
          </c:cat>
          <c:val>
            <c:numRef>
              <c:f>[3]Sheet22!$N$12:$N$17</c:f>
              <c:numCache>
                <c:formatCode>General</c:formatCode>
                <c:ptCount val="6"/>
                <c:pt idx="0">
                  <c:v>42.3</c:v>
                </c:pt>
                <c:pt idx="1">
                  <c:v>37.1</c:v>
                </c:pt>
                <c:pt idx="2">
                  <c:v>21</c:v>
                </c:pt>
                <c:pt idx="3">
                  <c:v>16.3</c:v>
                </c:pt>
                <c:pt idx="4">
                  <c:v>15.2</c:v>
                </c:pt>
                <c:pt idx="5">
                  <c:v>15</c:v>
                </c:pt>
              </c:numCache>
            </c:numRef>
          </c:val>
          <c:extLst xmlns:c16r2="http://schemas.microsoft.com/office/drawing/2015/06/chart">
            <c:ext xmlns:c16="http://schemas.microsoft.com/office/drawing/2014/chart" uri="{C3380CC4-5D6E-409C-BE32-E72D297353CC}">
              <c16:uniqueId val="{00000000-F18D-498D-990F-3B5B1F7798FF}"/>
            </c:ext>
          </c:extLst>
        </c:ser>
        <c:ser>
          <c:idx val="1"/>
          <c:order val="1"/>
          <c:invertIfNegative val="0"/>
          <c:cat>
            <c:strRef>
              <c:f>[3]Sheet22!$M$12:$M$17</c:f>
              <c:strCache>
                <c:ptCount val="6"/>
                <c:pt idx="0">
                  <c:v>1 to 20</c:v>
                </c:pt>
                <c:pt idx="1">
                  <c:v>21-40</c:v>
                </c:pt>
                <c:pt idx="2">
                  <c:v>41-60</c:v>
                </c:pt>
                <c:pt idx="3">
                  <c:v>61-80</c:v>
                </c:pt>
                <c:pt idx="4">
                  <c:v>81-100</c:v>
                </c:pt>
                <c:pt idx="5">
                  <c:v>101-120</c:v>
                </c:pt>
              </c:strCache>
            </c:strRef>
          </c:cat>
          <c:val>
            <c:numRef>
              <c:f>[3]Sheet22!$O$12:$O$17</c:f>
              <c:numCache>
                <c:formatCode>General</c:formatCode>
                <c:ptCount val="6"/>
                <c:pt idx="0">
                  <c:v>10.3</c:v>
                </c:pt>
                <c:pt idx="1">
                  <c:v>21.7</c:v>
                </c:pt>
                <c:pt idx="2">
                  <c:v>17.5</c:v>
                </c:pt>
                <c:pt idx="3">
                  <c:v>20.6</c:v>
                </c:pt>
                <c:pt idx="4">
                  <c:v>31.3</c:v>
                </c:pt>
                <c:pt idx="5">
                  <c:v>22.4</c:v>
                </c:pt>
              </c:numCache>
            </c:numRef>
          </c:val>
          <c:extLst xmlns:c16r2="http://schemas.microsoft.com/office/drawing/2015/06/chart">
            <c:ext xmlns:c16="http://schemas.microsoft.com/office/drawing/2014/chart" uri="{C3380CC4-5D6E-409C-BE32-E72D297353CC}">
              <c16:uniqueId val="{00000001-F18D-498D-990F-3B5B1F7798FF}"/>
            </c:ext>
          </c:extLst>
        </c:ser>
        <c:dLbls>
          <c:showLegendKey val="0"/>
          <c:showVal val="0"/>
          <c:showCatName val="0"/>
          <c:showSerName val="0"/>
          <c:showPercent val="0"/>
          <c:showBubbleSize val="0"/>
        </c:dLbls>
        <c:gapWidth val="150"/>
        <c:axId val="-1224802064"/>
        <c:axId val="-1224807504"/>
      </c:barChart>
      <c:catAx>
        <c:axId val="-1224802064"/>
        <c:scaling>
          <c:orientation val="minMax"/>
        </c:scaling>
        <c:delete val="1"/>
        <c:axPos val="b"/>
        <c:numFmt formatCode="General" sourceLinked="0"/>
        <c:majorTickMark val="none"/>
        <c:minorTickMark val="none"/>
        <c:tickLblPos val="nextTo"/>
        <c:crossAx val="-1224807504"/>
        <c:crosses val="autoZero"/>
        <c:auto val="1"/>
        <c:lblAlgn val="ctr"/>
        <c:lblOffset val="100"/>
        <c:noMultiLvlLbl val="0"/>
      </c:catAx>
      <c:valAx>
        <c:axId val="-1224807504"/>
        <c:scaling>
          <c:orientation val="minMax"/>
        </c:scaling>
        <c:delete val="0"/>
        <c:axPos val="l"/>
        <c:majorGridlines/>
        <c:numFmt formatCode="General" sourceLinked="1"/>
        <c:majorTickMark val="none"/>
        <c:minorTickMark val="none"/>
        <c:tickLblPos val="nextTo"/>
        <c:crossAx val="-12248020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AA897-2977-49E2-9ECB-77F7BDD3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7769</Words>
  <Characters>44288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cp:lastPrinted>2019-12-05T13:36:00Z</cp:lastPrinted>
  <dcterms:created xsi:type="dcterms:W3CDTF">2021-04-10T11:42:00Z</dcterms:created>
  <dcterms:modified xsi:type="dcterms:W3CDTF">2021-04-10T11:42:00Z</dcterms:modified>
</cp:coreProperties>
</file>