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CD4" w:rsidRDefault="003D4CD4" w:rsidP="003D4CD4">
      <w:pPr>
        <w:tabs>
          <w:tab w:val="left" w:pos="2460"/>
        </w:tabs>
        <w:ind w:firstLine="720"/>
        <w:rPr>
          <w:b/>
          <w:sz w:val="28"/>
          <w:szCs w:val="28"/>
        </w:rPr>
      </w:pPr>
      <w:bookmarkStart w:id="0" w:name="_GoBack"/>
      <w:bookmarkEnd w:id="0"/>
    </w:p>
    <w:p w:rsidR="003D4CD4" w:rsidRDefault="003D4CD4" w:rsidP="003D4CD4">
      <w:pPr>
        <w:tabs>
          <w:tab w:val="left" w:pos="2460"/>
        </w:tabs>
        <w:ind w:firstLine="720"/>
        <w:jc w:val="center"/>
        <w:rPr>
          <w:b/>
          <w:sz w:val="40"/>
          <w:szCs w:val="40"/>
        </w:rPr>
      </w:pPr>
    </w:p>
    <w:p w:rsidR="00BD0B24" w:rsidRDefault="00BD0B24" w:rsidP="00BD0B24">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36"/>
          <w:szCs w:val="36"/>
        </w:rPr>
      </w:pPr>
    </w:p>
    <w:p w:rsidR="003D4CD4" w:rsidRPr="002E03C0" w:rsidRDefault="003D4CD4" w:rsidP="00BD0B24">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36"/>
          <w:szCs w:val="36"/>
        </w:rPr>
      </w:pPr>
      <w:r w:rsidRPr="002E03C0">
        <w:rPr>
          <w:rFonts w:ascii="Times New Roman" w:hAnsi="Times New Roman" w:cs="Times New Roman"/>
          <w:sz w:val="36"/>
          <w:szCs w:val="36"/>
        </w:rPr>
        <w:t xml:space="preserve">KSD WORKING PAPER </w:t>
      </w:r>
      <w:r>
        <w:rPr>
          <w:rFonts w:ascii="Times New Roman" w:hAnsi="Times New Roman" w:cs="Times New Roman"/>
          <w:sz w:val="36"/>
          <w:szCs w:val="36"/>
        </w:rPr>
        <w:t>6</w:t>
      </w:r>
    </w:p>
    <w:p w:rsidR="003D4CD4" w:rsidRPr="002E03C0" w:rsidRDefault="003D4CD4" w:rsidP="00BD0B24">
      <w:pPr>
        <w:pBdr>
          <w:top w:val="single" w:sz="4" w:space="1" w:color="auto"/>
          <w:left w:val="single" w:sz="4" w:space="4" w:color="auto"/>
          <w:bottom w:val="single" w:sz="4" w:space="1" w:color="auto"/>
          <w:right w:val="single" w:sz="4" w:space="4" w:color="auto"/>
        </w:pBdr>
        <w:spacing w:line="240" w:lineRule="auto"/>
        <w:ind w:firstLine="720"/>
        <w:jc w:val="center"/>
        <w:rPr>
          <w:rFonts w:ascii="Times New Roman" w:hAnsi="Times New Roman" w:cs="Times New Roman"/>
          <w:sz w:val="40"/>
          <w:szCs w:val="40"/>
        </w:rPr>
      </w:pPr>
    </w:p>
    <w:p w:rsidR="003D4CD4" w:rsidRPr="002E03C0" w:rsidRDefault="003D4CD4" w:rsidP="00BD0B24">
      <w:pPr>
        <w:pBdr>
          <w:top w:val="single" w:sz="4" w:space="1" w:color="auto"/>
          <w:left w:val="single" w:sz="4" w:space="4" w:color="auto"/>
          <w:bottom w:val="single" w:sz="4" w:space="1" w:color="auto"/>
          <w:right w:val="single" w:sz="4" w:space="4" w:color="auto"/>
        </w:pBdr>
        <w:spacing w:line="240" w:lineRule="auto"/>
        <w:ind w:firstLine="720"/>
        <w:jc w:val="center"/>
        <w:rPr>
          <w:rFonts w:ascii="Times New Roman" w:hAnsi="Times New Roman" w:cs="Times New Roman"/>
          <w:b/>
          <w:sz w:val="40"/>
          <w:szCs w:val="40"/>
        </w:rPr>
      </w:pPr>
    </w:p>
    <w:p w:rsidR="003D4CD4" w:rsidRDefault="003D4CD4" w:rsidP="00BD0B24">
      <w:pPr>
        <w:pBdr>
          <w:top w:val="single" w:sz="4" w:space="1" w:color="auto"/>
          <w:left w:val="single" w:sz="4" w:space="4" w:color="auto"/>
          <w:bottom w:val="single" w:sz="4" w:space="1" w:color="auto"/>
          <w:right w:val="single" w:sz="4" w:space="4" w:color="auto"/>
        </w:pBdr>
        <w:tabs>
          <w:tab w:val="left" w:pos="2460"/>
        </w:tabs>
        <w:ind w:firstLine="720"/>
        <w:rPr>
          <w:rFonts w:ascii="Times New Roman" w:hAnsi="Times New Roman" w:cs="Times New Roman"/>
          <w:b/>
          <w:sz w:val="40"/>
          <w:szCs w:val="40"/>
        </w:rPr>
      </w:pPr>
      <w:r w:rsidRPr="002E03C0">
        <w:rPr>
          <w:rFonts w:ascii="Times New Roman" w:hAnsi="Times New Roman" w:cs="Times New Roman"/>
          <w:b/>
          <w:sz w:val="40"/>
          <w:szCs w:val="40"/>
        </w:rPr>
        <w:tab/>
      </w:r>
    </w:p>
    <w:p w:rsidR="003D4CD4" w:rsidRDefault="003D4CD4" w:rsidP="00BD0B24">
      <w:pPr>
        <w:pBdr>
          <w:top w:val="single" w:sz="4" w:space="1" w:color="auto"/>
          <w:left w:val="single" w:sz="4" w:space="4" w:color="auto"/>
          <w:bottom w:val="single" w:sz="4" w:space="1" w:color="auto"/>
          <w:right w:val="single" w:sz="4" w:space="4" w:color="auto"/>
        </w:pBdr>
        <w:ind w:firstLine="720"/>
        <w:jc w:val="center"/>
        <w:rPr>
          <w:rFonts w:ascii="Times New Roman" w:hAnsi="Times New Roman" w:cs="Times New Roman"/>
          <w:b/>
          <w:sz w:val="28"/>
          <w:szCs w:val="28"/>
        </w:rPr>
      </w:pPr>
      <w:r w:rsidRPr="003D4CD4">
        <w:rPr>
          <w:rFonts w:ascii="Times New Roman" w:hAnsi="Times New Roman" w:cs="Times New Roman"/>
          <w:sz w:val="40"/>
          <w:szCs w:val="40"/>
        </w:rPr>
        <w:t>THE POLITICAL ECONOMY OF ATTAINING UNIVERSAL PRIMARY EDUCATION IN SUB-SAHARAN AFRICA:</w:t>
      </w:r>
      <w:r w:rsidRPr="003D4CD4">
        <w:rPr>
          <w:rFonts w:ascii="Times New Roman" w:hAnsi="Times New Roman" w:cs="Times New Roman"/>
          <w:sz w:val="40"/>
          <w:szCs w:val="40"/>
        </w:rPr>
        <w:t xml:space="preserve"> </w:t>
      </w:r>
      <w:r w:rsidRPr="003D4CD4">
        <w:rPr>
          <w:rFonts w:ascii="Times New Roman" w:hAnsi="Times New Roman" w:cs="Times New Roman"/>
          <w:sz w:val="40"/>
          <w:szCs w:val="40"/>
        </w:rPr>
        <w:t>SOCIAL CLASS REPRODUCTION, EDUCATION DISTANCING AND JOB COMPETITION</w:t>
      </w:r>
    </w:p>
    <w:p w:rsidR="003D4CD4" w:rsidRDefault="003D4CD4" w:rsidP="00BD0B24">
      <w:pPr>
        <w:pBdr>
          <w:top w:val="single" w:sz="4" w:space="1" w:color="auto"/>
          <w:left w:val="single" w:sz="4" w:space="4" w:color="auto"/>
          <w:bottom w:val="single" w:sz="4" w:space="1" w:color="auto"/>
          <w:right w:val="single" w:sz="4" w:space="4" w:color="auto"/>
        </w:pBdr>
        <w:ind w:firstLine="720"/>
        <w:jc w:val="center"/>
        <w:rPr>
          <w:rFonts w:ascii="Times New Roman" w:hAnsi="Times New Roman" w:cs="Times New Roman"/>
          <w:sz w:val="40"/>
          <w:szCs w:val="40"/>
        </w:rPr>
      </w:pPr>
      <w:r w:rsidRPr="003D4CD4">
        <w:rPr>
          <w:rFonts w:ascii="Times New Roman" w:hAnsi="Times New Roman" w:cs="Times New Roman"/>
          <w:sz w:val="40"/>
          <w:szCs w:val="40"/>
        </w:rPr>
        <w:t xml:space="preserve"> </w:t>
      </w:r>
    </w:p>
    <w:p w:rsidR="003D4CD4" w:rsidRDefault="003D4CD4" w:rsidP="00BD0B24">
      <w:pPr>
        <w:pBdr>
          <w:top w:val="single" w:sz="4" w:space="1" w:color="auto"/>
          <w:left w:val="single" w:sz="4" w:space="4" w:color="auto"/>
          <w:bottom w:val="single" w:sz="4" w:space="1" w:color="auto"/>
          <w:right w:val="single" w:sz="4" w:space="4" w:color="auto"/>
        </w:pBdr>
        <w:tabs>
          <w:tab w:val="left" w:pos="2460"/>
        </w:tabs>
        <w:ind w:firstLine="720"/>
        <w:rPr>
          <w:rFonts w:ascii="Times New Roman" w:hAnsi="Times New Roman" w:cs="Times New Roman"/>
          <w:b/>
          <w:sz w:val="40"/>
          <w:szCs w:val="40"/>
        </w:rPr>
      </w:pPr>
    </w:p>
    <w:p w:rsidR="003D4CD4" w:rsidRPr="002E03C0" w:rsidRDefault="003D4CD4" w:rsidP="00BD0B24">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40"/>
          <w:szCs w:val="40"/>
        </w:rPr>
      </w:pPr>
      <w:r w:rsidRPr="002E03C0">
        <w:rPr>
          <w:rFonts w:ascii="Times New Roman" w:hAnsi="Times New Roman" w:cs="Times New Roman"/>
          <w:sz w:val="40"/>
          <w:szCs w:val="40"/>
        </w:rPr>
        <w:t>PAUL BEN</w:t>
      </w:r>
      <w:r>
        <w:rPr>
          <w:rFonts w:ascii="Times New Roman" w:hAnsi="Times New Roman" w:cs="Times New Roman"/>
          <w:sz w:val="40"/>
          <w:szCs w:val="40"/>
        </w:rPr>
        <w:t>N</w:t>
      </w:r>
      <w:r w:rsidRPr="002E03C0">
        <w:rPr>
          <w:rFonts w:ascii="Times New Roman" w:hAnsi="Times New Roman" w:cs="Times New Roman"/>
          <w:sz w:val="40"/>
          <w:szCs w:val="40"/>
        </w:rPr>
        <w:t>ELL</w:t>
      </w:r>
    </w:p>
    <w:p w:rsidR="003D4CD4" w:rsidRPr="002E03C0" w:rsidRDefault="003D4CD4" w:rsidP="00BD0B24">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40"/>
          <w:szCs w:val="40"/>
        </w:rPr>
      </w:pPr>
      <w:r w:rsidRPr="002E03C0">
        <w:rPr>
          <w:rFonts w:ascii="Times New Roman" w:hAnsi="Times New Roman" w:cs="Times New Roman"/>
          <w:sz w:val="32"/>
          <w:szCs w:val="32"/>
        </w:rPr>
        <w:t>KNOWLEDGE AND SKILLS FOR DEVELOPMENT</w:t>
      </w:r>
      <w:r w:rsidRPr="002E03C0">
        <w:rPr>
          <w:rFonts w:ascii="Times New Roman" w:hAnsi="Times New Roman" w:cs="Times New Roman"/>
          <w:sz w:val="40"/>
          <w:szCs w:val="40"/>
        </w:rPr>
        <w:t xml:space="preserve"> </w:t>
      </w:r>
    </w:p>
    <w:p w:rsidR="003D4CD4" w:rsidRPr="002E03C0" w:rsidRDefault="003D4CD4" w:rsidP="00BD0B24">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32"/>
          <w:szCs w:val="32"/>
        </w:rPr>
      </w:pPr>
      <w:r w:rsidRPr="002E03C0">
        <w:rPr>
          <w:rFonts w:ascii="Times New Roman" w:hAnsi="Times New Roman" w:cs="Times New Roman"/>
          <w:sz w:val="32"/>
          <w:szCs w:val="32"/>
        </w:rPr>
        <w:t>BRIGHTON, UK</w:t>
      </w:r>
    </w:p>
    <w:p w:rsidR="003D4CD4" w:rsidRPr="002E03C0" w:rsidRDefault="003D4CD4" w:rsidP="00BD0B24">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32"/>
          <w:szCs w:val="32"/>
        </w:rPr>
      </w:pPr>
    </w:p>
    <w:p w:rsidR="003D4CD4" w:rsidRPr="002E03C0" w:rsidRDefault="003D4CD4" w:rsidP="00BD0B24">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40"/>
          <w:szCs w:val="40"/>
        </w:rPr>
      </w:pPr>
    </w:p>
    <w:p w:rsidR="003D4CD4" w:rsidRDefault="003D4CD4" w:rsidP="00BD0B24">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40"/>
          <w:szCs w:val="40"/>
        </w:rPr>
      </w:pPr>
    </w:p>
    <w:p w:rsidR="003D4CD4" w:rsidRDefault="003D4CD4" w:rsidP="00BD0B24">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32"/>
          <w:szCs w:val="32"/>
        </w:rPr>
      </w:pPr>
      <w:r w:rsidRPr="002E03C0">
        <w:rPr>
          <w:rFonts w:ascii="Times New Roman" w:hAnsi="Times New Roman" w:cs="Times New Roman"/>
          <w:sz w:val="32"/>
          <w:szCs w:val="32"/>
        </w:rPr>
        <w:t>AUGUST 2020</w:t>
      </w:r>
    </w:p>
    <w:p w:rsidR="00BD0B24" w:rsidRDefault="00BD0B24" w:rsidP="00BD0B24">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32"/>
          <w:szCs w:val="32"/>
        </w:rPr>
      </w:pPr>
    </w:p>
    <w:p w:rsidR="00BD0B24" w:rsidRDefault="00BD0B24" w:rsidP="00BD0B24">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32"/>
          <w:szCs w:val="32"/>
        </w:rPr>
      </w:pPr>
    </w:p>
    <w:p w:rsidR="00354650" w:rsidRDefault="003D4CD4" w:rsidP="00BD0B24">
      <w:pPr>
        <w:jc w:val="center"/>
        <w:rPr>
          <w:rFonts w:ascii="Times New Roman" w:hAnsi="Times New Roman" w:cs="Times New Roman"/>
          <w:b/>
          <w:sz w:val="28"/>
          <w:szCs w:val="28"/>
        </w:rPr>
      </w:pPr>
      <w:r w:rsidRPr="002E03C0">
        <w:rPr>
          <w:rFonts w:ascii="Times New Roman" w:hAnsi="Times New Roman" w:cs="Times New Roman"/>
          <w:b/>
          <w:sz w:val="40"/>
          <w:szCs w:val="40"/>
        </w:rPr>
        <w:br w:type="page"/>
      </w:r>
      <w:r w:rsidR="006735D9" w:rsidRPr="003B3EF6">
        <w:rPr>
          <w:rFonts w:ascii="Times New Roman" w:hAnsi="Times New Roman" w:cs="Times New Roman"/>
          <w:b/>
          <w:sz w:val="28"/>
          <w:szCs w:val="28"/>
        </w:rPr>
        <w:lastRenderedPageBreak/>
        <w:t>THE POLITICAL ECONOMY</w:t>
      </w:r>
      <w:r w:rsidR="00144BA7" w:rsidRPr="003B3EF6">
        <w:rPr>
          <w:rFonts w:ascii="Times New Roman" w:hAnsi="Times New Roman" w:cs="Times New Roman"/>
          <w:b/>
          <w:sz w:val="28"/>
          <w:szCs w:val="28"/>
        </w:rPr>
        <w:t xml:space="preserve"> OF </w:t>
      </w:r>
      <w:r w:rsidR="009D3064">
        <w:rPr>
          <w:rFonts w:ascii="Times New Roman" w:hAnsi="Times New Roman" w:cs="Times New Roman"/>
          <w:b/>
          <w:sz w:val="28"/>
          <w:szCs w:val="28"/>
        </w:rPr>
        <w:t xml:space="preserve">ATTAINING UNIVERSAL </w:t>
      </w:r>
      <w:r w:rsidR="00144BA7" w:rsidRPr="003B3EF6">
        <w:rPr>
          <w:rFonts w:ascii="Times New Roman" w:hAnsi="Times New Roman" w:cs="Times New Roman"/>
          <w:b/>
          <w:sz w:val="28"/>
          <w:szCs w:val="28"/>
        </w:rPr>
        <w:t>PRIMARY EDUCATION IN SUB-SAHARAN AFRICA</w:t>
      </w:r>
      <w:r w:rsidR="000B1CA9">
        <w:rPr>
          <w:rFonts w:ascii="Times New Roman" w:hAnsi="Times New Roman" w:cs="Times New Roman"/>
          <w:b/>
          <w:sz w:val="28"/>
          <w:szCs w:val="28"/>
        </w:rPr>
        <w:t>:</w:t>
      </w:r>
    </w:p>
    <w:p w:rsidR="009D3064" w:rsidRDefault="00354650" w:rsidP="00BD0B24">
      <w:pPr>
        <w:ind w:firstLine="720"/>
        <w:jc w:val="center"/>
        <w:rPr>
          <w:rFonts w:ascii="Times New Roman" w:hAnsi="Times New Roman" w:cs="Times New Roman"/>
          <w:b/>
          <w:sz w:val="28"/>
          <w:szCs w:val="28"/>
        </w:rPr>
      </w:pPr>
      <w:r>
        <w:rPr>
          <w:rFonts w:ascii="Times New Roman" w:hAnsi="Times New Roman" w:cs="Times New Roman"/>
          <w:b/>
          <w:sz w:val="28"/>
          <w:szCs w:val="28"/>
        </w:rPr>
        <w:t>SOCIAL CLASS</w:t>
      </w:r>
      <w:r w:rsidR="009952D6">
        <w:rPr>
          <w:rFonts w:ascii="Times New Roman" w:hAnsi="Times New Roman" w:cs="Times New Roman"/>
          <w:b/>
          <w:sz w:val="28"/>
          <w:szCs w:val="28"/>
        </w:rPr>
        <w:t xml:space="preserve"> REPRODUCTION</w:t>
      </w:r>
      <w:r>
        <w:rPr>
          <w:rFonts w:ascii="Times New Roman" w:hAnsi="Times New Roman" w:cs="Times New Roman"/>
          <w:b/>
          <w:sz w:val="28"/>
          <w:szCs w:val="28"/>
        </w:rPr>
        <w:t xml:space="preserve">, </w:t>
      </w:r>
      <w:r w:rsidR="000B1CA9" w:rsidRPr="003B3EF6">
        <w:rPr>
          <w:rFonts w:ascii="Times New Roman" w:hAnsi="Times New Roman" w:cs="Times New Roman"/>
          <w:b/>
          <w:sz w:val="28"/>
          <w:szCs w:val="28"/>
        </w:rPr>
        <w:t>EDUCATION</w:t>
      </w:r>
      <w:r w:rsidR="009952D6">
        <w:rPr>
          <w:rFonts w:ascii="Times New Roman" w:hAnsi="Times New Roman" w:cs="Times New Roman"/>
          <w:b/>
          <w:sz w:val="28"/>
          <w:szCs w:val="28"/>
        </w:rPr>
        <w:t xml:space="preserve"> DISTANCING</w:t>
      </w:r>
      <w:r w:rsidR="000B1CA9" w:rsidRPr="003B3EF6">
        <w:rPr>
          <w:rFonts w:ascii="Times New Roman" w:hAnsi="Times New Roman" w:cs="Times New Roman"/>
          <w:b/>
          <w:sz w:val="28"/>
          <w:szCs w:val="28"/>
        </w:rPr>
        <w:t xml:space="preserve"> </w:t>
      </w:r>
      <w:r>
        <w:rPr>
          <w:rFonts w:ascii="Times New Roman" w:hAnsi="Times New Roman" w:cs="Times New Roman"/>
          <w:b/>
          <w:sz w:val="28"/>
          <w:szCs w:val="28"/>
        </w:rPr>
        <w:t xml:space="preserve">AND </w:t>
      </w:r>
      <w:r w:rsidR="000B1CA9" w:rsidRPr="003B3EF6">
        <w:rPr>
          <w:rFonts w:ascii="Times New Roman" w:hAnsi="Times New Roman" w:cs="Times New Roman"/>
          <w:b/>
          <w:sz w:val="28"/>
          <w:szCs w:val="28"/>
        </w:rPr>
        <w:t xml:space="preserve">JOB </w:t>
      </w:r>
      <w:r w:rsidR="000B1CA9">
        <w:rPr>
          <w:rFonts w:ascii="Times New Roman" w:hAnsi="Times New Roman" w:cs="Times New Roman"/>
          <w:b/>
          <w:sz w:val="28"/>
          <w:szCs w:val="28"/>
        </w:rPr>
        <w:t>COMPETITION</w:t>
      </w:r>
    </w:p>
    <w:p w:rsidR="009D3064" w:rsidRDefault="009D3064" w:rsidP="000B1CA9">
      <w:pPr>
        <w:ind w:firstLine="720"/>
        <w:jc w:val="center"/>
        <w:rPr>
          <w:rFonts w:ascii="Times New Roman" w:hAnsi="Times New Roman" w:cs="Times New Roman"/>
          <w:b/>
          <w:sz w:val="28"/>
          <w:szCs w:val="28"/>
        </w:rPr>
      </w:pPr>
    </w:p>
    <w:p w:rsidR="00B92B0E" w:rsidRPr="003B3EF6" w:rsidRDefault="00B92B0E" w:rsidP="00CE3D32">
      <w:pPr>
        <w:ind w:firstLine="720"/>
        <w:jc w:val="center"/>
        <w:rPr>
          <w:rFonts w:ascii="Times New Roman" w:hAnsi="Times New Roman" w:cs="Times New Roman"/>
          <w:b/>
          <w:sz w:val="28"/>
          <w:szCs w:val="28"/>
        </w:rPr>
      </w:pPr>
    </w:p>
    <w:p w:rsidR="00E21A16" w:rsidRPr="003B3EF6" w:rsidRDefault="00E21A16" w:rsidP="00CF29FF">
      <w:pPr>
        <w:jc w:val="both"/>
        <w:rPr>
          <w:rFonts w:ascii="Times New Roman" w:hAnsi="Times New Roman" w:cs="Times New Roman"/>
          <w:sz w:val="28"/>
          <w:szCs w:val="28"/>
        </w:rPr>
      </w:pPr>
    </w:p>
    <w:p w:rsidR="003D1453" w:rsidRPr="0035666A" w:rsidRDefault="0035666A" w:rsidP="003133DF">
      <w:pPr>
        <w:pStyle w:val="ListParagraph"/>
        <w:numPr>
          <w:ilvl w:val="0"/>
          <w:numId w:val="3"/>
        </w:numPr>
        <w:spacing w:line="360" w:lineRule="auto"/>
        <w:jc w:val="both"/>
        <w:rPr>
          <w:rFonts w:ascii="Times New Roman" w:hAnsi="Times New Roman" w:cs="Times New Roman"/>
          <w:b/>
          <w:sz w:val="28"/>
          <w:szCs w:val="28"/>
        </w:rPr>
      </w:pPr>
      <w:r w:rsidRPr="0035666A">
        <w:rPr>
          <w:rFonts w:ascii="Times New Roman" w:hAnsi="Times New Roman" w:cs="Times New Roman"/>
          <w:b/>
          <w:sz w:val="28"/>
          <w:szCs w:val="28"/>
        </w:rPr>
        <w:t>Introduction</w:t>
      </w:r>
    </w:p>
    <w:p w:rsidR="000B1CA9" w:rsidRPr="003133DF" w:rsidRDefault="000B1CA9" w:rsidP="003133DF">
      <w:pPr>
        <w:spacing w:line="360" w:lineRule="auto"/>
        <w:jc w:val="both"/>
        <w:rPr>
          <w:rFonts w:ascii="Times New Roman" w:hAnsi="Times New Roman" w:cs="Times New Roman"/>
          <w:sz w:val="28"/>
          <w:szCs w:val="28"/>
        </w:rPr>
      </w:pPr>
      <w:r w:rsidRPr="003133DF">
        <w:rPr>
          <w:rFonts w:ascii="Times New Roman" w:hAnsi="Times New Roman" w:cs="Times New Roman"/>
          <w:sz w:val="28"/>
          <w:szCs w:val="28"/>
        </w:rPr>
        <w:t xml:space="preserve">This is the first of two articles on the political economy of primary education reform in sub-Saharan Africa. It explores three key sets of factors which </w:t>
      </w:r>
      <w:r w:rsidR="00AD612B">
        <w:rPr>
          <w:rFonts w:ascii="Times New Roman" w:hAnsi="Times New Roman" w:cs="Times New Roman"/>
          <w:sz w:val="28"/>
          <w:szCs w:val="28"/>
        </w:rPr>
        <w:t xml:space="preserve">could be </w:t>
      </w:r>
      <w:r w:rsidRPr="003133DF">
        <w:rPr>
          <w:rFonts w:ascii="Times New Roman" w:hAnsi="Times New Roman" w:cs="Times New Roman"/>
          <w:sz w:val="28"/>
          <w:szCs w:val="28"/>
        </w:rPr>
        <w:t xml:space="preserve">influencing the degree to which the goal of universal primary education in SSA is likely to be attained. These are the rapid emergence of new social class relations which are </w:t>
      </w:r>
      <w:r w:rsidR="00693129" w:rsidRPr="003133DF">
        <w:rPr>
          <w:rFonts w:ascii="Times New Roman" w:hAnsi="Times New Roman" w:cs="Times New Roman"/>
          <w:sz w:val="28"/>
          <w:szCs w:val="28"/>
        </w:rPr>
        <w:t xml:space="preserve">related to </w:t>
      </w:r>
      <w:r w:rsidR="008B7156" w:rsidRPr="003133DF">
        <w:rPr>
          <w:rFonts w:ascii="Times New Roman" w:hAnsi="Times New Roman" w:cs="Times New Roman"/>
          <w:sz w:val="28"/>
          <w:szCs w:val="28"/>
        </w:rPr>
        <w:t xml:space="preserve">key </w:t>
      </w:r>
      <w:r w:rsidRPr="003133DF">
        <w:rPr>
          <w:rFonts w:ascii="Times New Roman" w:hAnsi="Times New Roman" w:cs="Times New Roman"/>
          <w:sz w:val="28"/>
          <w:szCs w:val="28"/>
        </w:rPr>
        <w:t>educational development</w:t>
      </w:r>
      <w:r w:rsidR="008B7156" w:rsidRPr="003133DF">
        <w:rPr>
          <w:rFonts w:ascii="Times New Roman" w:hAnsi="Times New Roman" w:cs="Times New Roman"/>
          <w:sz w:val="28"/>
          <w:szCs w:val="28"/>
        </w:rPr>
        <w:t>s</w:t>
      </w:r>
      <w:r w:rsidRPr="003133DF">
        <w:rPr>
          <w:rFonts w:ascii="Times New Roman" w:hAnsi="Times New Roman" w:cs="Times New Roman"/>
          <w:sz w:val="28"/>
          <w:szCs w:val="28"/>
        </w:rPr>
        <w:t xml:space="preserve"> in many countries</w:t>
      </w:r>
      <w:r w:rsidR="008B7156" w:rsidRPr="003133DF">
        <w:rPr>
          <w:rFonts w:ascii="Times New Roman" w:hAnsi="Times New Roman" w:cs="Times New Roman"/>
          <w:sz w:val="28"/>
          <w:szCs w:val="28"/>
        </w:rPr>
        <w:t xml:space="preserve">, </w:t>
      </w:r>
      <w:r w:rsidR="00693129" w:rsidRPr="003133DF">
        <w:rPr>
          <w:rFonts w:ascii="Times New Roman" w:hAnsi="Times New Roman" w:cs="Times New Roman"/>
          <w:sz w:val="28"/>
          <w:szCs w:val="28"/>
        </w:rPr>
        <w:t>(</w:t>
      </w:r>
      <w:r w:rsidR="008B7156" w:rsidRPr="003133DF">
        <w:rPr>
          <w:rFonts w:ascii="Times New Roman" w:hAnsi="Times New Roman" w:cs="Times New Roman"/>
          <w:sz w:val="28"/>
          <w:szCs w:val="28"/>
        </w:rPr>
        <w:t>in particular the rapid growth of higher education and private schooling provision</w:t>
      </w:r>
      <w:r w:rsidR="00693129" w:rsidRPr="003133DF">
        <w:rPr>
          <w:rFonts w:ascii="Times New Roman" w:hAnsi="Times New Roman" w:cs="Times New Roman"/>
          <w:sz w:val="28"/>
          <w:szCs w:val="28"/>
        </w:rPr>
        <w:t>)</w:t>
      </w:r>
      <w:r w:rsidR="00AD612B">
        <w:rPr>
          <w:rFonts w:ascii="Times New Roman" w:hAnsi="Times New Roman" w:cs="Times New Roman"/>
          <w:sz w:val="28"/>
          <w:szCs w:val="28"/>
        </w:rPr>
        <w:t xml:space="preserve">, </w:t>
      </w:r>
      <w:r w:rsidR="00693129" w:rsidRPr="003133DF">
        <w:rPr>
          <w:rFonts w:ascii="Times New Roman" w:hAnsi="Times New Roman" w:cs="Times New Roman"/>
          <w:sz w:val="28"/>
          <w:szCs w:val="28"/>
        </w:rPr>
        <w:t xml:space="preserve"> the overall demand for primary education and the competitio</w:t>
      </w:r>
      <w:r w:rsidR="003133DF">
        <w:rPr>
          <w:rFonts w:ascii="Times New Roman" w:hAnsi="Times New Roman" w:cs="Times New Roman"/>
          <w:sz w:val="28"/>
          <w:szCs w:val="28"/>
        </w:rPr>
        <w:t>n for jobs in the formal sector</w:t>
      </w:r>
      <w:r w:rsidRPr="003133DF">
        <w:rPr>
          <w:rFonts w:ascii="Times New Roman" w:hAnsi="Times New Roman" w:cs="Times New Roman"/>
          <w:sz w:val="28"/>
          <w:szCs w:val="28"/>
        </w:rPr>
        <w:t>.</w:t>
      </w:r>
      <w:r w:rsidR="00A877AC" w:rsidRPr="003133DF">
        <w:rPr>
          <w:rFonts w:ascii="Times New Roman" w:hAnsi="Times New Roman" w:cs="Times New Roman"/>
          <w:sz w:val="28"/>
          <w:szCs w:val="28"/>
        </w:rPr>
        <w:t xml:space="preserve"> This provides the essential contextual background for the second </w:t>
      </w:r>
      <w:r w:rsidR="003133DF">
        <w:rPr>
          <w:rFonts w:ascii="Times New Roman" w:hAnsi="Times New Roman" w:cs="Times New Roman"/>
          <w:sz w:val="28"/>
          <w:szCs w:val="28"/>
        </w:rPr>
        <w:t xml:space="preserve">article </w:t>
      </w:r>
      <w:r w:rsidR="00A877AC" w:rsidRPr="003133DF">
        <w:rPr>
          <w:rFonts w:ascii="Times New Roman" w:hAnsi="Times New Roman" w:cs="Times New Roman"/>
          <w:sz w:val="28"/>
          <w:szCs w:val="28"/>
        </w:rPr>
        <w:t xml:space="preserve">which </w:t>
      </w:r>
      <w:r w:rsidR="008B7156" w:rsidRPr="003133DF">
        <w:rPr>
          <w:rFonts w:ascii="Times New Roman" w:hAnsi="Times New Roman" w:cs="Times New Roman"/>
          <w:sz w:val="28"/>
          <w:szCs w:val="28"/>
        </w:rPr>
        <w:t>explore</w:t>
      </w:r>
      <w:r w:rsidR="00B9451A">
        <w:rPr>
          <w:rFonts w:ascii="Times New Roman" w:hAnsi="Times New Roman" w:cs="Times New Roman"/>
          <w:sz w:val="28"/>
          <w:szCs w:val="28"/>
        </w:rPr>
        <w:t>s</w:t>
      </w:r>
      <w:r w:rsidR="008B7156" w:rsidRPr="003133DF">
        <w:rPr>
          <w:rFonts w:ascii="Times New Roman" w:hAnsi="Times New Roman" w:cs="Times New Roman"/>
          <w:sz w:val="28"/>
          <w:szCs w:val="28"/>
        </w:rPr>
        <w:t xml:space="preserve"> </w:t>
      </w:r>
      <w:r w:rsidR="00A877AC" w:rsidRPr="003133DF">
        <w:rPr>
          <w:rFonts w:ascii="Times New Roman" w:hAnsi="Times New Roman" w:cs="Times New Roman"/>
          <w:sz w:val="28"/>
          <w:szCs w:val="28"/>
        </w:rPr>
        <w:t xml:space="preserve">the politics of UPE and, in particular, the level of </w:t>
      </w:r>
      <w:r w:rsidR="008B7156" w:rsidRPr="003133DF">
        <w:rPr>
          <w:rFonts w:ascii="Times New Roman" w:hAnsi="Times New Roman" w:cs="Times New Roman"/>
          <w:sz w:val="28"/>
          <w:szCs w:val="28"/>
        </w:rPr>
        <w:t xml:space="preserve">elite </w:t>
      </w:r>
      <w:r w:rsidR="00A877AC" w:rsidRPr="003133DF">
        <w:rPr>
          <w:rFonts w:ascii="Times New Roman" w:hAnsi="Times New Roman" w:cs="Times New Roman"/>
          <w:sz w:val="28"/>
          <w:szCs w:val="28"/>
        </w:rPr>
        <w:t>political commitment for the attainment of UPE.</w:t>
      </w:r>
    </w:p>
    <w:p w:rsidR="00A742A3" w:rsidRPr="003133DF" w:rsidRDefault="001E550B" w:rsidP="003133DF">
      <w:pPr>
        <w:spacing w:line="360" w:lineRule="auto"/>
        <w:jc w:val="both"/>
        <w:rPr>
          <w:rFonts w:ascii="Times New Roman" w:hAnsi="Times New Roman" w:cs="Times New Roman"/>
          <w:sz w:val="28"/>
          <w:szCs w:val="28"/>
        </w:rPr>
      </w:pPr>
      <w:r w:rsidRPr="003133DF">
        <w:rPr>
          <w:rFonts w:ascii="Times New Roman" w:hAnsi="Times New Roman" w:cs="Times New Roman"/>
          <w:sz w:val="28"/>
          <w:szCs w:val="28"/>
        </w:rPr>
        <w:t>The m</w:t>
      </w:r>
      <w:r w:rsidR="003D1453" w:rsidRPr="003133DF">
        <w:rPr>
          <w:rFonts w:ascii="Times New Roman" w:hAnsi="Times New Roman" w:cs="Times New Roman"/>
          <w:sz w:val="28"/>
          <w:szCs w:val="28"/>
        </w:rPr>
        <w:t xml:space="preserve">ost recent World Bank review of education in </w:t>
      </w:r>
      <w:r w:rsidRPr="003133DF">
        <w:rPr>
          <w:rFonts w:ascii="Times New Roman" w:hAnsi="Times New Roman" w:cs="Times New Roman"/>
          <w:sz w:val="28"/>
          <w:szCs w:val="28"/>
        </w:rPr>
        <w:t>Sub-Saharan Africa (</w:t>
      </w:r>
      <w:r w:rsidR="003D1453" w:rsidRPr="003133DF">
        <w:rPr>
          <w:rFonts w:ascii="Times New Roman" w:hAnsi="Times New Roman" w:cs="Times New Roman"/>
          <w:sz w:val="28"/>
          <w:szCs w:val="28"/>
        </w:rPr>
        <w:t>SSA</w:t>
      </w:r>
      <w:r w:rsidRPr="003133DF">
        <w:rPr>
          <w:rFonts w:ascii="Times New Roman" w:hAnsi="Times New Roman" w:cs="Times New Roman"/>
          <w:sz w:val="28"/>
          <w:szCs w:val="28"/>
        </w:rPr>
        <w:t>)</w:t>
      </w:r>
      <w:r w:rsidR="003D1453" w:rsidRPr="003133DF">
        <w:rPr>
          <w:rFonts w:ascii="Times New Roman" w:hAnsi="Times New Roman" w:cs="Times New Roman"/>
          <w:sz w:val="28"/>
          <w:szCs w:val="28"/>
        </w:rPr>
        <w:t xml:space="preserve"> concludes that the overall progress in achieving </w:t>
      </w:r>
      <w:r w:rsidRPr="003133DF">
        <w:rPr>
          <w:rFonts w:ascii="Times New Roman" w:hAnsi="Times New Roman" w:cs="Times New Roman"/>
          <w:sz w:val="28"/>
          <w:szCs w:val="28"/>
        </w:rPr>
        <w:t>the goal of Universal Primary Education (UPE)</w:t>
      </w:r>
      <w:r w:rsidR="003D1453" w:rsidRPr="003133DF">
        <w:rPr>
          <w:rFonts w:ascii="Times New Roman" w:hAnsi="Times New Roman" w:cs="Times New Roman"/>
          <w:sz w:val="28"/>
          <w:szCs w:val="28"/>
        </w:rPr>
        <w:t xml:space="preserve"> has been ‘nothing short of astounding’ (</w:t>
      </w:r>
      <w:r w:rsidR="00260510" w:rsidRPr="003133DF">
        <w:rPr>
          <w:rFonts w:ascii="Times New Roman" w:hAnsi="Times New Roman" w:cs="Times New Roman"/>
          <w:sz w:val="28"/>
          <w:szCs w:val="28"/>
        </w:rPr>
        <w:t xml:space="preserve">Bashir et al. 2018, </w:t>
      </w:r>
      <w:r w:rsidR="003D1453" w:rsidRPr="003133DF">
        <w:rPr>
          <w:rFonts w:ascii="Times New Roman" w:hAnsi="Times New Roman" w:cs="Times New Roman"/>
          <w:sz w:val="28"/>
          <w:szCs w:val="28"/>
        </w:rPr>
        <w:t>xxxi)</w:t>
      </w:r>
      <w:r w:rsidRPr="003133DF">
        <w:rPr>
          <w:rFonts w:ascii="Times New Roman" w:hAnsi="Times New Roman" w:cs="Times New Roman"/>
          <w:sz w:val="28"/>
          <w:szCs w:val="28"/>
        </w:rPr>
        <w:t xml:space="preserve">. </w:t>
      </w:r>
      <w:r w:rsidR="00A742A3" w:rsidRPr="003133DF">
        <w:rPr>
          <w:rFonts w:ascii="Times New Roman" w:hAnsi="Times New Roman" w:cs="Times New Roman"/>
          <w:sz w:val="28"/>
          <w:szCs w:val="28"/>
        </w:rPr>
        <w:t>In particular, t</w:t>
      </w:r>
      <w:r w:rsidRPr="003133DF">
        <w:rPr>
          <w:rFonts w:ascii="Times New Roman" w:hAnsi="Times New Roman" w:cs="Times New Roman"/>
          <w:sz w:val="28"/>
          <w:szCs w:val="28"/>
        </w:rPr>
        <w:t xml:space="preserve">otal primary school enrolments increased from </w:t>
      </w:r>
      <w:r w:rsidR="00B24E3E" w:rsidRPr="003133DF">
        <w:rPr>
          <w:rFonts w:ascii="Times New Roman" w:hAnsi="Times New Roman" w:cs="Times New Roman"/>
          <w:sz w:val="28"/>
          <w:szCs w:val="28"/>
        </w:rPr>
        <w:t>63 million in 1990</w:t>
      </w:r>
      <w:r w:rsidRPr="003133DF">
        <w:rPr>
          <w:rFonts w:ascii="Times New Roman" w:hAnsi="Times New Roman" w:cs="Times New Roman"/>
          <w:sz w:val="28"/>
          <w:szCs w:val="28"/>
        </w:rPr>
        <w:t xml:space="preserve"> to </w:t>
      </w:r>
      <w:r w:rsidR="00260510" w:rsidRPr="003133DF">
        <w:rPr>
          <w:rFonts w:ascii="Times New Roman" w:hAnsi="Times New Roman" w:cs="Times New Roman"/>
          <w:sz w:val="28"/>
          <w:szCs w:val="28"/>
        </w:rPr>
        <w:t>152</w:t>
      </w:r>
      <w:r w:rsidRPr="003133DF">
        <w:rPr>
          <w:rFonts w:ascii="Times New Roman" w:hAnsi="Times New Roman" w:cs="Times New Roman"/>
          <w:sz w:val="28"/>
          <w:szCs w:val="28"/>
        </w:rPr>
        <w:t xml:space="preserve"> </w:t>
      </w:r>
      <w:r w:rsidR="00B24E3E" w:rsidRPr="003133DF">
        <w:rPr>
          <w:rFonts w:ascii="Times New Roman" w:hAnsi="Times New Roman" w:cs="Times New Roman"/>
          <w:sz w:val="28"/>
          <w:szCs w:val="28"/>
        </w:rPr>
        <w:t xml:space="preserve">million </w:t>
      </w:r>
      <w:r w:rsidRPr="003133DF">
        <w:rPr>
          <w:rFonts w:ascii="Times New Roman" w:hAnsi="Times New Roman" w:cs="Times New Roman"/>
          <w:sz w:val="28"/>
          <w:szCs w:val="28"/>
        </w:rPr>
        <w:t>in 2015. And yet</w:t>
      </w:r>
      <w:r w:rsidR="00396A07" w:rsidRPr="003133DF">
        <w:rPr>
          <w:rFonts w:ascii="Times New Roman" w:hAnsi="Times New Roman" w:cs="Times New Roman"/>
          <w:sz w:val="28"/>
          <w:szCs w:val="28"/>
        </w:rPr>
        <w:t>, it</w:t>
      </w:r>
      <w:r w:rsidRPr="003133DF">
        <w:rPr>
          <w:rFonts w:ascii="Times New Roman" w:hAnsi="Times New Roman" w:cs="Times New Roman"/>
          <w:sz w:val="28"/>
          <w:szCs w:val="28"/>
        </w:rPr>
        <w:t xml:space="preserve"> is clear that the ultimate </w:t>
      </w:r>
      <w:r w:rsidR="000A5AE1" w:rsidRPr="003133DF">
        <w:rPr>
          <w:rFonts w:ascii="Times New Roman" w:hAnsi="Times New Roman" w:cs="Times New Roman"/>
          <w:sz w:val="28"/>
          <w:szCs w:val="28"/>
        </w:rPr>
        <w:t>goal of UPE</w:t>
      </w:r>
      <w:r w:rsidR="00A742A3" w:rsidRPr="003133DF">
        <w:rPr>
          <w:rFonts w:ascii="Times New Roman" w:hAnsi="Times New Roman" w:cs="Times New Roman"/>
          <w:sz w:val="28"/>
          <w:szCs w:val="28"/>
        </w:rPr>
        <w:t>,</w:t>
      </w:r>
      <w:r w:rsidR="000A5AE1" w:rsidRPr="003133DF">
        <w:rPr>
          <w:rFonts w:ascii="Times New Roman" w:hAnsi="Times New Roman" w:cs="Times New Roman"/>
          <w:sz w:val="28"/>
          <w:szCs w:val="28"/>
        </w:rPr>
        <w:t xml:space="preserve"> </w:t>
      </w:r>
      <w:r w:rsidR="00FB2954" w:rsidRPr="003133DF">
        <w:rPr>
          <w:rFonts w:ascii="Times New Roman" w:hAnsi="Times New Roman" w:cs="Times New Roman"/>
          <w:sz w:val="28"/>
          <w:szCs w:val="28"/>
        </w:rPr>
        <w:t xml:space="preserve">namely that all children complete primary education </w:t>
      </w:r>
      <w:r w:rsidR="00724EEA" w:rsidRPr="003133DF">
        <w:rPr>
          <w:rFonts w:ascii="Times New Roman" w:hAnsi="Times New Roman" w:cs="Times New Roman"/>
          <w:sz w:val="28"/>
          <w:szCs w:val="28"/>
        </w:rPr>
        <w:t xml:space="preserve">is far from being achieved in </w:t>
      </w:r>
      <w:r w:rsidR="000A5AE1" w:rsidRPr="003133DF">
        <w:rPr>
          <w:rFonts w:ascii="Times New Roman" w:hAnsi="Times New Roman" w:cs="Times New Roman"/>
          <w:sz w:val="28"/>
          <w:szCs w:val="28"/>
        </w:rPr>
        <w:t>mos</w:t>
      </w:r>
      <w:r w:rsidR="00D914D8" w:rsidRPr="003133DF">
        <w:rPr>
          <w:rFonts w:ascii="Times New Roman" w:hAnsi="Times New Roman" w:cs="Times New Roman"/>
          <w:sz w:val="28"/>
          <w:szCs w:val="28"/>
        </w:rPr>
        <w:t>t countries</w:t>
      </w:r>
      <w:r w:rsidRPr="003133DF">
        <w:rPr>
          <w:rFonts w:ascii="Times New Roman" w:hAnsi="Times New Roman" w:cs="Times New Roman"/>
          <w:sz w:val="28"/>
          <w:szCs w:val="28"/>
        </w:rPr>
        <w:t xml:space="preserve"> in SSA</w:t>
      </w:r>
      <w:r w:rsidR="00D914D8" w:rsidRPr="003133DF">
        <w:rPr>
          <w:rFonts w:ascii="Times New Roman" w:hAnsi="Times New Roman" w:cs="Times New Roman"/>
          <w:sz w:val="28"/>
          <w:szCs w:val="28"/>
        </w:rPr>
        <w:t>.</w:t>
      </w:r>
      <w:r w:rsidRPr="003133DF">
        <w:rPr>
          <w:rFonts w:ascii="Times New Roman" w:hAnsi="Times New Roman" w:cs="Times New Roman"/>
          <w:sz w:val="28"/>
          <w:szCs w:val="28"/>
        </w:rPr>
        <w:t xml:space="preserve"> In </w:t>
      </w:r>
      <w:r w:rsidR="00E9004D" w:rsidRPr="003133DF">
        <w:rPr>
          <w:rFonts w:ascii="Times New Roman" w:hAnsi="Times New Roman" w:cs="Times New Roman"/>
          <w:sz w:val="28"/>
          <w:szCs w:val="28"/>
        </w:rPr>
        <w:t>its 2015 review of the UPE Millennium</w:t>
      </w:r>
      <w:r w:rsidRPr="003133DF">
        <w:rPr>
          <w:rFonts w:ascii="Times New Roman" w:hAnsi="Times New Roman" w:cs="Times New Roman"/>
          <w:sz w:val="28"/>
          <w:szCs w:val="28"/>
        </w:rPr>
        <w:t xml:space="preserve"> Develo</w:t>
      </w:r>
      <w:r w:rsidR="00A742A3" w:rsidRPr="003133DF">
        <w:rPr>
          <w:rFonts w:ascii="Times New Roman" w:hAnsi="Times New Roman" w:cs="Times New Roman"/>
          <w:sz w:val="28"/>
          <w:szCs w:val="28"/>
        </w:rPr>
        <w:t xml:space="preserve">pment Goal, the UNESCO Global </w:t>
      </w:r>
      <w:r w:rsidR="003857D2" w:rsidRPr="003133DF">
        <w:rPr>
          <w:rFonts w:ascii="Times New Roman" w:hAnsi="Times New Roman" w:cs="Times New Roman"/>
          <w:sz w:val="28"/>
          <w:szCs w:val="28"/>
        </w:rPr>
        <w:t xml:space="preserve">Education </w:t>
      </w:r>
      <w:r w:rsidR="00AE4AB9" w:rsidRPr="003133DF">
        <w:rPr>
          <w:rFonts w:ascii="Times New Roman" w:hAnsi="Times New Roman" w:cs="Times New Roman"/>
          <w:sz w:val="28"/>
          <w:szCs w:val="28"/>
        </w:rPr>
        <w:t>Monitoring Report concluded</w:t>
      </w:r>
      <w:r w:rsidR="008154B8" w:rsidRPr="003133DF">
        <w:rPr>
          <w:rFonts w:ascii="Times New Roman" w:hAnsi="Times New Roman" w:cs="Times New Roman"/>
          <w:sz w:val="28"/>
          <w:szCs w:val="28"/>
        </w:rPr>
        <w:t xml:space="preserve"> that </w:t>
      </w:r>
      <w:r w:rsidRPr="003133DF">
        <w:rPr>
          <w:rFonts w:ascii="Times New Roman" w:hAnsi="Times New Roman" w:cs="Times New Roman"/>
          <w:sz w:val="28"/>
          <w:szCs w:val="28"/>
        </w:rPr>
        <w:t xml:space="preserve">progress </w:t>
      </w:r>
      <w:r w:rsidR="00A742A3" w:rsidRPr="003133DF">
        <w:rPr>
          <w:rFonts w:ascii="Times New Roman" w:hAnsi="Times New Roman" w:cs="Times New Roman"/>
          <w:sz w:val="28"/>
          <w:szCs w:val="28"/>
        </w:rPr>
        <w:t xml:space="preserve">has </w:t>
      </w:r>
      <w:r w:rsidR="008154B8" w:rsidRPr="003133DF">
        <w:rPr>
          <w:rFonts w:ascii="Times New Roman" w:hAnsi="Times New Roman" w:cs="Times New Roman"/>
          <w:sz w:val="28"/>
          <w:szCs w:val="28"/>
        </w:rPr>
        <w:t>‘</w:t>
      </w:r>
      <w:r w:rsidRPr="003133DF">
        <w:rPr>
          <w:rFonts w:ascii="Times New Roman" w:hAnsi="Times New Roman" w:cs="Times New Roman"/>
          <w:sz w:val="28"/>
          <w:szCs w:val="28"/>
        </w:rPr>
        <w:t>sta</w:t>
      </w:r>
      <w:r w:rsidR="008154B8" w:rsidRPr="003133DF">
        <w:rPr>
          <w:rFonts w:ascii="Times New Roman" w:hAnsi="Times New Roman" w:cs="Times New Roman"/>
          <w:sz w:val="28"/>
          <w:szCs w:val="28"/>
        </w:rPr>
        <w:t>gnated</w:t>
      </w:r>
      <w:r w:rsidRPr="003133DF">
        <w:rPr>
          <w:rFonts w:ascii="Times New Roman" w:hAnsi="Times New Roman" w:cs="Times New Roman"/>
          <w:sz w:val="28"/>
          <w:szCs w:val="28"/>
        </w:rPr>
        <w:t xml:space="preserve"> since 2007</w:t>
      </w:r>
      <w:r w:rsidR="00AE4AB9" w:rsidRPr="003133DF">
        <w:rPr>
          <w:rFonts w:ascii="Times New Roman" w:hAnsi="Times New Roman" w:cs="Times New Roman"/>
          <w:sz w:val="28"/>
          <w:szCs w:val="28"/>
        </w:rPr>
        <w:t>’ (p</w:t>
      </w:r>
      <w:r w:rsidR="00396A07" w:rsidRPr="003133DF">
        <w:rPr>
          <w:rFonts w:ascii="Times New Roman" w:hAnsi="Times New Roman" w:cs="Times New Roman"/>
          <w:sz w:val="28"/>
          <w:szCs w:val="28"/>
        </w:rPr>
        <w:t>.</w:t>
      </w:r>
      <w:r w:rsidR="008154B8" w:rsidRPr="003133DF">
        <w:rPr>
          <w:rFonts w:ascii="Times New Roman" w:hAnsi="Times New Roman" w:cs="Times New Roman"/>
          <w:sz w:val="28"/>
          <w:szCs w:val="28"/>
        </w:rPr>
        <w:t>6</w:t>
      </w:r>
      <w:r w:rsidR="00396A07" w:rsidRPr="003133DF">
        <w:rPr>
          <w:rFonts w:ascii="Times New Roman" w:hAnsi="Times New Roman" w:cs="Times New Roman"/>
          <w:sz w:val="28"/>
          <w:szCs w:val="28"/>
        </w:rPr>
        <w:t>)</w:t>
      </w:r>
      <w:r w:rsidR="008154B8" w:rsidRPr="003133DF">
        <w:rPr>
          <w:rStyle w:val="FootnoteReference"/>
          <w:rFonts w:ascii="Times New Roman" w:hAnsi="Times New Roman" w:cs="Times New Roman"/>
          <w:sz w:val="28"/>
          <w:szCs w:val="28"/>
        </w:rPr>
        <w:footnoteReference w:id="1"/>
      </w:r>
      <w:r w:rsidR="00A742A3" w:rsidRPr="003133DF">
        <w:rPr>
          <w:rFonts w:ascii="Times New Roman" w:hAnsi="Times New Roman" w:cs="Times New Roman"/>
          <w:sz w:val="28"/>
          <w:szCs w:val="28"/>
        </w:rPr>
        <w:t xml:space="preserve">. Other commentators </w:t>
      </w:r>
      <w:r w:rsidR="00A742A3" w:rsidRPr="003133DF">
        <w:rPr>
          <w:rFonts w:ascii="Times New Roman" w:hAnsi="Times New Roman" w:cs="Times New Roman"/>
          <w:sz w:val="28"/>
          <w:szCs w:val="28"/>
        </w:rPr>
        <w:lastRenderedPageBreak/>
        <w:t xml:space="preserve">have </w:t>
      </w:r>
      <w:r w:rsidR="00AE4AB9" w:rsidRPr="003133DF">
        <w:rPr>
          <w:rFonts w:ascii="Times New Roman" w:hAnsi="Times New Roman" w:cs="Times New Roman"/>
          <w:sz w:val="28"/>
          <w:szCs w:val="28"/>
        </w:rPr>
        <w:t xml:space="preserve">also </w:t>
      </w:r>
      <w:r w:rsidR="00A742A3" w:rsidRPr="003133DF">
        <w:rPr>
          <w:rFonts w:ascii="Times New Roman" w:hAnsi="Times New Roman" w:cs="Times New Roman"/>
          <w:sz w:val="28"/>
          <w:szCs w:val="28"/>
        </w:rPr>
        <w:t xml:space="preserve">expressed </w:t>
      </w:r>
      <w:r w:rsidR="00AE4AB9" w:rsidRPr="003133DF">
        <w:rPr>
          <w:rFonts w:ascii="Times New Roman" w:hAnsi="Times New Roman" w:cs="Times New Roman"/>
          <w:sz w:val="28"/>
          <w:szCs w:val="28"/>
        </w:rPr>
        <w:t xml:space="preserve">significant </w:t>
      </w:r>
      <w:r w:rsidR="00A742A3" w:rsidRPr="003133DF">
        <w:rPr>
          <w:rFonts w:ascii="Times New Roman" w:hAnsi="Times New Roman" w:cs="Times New Roman"/>
          <w:sz w:val="28"/>
          <w:szCs w:val="28"/>
        </w:rPr>
        <w:t xml:space="preserve">concerns about the prospects for attaining </w:t>
      </w:r>
      <w:r w:rsidR="00AE4AB9" w:rsidRPr="003133DF">
        <w:rPr>
          <w:rFonts w:ascii="Times New Roman" w:hAnsi="Times New Roman" w:cs="Times New Roman"/>
          <w:sz w:val="28"/>
          <w:szCs w:val="28"/>
        </w:rPr>
        <w:t xml:space="preserve">UPE in the foreseeable future (see, for example, </w:t>
      </w:r>
      <w:r w:rsidR="00A20FDC">
        <w:rPr>
          <w:rFonts w:ascii="Times New Roman" w:hAnsi="Times New Roman" w:cs="Times New Roman"/>
          <w:sz w:val="28"/>
          <w:szCs w:val="28"/>
        </w:rPr>
        <w:t xml:space="preserve">Frederiksen, 2020; </w:t>
      </w:r>
      <w:r w:rsidR="00AE4AB9" w:rsidRPr="003133DF">
        <w:rPr>
          <w:rFonts w:ascii="Times New Roman" w:hAnsi="Times New Roman" w:cs="Times New Roman"/>
          <w:sz w:val="28"/>
          <w:szCs w:val="28"/>
        </w:rPr>
        <w:t xml:space="preserve">Kosack, 2008). </w:t>
      </w:r>
    </w:p>
    <w:p w:rsidR="00724EEA" w:rsidRPr="003133DF" w:rsidRDefault="0035666A" w:rsidP="003133DF">
      <w:pPr>
        <w:spacing w:line="360" w:lineRule="auto"/>
        <w:jc w:val="both"/>
        <w:rPr>
          <w:rFonts w:ascii="Times New Roman" w:hAnsi="Times New Roman" w:cs="Times New Roman"/>
          <w:i/>
          <w:sz w:val="28"/>
          <w:szCs w:val="28"/>
        </w:rPr>
      </w:pPr>
      <w:r w:rsidRPr="003133DF">
        <w:rPr>
          <w:rFonts w:ascii="Times New Roman" w:hAnsi="Times New Roman" w:cs="Times New Roman"/>
          <w:i/>
          <w:sz w:val="28"/>
          <w:szCs w:val="28"/>
        </w:rPr>
        <w:t xml:space="preserve">1.1 </w:t>
      </w:r>
      <w:r w:rsidR="00724EEA" w:rsidRPr="003133DF">
        <w:rPr>
          <w:rFonts w:ascii="Times New Roman" w:hAnsi="Times New Roman" w:cs="Times New Roman"/>
          <w:i/>
          <w:sz w:val="28"/>
          <w:szCs w:val="28"/>
        </w:rPr>
        <w:t xml:space="preserve">Standard explanations </w:t>
      </w:r>
    </w:p>
    <w:p w:rsidR="00724EEA" w:rsidRPr="003133DF" w:rsidRDefault="00724EEA" w:rsidP="003133DF">
      <w:pPr>
        <w:spacing w:line="360" w:lineRule="auto"/>
        <w:jc w:val="both"/>
        <w:rPr>
          <w:rFonts w:ascii="Times New Roman" w:hAnsi="Times New Roman" w:cs="Times New Roman"/>
          <w:sz w:val="28"/>
          <w:szCs w:val="28"/>
        </w:rPr>
      </w:pPr>
      <w:r w:rsidRPr="003133DF">
        <w:rPr>
          <w:rFonts w:ascii="Times New Roman" w:hAnsi="Times New Roman" w:cs="Times New Roman"/>
          <w:sz w:val="28"/>
          <w:szCs w:val="28"/>
        </w:rPr>
        <w:t>Getting the large numb</w:t>
      </w:r>
      <w:r w:rsidR="0045578D" w:rsidRPr="003133DF">
        <w:rPr>
          <w:rFonts w:ascii="Times New Roman" w:hAnsi="Times New Roman" w:cs="Times New Roman"/>
          <w:sz w:val="28"/>
          <w:szCs w:val="28"/>
        </w:rPr>
        <w:t>ers of children who remain ‘out-of-</w:t>
      </w:r>
      <w:r w:rsidRPr="003133DF">
        <w:rPr>
          <w:rFonts w:ascii="Times New Roman" w:hAnsi="Times New Roman" w:cs="Times New Roman"/>
          <w:sz w:val="28"/>
          <w:szCs w:val="28"/>
        </w:rPr>
        <w:t xml:space="preserve">school’ to complete primary schooling is the key issue in ensuring the attainment of UPE. </w:t>
      </w:r>
      <w:r w:rsidR="00B80522" w:rsidRPr="003133DF">
        <w:rPr>
          <w:rFonts w:ascii="Times New Roman" w:hAnsi="Times New Roman" w:cs="Times New Roman"/>
          <w:sz w:val="28"/>
          <w:szCs w:val="28"/>
        </w:rPr>
        <w:t xml:space="preserve">The latest World Bank review exemplifies the approach typically adopted by educational economists and other expert commentators in </w:t>
      </w:r>
      <w:r w:rsidR="0045578D" w:rsidRPr="003133DF">
        <w:rPr>
          <w:rFonts w:ascii="Times New Roman" w:hAnsi="Times New Roman" w:cs="Times New Roman"/>
          <w:sz w:val="28"/>
          <w:szCs w:val="28"/>
        </w:rPr>
        <w:t>analysing this issue</w:t>
      </w:r>
      <w:r w:rsidR="00E9004D" w:rsidRPr="003133DF">
        <w:rPr>
          <w:rFonts w:ascii="Times New Roman" w:hAnsi="Times New Roman" w:cs="Times New Roman"/>
          <w:sz w:val="28"/>
          <w:szCs w:val="28"/>
        </w:rPr>
        <w:t>.</w:t>
      </w:r>
      <w:r w:rsidR="00B80522" w:rsidRPr="003133DF">
        <w:rPr>
          <w:rFonts w:ascii="Times New Roman" w:hAnsi="Times New Roman" w:cs="Times New Roman"/>
          <w:sz w:val="28"/>
          <w:szCs w:val="28"/>
        </w:rPr>
        <w:t xml:space="preserve"> While reference is made to the ‘social, cultural, economic, security and political context’, </w:t>
      </w:r>
      <w:r w:rsidR="00AE4AB9" w:rsidRPr="003133DF">
        <w:rPr>
          <w:rFonts w:ascii="Times New Roman" w:hAnsi="Times New Roman" w:cs="Times New Roman"/>
          <w:sz w:val="28"/>
          <w:szCs w:val="28"/>
        </w:rPr>
        <w:t xml:space="preserve">little or </w:t>
      </w:r>
      <w:r w:rsidR="00B80522" w:rsidRPr="003133DF">
        <w:rPr>
          <w:rFonts w:ascii="Times New Roman" w:hAnsi="Times New Roman" w:cs="Times New Roman"/>
          <w:sz w:val="28"/>
          <w:szCs w:val="28"/>
        </w:rPr>
        <w:t>no attempt is made to</w:t>
      </w:r>
      <w:r w:rsidR="00D42179" w:rsidRPr="003133DF">
        <w:rPr>
          <w:rFonts w:ascii="Times New Roman" w:hAnsi="Times New Roman" w:cs="Times New Roman"/>
          <w:sz w:val="28"/>
          <w:szCs w:val="28"/>
        </w:rPr>
        <w:t xml:space="preserve"> </w:t>
      </w:r>
      <w:r w:rsidR="0045578D" w:rsidRPr="003133DF">
        <w:rPr>
          <w:rFonts w:ascii="Times New Roman" w:hAnsi="Times New Roman" w:cs="Times New Roman"/>
          <w:sz w:val="28"/>
          <w:szCs w:val="28"/>
        </w:rPr>
        <w:t xml:space="preserve">investigate </w:t>
      </w:r>
      <w:r w:rsidR="00D42179" w:rsidRPr="003133DF">
        <w:rPr>
          <w:rFonts w:ascii="Times New Roman" w:hAnsi="Times New Roman" w:cs="Times New Roman"/>
          <w:sz w:val="28"/>
          <w:szCs w:val="28"/>
        </w:rPr>
        <w:t xml:space="preserve">any of these contextual factors in any detail. Instead, the </w:t>
      </w:r>
      <w:r w:rsidR="00AE4AB9" w:rsidRPr="003133DF">
        <w:rPr>
          <w:rFonts w:ascii="Times New Roman" w:hAnsi="Times New Roman" w:cs="Times New Roman"/>
          <w:sz w:val="28"/>
          <w:szCs w:val="28"/>
        </w:rPr>
        <w:t xml:space="preserve">World </w:t>
      </w:r>
      <w:r w:rsidR="0059452C" w:rsidRPr="003133DF">
        <w:rPr>
          <w:rFonts w:ascii="Times New Roman" w:hAnsi="Times New Roman" w:cs="Times New Roman"/>
          <w:sz w:val="28"/>
          <w:szCs w:val="28"/>
        </w:rPr>
        <w:t xml:space="preserve">Bank </w:t>
      </w:r>
      <w:r w:rsidR="00D42179" w:rsidRPr="003133DF">
        <w:rPr>
          <w:rFonts w:ascii="Times New Roman" w:hAnsi="Times New Roman" w:cs="Times New Roman"/>
          <w:sz w:val="28"/>
          <w:szCs w:val="28"/>
        </w:rPr>
        <w:t xml:space="preserve">Review postulates the following seven </w:t>
      </w:r>
      <w:r w:rsidR="0021028C" w:rsidRPr="003133DF">
        <w:rPr>
          <w:rFonts w:ascii="Times New Roman" w:hAnsi="Times New Roman" w:cs="Times New Roman"/>
          <w:sz w:val="28"/>
          <w:szCs w:val="28"/>
        </w:rPr>
        <w:t>‘</w:t>
      </w:r>
      <w:r w:rsidR="00D42179" w:rsidRPr="003133DF">
        <w:rPr>
          <w:rFonts w:ascii="Times New Roman" w:hAnsi="Times New Roman" w:cs="Times New Roman"/>
          <w:sz w:val="28"/>
          <w:szCs w:val="28"/>
        </w:rPr>
        <w:t>challenges</w:t>
      </w:r>
      <w:r w:rsidR="0021028C" w:rsidRPr="003133DF">
        <w:rPr>
          <w:rFonts w:ascii="Times New Roman" w:hAnsi="Times New Roman" w:cs="Times New Roman"/>
          <w:sz w:val="28"/>
          <w:szCs w:val="28"/>
        </w:rPr>
        <w:t>’</w:t>
      </w:r>
      <w:r w:rsidR="00D42179" w:rsidRPr="003133DF">
        <w:rPr>
          <w:rFonts w:ascii="Times New Roman" w:hAnsi="Times New Roman" w:cs="Times New Roman"/>
          <w:sz w:val="28"/>
          <w:szCs w:val="28"/>
        </w:rPr>
        <w:t xml:space="preserve"> that are preventing the attainment of UPE: </w:t>
      </w:r>
      <w:r w:rsidR="00B01BE6" w:rsidRPr="003133DF">
        <w:rPr>
          <w:rFonts w:ascii="Times New Roman" w:hAnsi="Times New Roman" w:cs="Times New Roman"/>
          <w:sz w:val="28"/>
          <w:szCs w:val="28"/>
        </w:rPr>
        <w:t>large populations, high annual child population growth, low GD</w:t>
      </w:r>
      <w:r w:rsidR="0024439A" w:rsidRPr="003133DF">
        <w:rPr>
          <w:rFonts w:ascii="Times New Roman" w:hAnsi="Times New Roman" w:cs="Times New Roman"/>
          <w:sz w:val="28"/>
          <w:szCs w:val="28"/>
        </w:rPr>
        <w:t>P</w:t>
      </w:r>
      <w:r w:rsidR="00B01BE6" w:rsidRPr="003133DF">
        <w:rPr>
          <w:rFonts w:ascii="Times New Roman" w:hAnsi="Times New Roman" w:cs="Times New Roman"/>
          <w:sz w:val="28"/>
          <w:szCs w:val="28"/>
        </w:rPr>
        <w:t xml:space="preserve"> growth per capita, high inequality, high share of population in poverty, high linguistic diversity index, and high conflict.</w:t>
      </w:r>
      <w:r w:rsidR="00D42179" w:rsidRPr="003133DF">
        <w:rPr>
          <w:rFonts w:ascii="Times New Roman" w:hAnsi="Times New Roman" w:cs="Times New Roman"/>
          <w:sz w:val="28"/>
          <w:szCs w:val="28"/>
        </w:rPr>
        <w:t xml:space="preserve">  While these are undoubtedly </w:t>
      </w:r>
      <w:r w:rsidR="00650140" w:rsidRPr="003133DF">
        <w:rPr>
          <w:rFonts w:ascii="Times New Roman" w:hAnsi="Times New Roman" w:cs="Times New Roman"/>
          <w:sz w:val="28"/>
          <w:szCs w:val="28"/>
        </w:rPr>
        <w:t>important factor</w:t>
      </w:r>
      <w:r w:rsidR="0024439A" w:rsidRPr="003133DF">
        <w:rPr>
          <w:rFonts w:ascii="Times New Roman" w:hAnsi="Times New Roman" w:cs="Times New Roman"/>
          <w:sz w:val="28"/>
          <w:szCs w:val="28"/>
        </w:rPr>
        <w:t>s</w:t>
      </w:r>
      <w:r w:rsidR="00D42179" w:rsidRPr="003133DF">
        <w:rPr>
          <w:rFonts w:ascii="Times New Roman" w:hAnsi="Times New Roman" w:cs="Times New Roman"/>
          <w:sz w:val="28"/>
          <w:szCs w:val="28"/>
        </w:rPr>
        <w:t xml:space="preserve">, what </w:t>
      </w:r>
      <w:r w:rsidR="0021028C" w:rsidRPr="003133DF">
        <w:rPr>
          <w:rFonts w:ascii="Times New Roman" w:hAnsi="Times New Roman" w:cs="Times New Roman"/>
          <w:sz w:val="28"/>
          <w:szCs w:val="28"/>
        </w:rPr>
        <w:t xml:space="preserve">is </w:t>
      </w:r>
      <w:r w:rsidR="00A20FDC">
        <w:rPr>
          <w:rFonts w:ascii="Times New Roman" w:hAnsi="Times New Roman" w:cs="Times New Roman"/>
          <w:sz w:val="28"/>
          <w:szCs w:val="28"/>
        </w:rPr>
        <w:t xml:space="preserve">required is </w:t>
      </w:r>
      <w:r w:rsidR="00B9451A">
        <w:rPr>
          <w:rFonts w:ascii="Times New Roman" w:hAnsi="Times New Roman" w:cs="Times New Roman"/>
          <w:sz w:val="28"/>
          <w:szCs w:val="28"/>
        </w:rPr>
        <w:t xml:space="preserve">a </w:t>
      </w:r>
      <w:r w:rsidR="00A20FDC">
        <w:rPr>
          <w:rFonts w:ascii="Times New Roman" w:hAnsi="Times New Roman" w:cs="Times New Roman"/>
          <w:sz w:val="28"/>
          <w:szCs w:val="28"/>
        </w:rPr>
        <w:t xml:space="preserve">broader conceptual </w:t>
      </w:r>
      <w:r w:rsidR="0021028C" w:rsidRPr="003133DF">
        <w:rPr>
          <w:rFonts w:ascii="Times New Roman" w:hAnsi="Times New Roman" w:cs="Times New Roman"/>
          <w:sz w:val="28"/>
          <w:szCs w:val="28"/>
        </w:rPr>
        <w:t xml:space="preserve">framework </w:t>
      </w:r>
      <w:r w:rsidR="00A20FDC">
        <w:rPr>
          <w:rFonts w:ascii="Times New Roman" w:hAnsi="Times New Roman" w:cs="Times New Roman"/>
          <w:sz w:val="28"/>
          <w:szCs w:val="28"/>
        </w:rPr>
        <w:t>which is able to analyse key economic, social and political developments</w:t>
      </w:r>
      <w:r w:rsidR="00B9451A">
        <w:rPr>
          <w:rFonts w:ascii="Times New Roman" w:hAnsi="Times New Roman" w:cs="Times New Roman"/>
          <w:sz w:val="28"/>
          <w:szCs w:val="28"/>
        </w:rPr>
        <w:t xml:space="preserve"> during the last 30 years or so</w:t>
      </w:r>
      <w:r w:rsidR="0021028C" w:rsidRPr="003133DF">
        <w:rPr>
          <w:rFonts w:ascii="Times New Roman" w:hAnsi="Times New Roman" w:cs="Times New Roman"/>
          <w:sz w:val="28"/>
          <w:szCs w:val="28"/>
        </w:rPr>
        <w:t xml:space="preserve">. </w:t>
      </w:r>
      <w:r w:rsidRPr="003133DF">
        <w:rPr>
          <w:rFonts w:ascii="Times New Roman" w:hAnsi="Times New Roman" w:cs="Times New Roman"/>
          <w:sz w:val="28"/>
          <w:szCs w:val="28"/>
        </w:rPr>
        <w:t xml:space="preserve">   </w:t>
      </w:r>
    </w:p>
    <w:p w:rsidR="00C86E1A" w:rsidRPr="003133DF" w:rsidRDefault="0045578D" w:rsidP="003133DF">
      <w:pPr>
        <w:spacing w:line="360" w:lineRule="auto"/>
        <w:jc w:val="both"/>
        <w:rPr>
          <w:rFonts w:ascii="Times New Roman" w:hAnsi="Times New Roman" w:cs="Times New Roman"/>
          <w:sz w:val="28"/>
          <w:szCs w:val="28"/>
        </w:rPr>
      </w:pPr>
      <w:r w:rsidRPr="003133DF">
        <w:rPr>
          <w:rFonts w:ascii="Times New Roman" w:hAnsi="Times New Roman" w:cs="Times New Roman"/>
          <w:sz w:val="28"/>
          <w:szCs w:val="28"/>
        </w:rPr>
        <w:t>Other explan</w:t>
      </w:r>
      <w:r w:rsidR="00C86E1A" w:rsidRPr="003133DF">
        <w:rPr>
          <w:rFonts w:ascii="Times New Roman" w:hAnsi="Times New Roman" w:cs="Times New Roman"/>
          <w:sz w:val="28"/>
          <w:szCs w:val="28"/>
        </w:rPr>
        <w:t xml:space="preserve">atory frameworks are </w:t>
      </w:r>
      <w:r w:rsidR="00AE4AB9" w:rsidRPr="003133DF">
        <w:rPr>
          <w:rFonts w:ascii="Times New Roman" w:hAnsi="Times New Roman" w:cs="Times New Roman"/>
          <w:sz w:val="28"/>
          <w:szCs w:val="28"/>
        </w:rPr>
        <w:t xml:space="preserve">similarly </w:t>
      </w:r>
      <w:r w:rsidR="00E9004D" w:rsidRPr="003133DF">
        <w:rPr>
          <w:rFonts w:ascii="Times New Roman" w:hAnsi="Times New Roman" w:cs="Times New Roman"/>
          <w:sz w:val="28"/>
          <w:szCs w:val="28"/>
        </w:rPr>
        <w:t xml:space="preserve">economistic and </w:t>
      </w:r>
      <w:r w:rsidR="00C86E1A" w:rsidRPr="003133DF">
        <w:rPr>
          <w:rFonts w:ascii="Times New Roman" w:hAnsi="Times New Roman" w:cs="Times New Roman"/>
          <w:sz w:val="28"/>
          <w:szCs w:val="28"/>
        </w:rPr>
        <w:t xml:space="preserve">ahistorical </w:t>
      </w:r>
      <w:r w:rsidR="00AE4AB9" w:rsidRPr="003133DF">
        <w:rPr>
          <w:rFonts w:ascii="Times New Roman" w:hAnsi="Times New Roman" w:cs="Times New Roman"/>
          <w:sz w:val="28"/>
          <w:szCs w:val="28"/>
        </w:rPr>
        <w:t xml:space="preserve">with no </w:t>
      </w:r>
      <w:r w:rsidR="00C86E1A" w:rsidRPr="003133DF">
        <w:rPr>
          <w:rFonts w:ascii="Times New Roman" w:hAnsi="Times New Roman" w:cs="Times New Roman"/>
          <w:sz w:val="28"/>
          <w:szCs w:val="28"/>
        </w:rPr>
        <w:t>substantive political</w:t>
      </w:r>
      <w:r w:rsidR="00AE4AB9" w:rsidRPr="003133DF">
        <w:rPr>
          <w:rFonts w:ascii="Times New Roman" w:hAnsi="Times New Roman" w:cs="Times New Roman"/>
          <w:sz w:val="28"/>
          <w:szCs w:val="28"/>
        </w:rPr>
        <w:t xml:space="preserve"> economy</w:t>
      </w:r>
      <w:r w:rsidR="00C86E1A" w:rsidRPr="003133DF">
        <w:rPr>
          <w:rFonts w:ascii="Times New Roman" w:hAnsi="Times New Roman" w:cs="Times New Roman"/>
          <w:sz w:val="28"/>
          <w:szCs w:val="28"/>
        </w:rPr>
        <w:t xml:space="preserve"> analysis. A notable example is the high profile </w:t>
      </w:r>
      <w:r w:rsidR="00D37D45" w:rsidRPr="003133DF">
        <w:rPr>
          <w:rFonts w:ascii="Times New Roman" w:hAnsi="Times New Roman" w:cs="Times New Roman"/>
          <w:sz w:val="28"/>
          <w:szCs w:val="28"/>
        </w:rPr>
        <w:t xml:space="preserve">UNESCO annual </w:t>
      </w:r>
      <w:r w:rsidR="00C86E1A" w:rsidRPr="003133DF">
        <w:rPr>
          <w:rFonts w:ascii="Times New Roman" w:hAnsi="Times New Roman" w:cs="Times New Roman"/>
          <w:sz w:val="28"/>
          <w:szCs w:val="28"/>
        </w:rPr>
        <w:t>Global Monito</w:t>
      </w:r>
      <w:r w:rsidR="00D37D45" w:rsidRPr="003133DF">
        <w:rPr>
          <w:rFonts w:ascii="Times New Roman" w:hAnsi="Times New Roman" w:cs="Times New Roman"/>
          <w:sz w:val="28"/>
          <w:szCs w:val="28"/>
        </w:rPr>
        <w:t>r</w:t>
      </w:r>
      <w:r w:rsidR="00C86E1A" w:rsidRPr="003133DF">
        <w:rPr>
          <w:rFonts w:ascii="Times New Roman" w:hAnsi="Times New Roman" w:cs="Times New Roman"/>
          <w:sz w:val="28"/>
          <w:szCs w:val="28"/>
        </w:rPr>
        <w:t xml:space="preserve">ing Report. While </w:t>
      </w:r>
      <w:r w:rsidR="00D37D45" w:rsidRPr="003133DF">
        <w:rPr>
          <w:rFonts w:ascii="Times New Roman" w:hAnsi="Times New Roman" w:cs="Times New Roman"/>
          <w:sz w:val="28"/>
          <w:szCs w:val="28"/>
        </w:rPr>
        <w:t>th</w:t>
      </w:r>
      <w:r w:rsidR="0024439A" w:rsidRPr="003133DF">
        <w:rPr>
          <w:rFonts w:ascii="Times New Roman" w:hAnsi="Times New Roman" w:cs="Times New Roman"/>
          <w:sz w:val="28"/>
          <w:szCs w:val="28"/>
        </w:rPr>
        <w:t>ese</w:t>
      </w:r>
      <w:r w:rsidR="00E9004D" w:rsidRPr="003133DF">
        <w:rPr>
          <w:rFonts w:ascii="Times New Roman" w:hAnsi="Times New Roman" w:cs="Times New Roman"/>
          <w:sz w:val="28"/>
          <w:szCs w:val="28"/>
        </w:rPr>
        <w:t xml:space="preserve"> </w:t>
      </w:r>
      <w:r w:rsidR="0024439A" w:rsidRPr="003133DF">
        <w:rPr>
          <w:rFonts w:ascii="Times New Roman" w:hAnsi="Times New Roman" w:cs="Times New Roman"/>
          <w:sz w:val="28"/>
          <w:szCs w:val="28"/>
        </w:rPr>
        <w:t>r</w:t>
      </w:r>
      <w:r w:rsidR="00C86E1A" w:rsidRPr="003133DF">
        <w:rPr>
          <w:rFonts w:ascii="Times New Roman" w:hAnsi="Times New Roman" w:cs="Times New Roman"/>
          <w:sz w:val="28"/>
          <w:szCs w:val="28"/>
        </w:rPr>
        <w:t>eport</w:t>
      </w:r>
      <w:r w:rsidR="0024439A" w:rsidRPr="003133DF">
        <w:rPr>
          <w:rFonts w:ascii="Times New Roman" w:hAnsi="Times New Roman" w:cs="Times New Roman"/>
          <w:sz w:val="28"/>
          <w:szCs w:val="28"/>
        </w:rPr>
        <w:t>s</w:t>
      </w:r>
      <w:r w:rsidR="00C86E1A" w:rsidRPr="003133DF">
        <w:rPr>
          <w:rFonts w:ascii="Times New Roman" w:hAnsi="Times New Roman" w:cs="Times New Roman"/>
          <w:sz w:val="28"/>
          <w:szCs w:val="28"/>
        </w:rPr>
        <w:t xml:space="preserve"> </w:t>
      </w:r>
      <w:r w:rsidR="00D37D45" w:rsidRPr="003133DF">
        <w:rPr>
          <w:rFonts w:ascii="Times New Roman" w:hAnsi="Times New Roman" w:cs="Times New Roman"/>
          <w:sz w:val="28"/>
          <w:szCs w:val="28"/>
        </w:rPr>
        <w:t xml:space="preserve">periodically </w:t>
      </w:r>
      <w:r w:rsidR="00C86E1A" w:rsidRPr="003133DF">
        <w:rPr>
          <w:rFonts w:ascii="Times New Roman" w:hAnsi="Times New Roman" w:cs="Times New Roman"/>
          <w:sz w:val="28"/>
          <w:szCs w:val="28"/>
        </w:rPr>
        <w:t xml:space="preserve">recognise that </w:t>
      </w:r>
      <w:r w:rsidR="00776E5D" w:rsidRPr="003133DF">
        <w:rPr>
          <w:rFonts w:ascii="Times New Roman" w:hAnsi="Times New Roman" w:cs="Times New Roman"/>
          <w:sz w:val="28"/>
          <w:szCs w:val="28"/>
        </w:rPr>
        <w:t>‘lack of adequate commitment’</w:t>
      </w:r>
      <w:r w:rsidR="00D37D45" w:rsidRPr="003133DF">
        <w:rPr>
          <w:rFonts w:ascii="Times New Roman" w:hAnsi="Times New Roman" w:cs="Times New Roman"/>
          <w:sz w:val="28"/>
          <w:szCs w:val="28"/>
        </w:rPr>
        <w:t xml:space="preserve">, ‘insufficient implementation’ and the persistence of </w:t>
      </w:r>
      <w:r w:rsidR="00C86E1A" w:rsidRPr="003133DF">
        <w:rPr>
          <w:rFonts w:ascii="Times New Roman" w:hAnsi="Times New Roman" w:cs="Times New Roman"/>
          <w:sz w:val="28"/>
          <w:szCs w:val="28"/>
        </w:rPr>
        <w:t>‘</w:t>
      </w:r>
      <w:r w:rsidR="00776E5D" w:rsidRPr="003133DF">
        <w:rPr>
          <w:rFonts w:ascii="Times New Roman" w:hAnsi="Times New Roman" w:cs="Times New Roman"/>
          <w:sz w:val="28"/>
          <w:szCs w:val="28"/>
        </w:rPr>
        <w:t>key structural barriers’</w:t>
      </w:r>
      <w:r w:rsidR="00006865" w:rsidRPr="003133DF">
        <w:rPr>
          <w:rFonts w:ascii="Times New Roman" w:hAnsi="Times New Roman" w:cs="Times New Roman"/>
          <w:sz w:val="28"/>
          <w:szCs w:val="28"/>
        </w:rPr>
        <w:t xml:space="preserve"> are </w:t>
      </w:r>
      <w:r w:rsidRPr="003133DF">
        <w:rPr>
          <w:rFonts w:ascii="Times New Roman" w:hAnsi="Times New Roman" w:cs="Times New Roman"/>
          <w:sz w:val="28"/>
          <w:szCs w:val="28"/>
        </w:rPr>
        <w:t xml:space="preserve">important </w:t>
      </w:r>
      <w:r w:rsidR="00AD612B">
        <w:rPr>
          <w:rFonts w:ascii="Times New Roman" w:hAnsi="Times New Roman" w:cs="Times New Roman"/>
          <w:sz w:val="28"/>
          <w:szCs w:val="28"/>
        </w:rPr>
        <w:t>issues</w:t>
      </w:r>
      <w:r w:rsidR="00C86E1A" w:rsidRPr="003133DF">
        <w:rPr>
          <w:rFonts w:ascii="Times New Roman" w:hAnsi="Times New Roman" w:cs="Times New Roman"/>
          <w:sz w:val="28"/>
          <w:szCs w:val="28"/>
        </w:rPr>
        <w:t xml:space="preserve">, </w:t>
      </w:r>
      <w:r w:rsidR="0024439A" w:rsidRPr="003133DF">
        <w:rPr>
          <w:rFonts w:ascii="Times New Roman" w:hAnsi="Times New Roman" w:cs="Times New Roman"/>
          <w:sz w:val="28"/>
          <w:szCs w:val="28"/>
        </w:rPr>
        <w:t xml:space="preserve">the </w:t>
      </w:r>
      <w:r w:rsidR="00E9004D" w:rsidRPr="003133DF">
        <w:rPr>
          <w:rFonts w:ascii="Times New Roman" w:hAnsi="Times New Roman" w:cs="Times New Roman"/>
          <w:sz w:val="28"/>
          <w:szCs w:val="28"/>
        </w:rPr>
        <w:t xml:space="preserve">main </w:t>
      </w:r>
      <w:r w:rsidR="00C86E1A" w:rsidRPr="003133DF">
        <w:rPr>
          <w:rFonts w:ascii="Times New Roman" w:hAnsi="Times New Roman" w:cs="Times New Roman"/>
          <w:sz w:val="28"/>
          <w:szCs w:val="28"/>
        </w:rPr>
        <w:t xml:space="preserve">analytical focus </w:t>
      </w:r>
      <w:r w:rsidR="00650140" w:rsidRPr="003133DF">
        <w:rPr>
          <w:rFonts w:ascii="Times New Roman" w:hAnsi="Times New Roman" w:cs="Times New Roman"/>
          <w:sz w:val="28"/>
          <w:szCs w:val="28"/>
        </w:rPr>
        <w:t xml:space="preserve">is </w:t>
      </w:r>
      <w:r w:rsidR="00AD612B">
        <w:rPr>
          <w:rFonts w:ascii="Times New Roman" w:hAnsi="Times New Roman" w:cs="Times New Roman"/>
          <w:sz w:val="28"/>
          <w:szCs w:val="28"/>
        </w:rPr>
        <w:t xml:space="preserve">on </w:t>
      </w:r>
      <w:r w:rsidR="00C86E1A" w:rsidRPr="003133DF">
        <w:rPr>
          <w:rFonts w:ascii="Times New Roman" w:hAnsi="Times New Roman" w:cs="Times New Roman"/>
          <w:sz w:val="28"/>
          <w:szCs w:val="28"/>
        </w:rPr>
        <w:t>the identification</w:t>
      </w:r>
      <w:r w:rsidR="00D37D45" w:rsidRPr="003133DF">
        <w:rPr>
          <w:rFonts w:ascii="Times New Roman" w:hAnsi="Times New Roman" w:cs="Times New Roman"/>
          <w:sz w:val="28"/>
          <w:szCs w:val="28"/>
        </w:rPr>
        <w:t xml:space="preserve"> and quantification </w:t>
      </w:r>
      <w:r w:rsidR="00C86E1A" w:rsidRPr="003133DF">
        <w:rPr>
          <w:rFonts w:ascii="Times New Roman" w:hAnsi="Times New Roman" w:cs="Times New Roman"/>
          <w:sz w:val="28"/>
          <w:szCs w:val="28"/>
        </w:rPr>
        <w:t xml:space="preserve">of a range of economic/financial ‘demand’ and ‘supply’ </w:t>
      </w:r>
      <w:r w:rsidR="00D37D45" w:rsidRPr="003133DF">
        <w:rPr>
          <w:rFonts w:ascii="Times New Roman" w:hAnsi="Times New Roman" w:cs="Times New Roman"/>
          <w:sz w:val="28"/>
          <w:szCs w:val="28"/>
        </w:rPr>
        <w:t xml:space="preserve">access constraints </w:t>
      </w:r>
      <w:r w:rsidR="00C86E1A" w:rsidRPr="003133DF">
        <w:rPr>
          <w:rFonts w:ascii="Times New Roman" w:hAnsi="Times New Roman" w:cs="Times New Roman"/>
          <w:sz w:val="28"/>
          <w:szCs w:val="28"/>
        </w:rPr>
        <w:t>mainly at the school</w:t>
      </w:r>
      <w:r w:rsidR="00006865" w:rsidRPr="003133DF">
        <w:rPr>
          <w:rFonts w:ascii="Times New Roman" w:hAnsi="Times New Roman" w:cs="Times New Roman"/>
          <w:sz w:val="28"/>
          <w:szCs w:val="28"/>
        </w:rPr>
        <w:t>, individual student</w:t>
      </w:r>
      <w:r w:rsidR="00C86E1A" w:rsidRPr="003133DF">
        <w:rPr>
          <w:rFonts w:ascii="Times New Roman" w:hAnsi="Times New Roman" w:cs="Times New Roman"/>
          <w:sz w:val="28"/>
          <w:szCs w:val="28"/>
        </w:rPr>
        <w:t xml:space="preserve"> and household level</w:t>
      </w:r>
      <w:r w:rsidR="00BF5FC7" w:rsidRPr="003133DF">
        <w:rPr>
          <w:rStyle w:val="FootnoteReference"/>
          <w:rFonts w:ascii="Times New Roman" w:hAnsi="Times New Roman" w:cs="Times New Roman"/>
          <w:sz w:val="28"/>
          <w:szCs w:val="28"/>
        </w:rPr>
        <w:footnoteReference w:id="2"/>
      </w:r>
      <w:r w:rsidR="00D37D45" w:rsidRPr="003133DF">
        <w:rPr>
          <w:rFonts w:ascii="Times New Roman" w:hAnsi="Times New Roman" w:cs="Times New Roman"/>
          <w:sz w:val="28"/>
          <w:szCs w:val="28"/>
        </w:rPr>
        <w:t xml:space="preserve">. This is very much in line with </w:t>
      </w:r>
      <w:r w:rsidR="00D37D45" w:rsidRPr="003133DF">
        <w:rPr>
          <w:rFonts w:ascii="Times New Roman" w:hAnsi="Times New Roman" w:cs="Times New Roman"/>
          <w:sz w:val="28"/>
          <w:szCs w:val="28"/>
        </w:rPr>
        <w:lastRenderedPageBreak/>
        <w:t xml:space="preserve">the standard </w:t>
      </w:r>
      <w:r w:rsidR="00FF5E95" w:rsidRPr="003133DF">
        <w:rPr>
          <w:rFonts w:ascii="Times New Roman" w:hAnsi="Times New Roman" w:cs="Times New Roman"/>
          <w:sz w:val="28"/>
          <w:szCs w:val="28"/>
        </w:rPr>
        <w:t xml:space="preserve">theoretical and empirical </w:t>
      </w:r>
      <w:r w:rsidR="00D37D45" w:rsidRPr="003133DF">
        <w:rPr>
          <w:rFonts w:ascii="Times New Roman" w:hAnsi="Times New Roman" w:cs="Times New Roman"/>
          <w:sz w:val="28"/>
          <w:szCs w:val="28"/>
        </w:rPr>
        <w:t>approach</w:t>
      </w:r>
      <w:r w:rsidR="00FF5E95" w:rsidRPr="003133DF">
        <w:rPr>
          <w:rFonts w:ascii="Times New Roman" w:hAnsi="Times New Roman" w:cs="Times New Roman"/>
          <w:sz w:val="28"/>
          <w:szCs w:val="28"/>
        </w:rPr>
        <w:t>es</w:t>
      </w:r>
      <w:r w:rsidR="00D37D45" w:rsidRPr="003133DF">
        <w:rPr>
          <w:rFonts w:ascii="Times New Roman" w:hAnsi="Times New Roman" w:cs="Times New Roman"/>
          <w:sz w:val="28"/>
          <w:szCs w:val="28"/>
        </w:rPr>
        <w:t xml:space="preserve"> adopted by most education economists</w:t>
      </w:r>
      <w:r w:rsidR="00006865" w:rsidRPr="003133DF">
        <w:rPr>
          <w:rFonts w:ascii="Times New Roman" w:hAnsi="Times New Roman" w:cs="Times New Roman"/>
          <w:sz w:val="28"/>
          <w:szCs w:val="28"/>
        </w:rPr>
        <w:t xml:space="preserve"> in </w:t>
      </w:r>
      <w:r w:rsidRPr="003133DF">
        <w:rPr>
          <w:rFonts w:ascii="Times New Roman" w:hAnsi="Times New Roman" w:cs="Times New Roman"/>
          <w:sz w:val="28"/>
          <w:szCs w:val="28"/>
        </w:rPr>
        <w:t xml:space="preserve">order to explain </w:t>
      </w:r>
      <w:r w:rsidR="00006865" w:rsidRPr="003133DF">
        <w:rPr>
          <w:rFonts w:ascii="Times New Roman" w:hAnsi="Times New Roman" w:cs="Times New Roman"/>
          <w:sz w:val="28"/>
          <w:szCs w:val="28"/>
        </w:rPr>
        <w:t>low primary school attendance and completion rates</w:t>
      </w:r>
      <w:r w:rsidR="00D37D45" w:rsidRPr="003133DF">
        <w:rPr>
          <w:rFonts w:ascii="Times New Roman" w:hAnsi="Times New Roman" w:cs="Times New Roman"/>
          <w:sz w:val="28"/>
          <w:szCs w:val="28"/>
        </w:rPr>
        <w:t>.</w:t>
      </w:r>
      <w:r w:rsidR="00FF5E95" w:rsidRPr="003133DF">
        <w:rPr>
          <w:rFonts w:ascii="Times New Roman" w:hAnsi="Times New Roman" w:cs="Times New Roman"/>
          <w:sz w:val="28"/>
          <w:szCs w:val="28"/>
        </w:rPr>
        <w:t xml:space="preserve"> The </w:t>
      </w:r>
      <w:r w:rsidR="004C15CA" w:rsidRPr="003133DF">
        <w:rPr>
          <w:rFonts w:ascii="Times New Roman" w:hAnsi="Times New Roman" w:cs="Times New Roman"/>
          <w:sz w:val="28"/>
          <w:szCs w:val="28"/>
        </w:rPr>
        <w:t xml:space="preserve">growing popularity </w:t>
      </w:r>
      <w:r w:rsidR="00FF5E95" w:rsidRPr="003133DF">
        <w:rPr>
          <w:rFonts w:ascii="Times New Roman" w:hAnsi="Times New Roman" w:cs="Times New Roman"/>
          <w:sz w:val="28"/>
          <w:szCs w:val="28"/>
        </w:rPr>
        <w:t>of natural experiments based on randomised control trials</w:t>
      </w:r>
      <w:r w:rsidR="00006865" w:rsidRPr="003133DF">
        <w:rPr>
          <w:rFonts w:ascii="Times New Roman" w:hAnsi="Times New Roman" w:cs="Times New Roman"/>
          <w:sz w:val="28"/>
          <w:szCs w:val="28"/>
        </w:rPr>
        <w:t xml:space="preserve"> in assessing specific ‘interventions’ aimed at improving school access and quality is just the latest manifestation of this attachment to</w:t>
      </w:r>
      <w:r w:rsidR="004C15CA" w:rsidRPr="003133DF">
        <w:rPr>
          <w:rFonts w:ascii="Times New Roman" w:hAnsi="Times New Roman" w:cs="Times New Roman"/>
          <w:sz w:val="28"/>
          <w:szCs w:val="28"/>
        </w:rPr>
        <w:t xml:space="preserve"> </w:t>
      </w:r>
      <w:r w:rsidR="00006865" w:rsidRPr="003133DF">
        <w:rPr>
          <w:rFonts w:ascii="Times New Roman" w:hAnsi="Times New Roman" w:cs="Times New Roman"/>
          <w:sz w:val="28"/>
          <w:szCs w:val="28"/>
        </w:rPr>
        <w:t xml:space="preserve"> </w:t>
      </w:r>
      <w:r w:rsidRPr="003133DF">
        <w:rPr>
          <w:rFonts w:ascii="Times New Roman" w:hAnsi="Times New Roman" w:cs="Times New Roman"/>
          <w:sz w:val="28"/>
          <w:szCs w:val="28"/>
        </w:rPr>
        <w:t xml:space="preserve">primarily quantitative, </w:t>
      </w:r>
      <w:r w:rsidR="004C15CA" w:rsidRPr="003133DF">
        <w:rPr>
          <w:rFonts w:ascii="Times New Roman" w:hAnsi="Times New Roman" w:cs="Times New Roman"/>
          <w:sz w:val="28"/>
          <w:szCs w:val="28"/>
        </w:rPr>
        <w:t>econometrics-driven analysis</w:t>
      </w:r>
      <w:r w:rsidR="000F7991" w:rsidRPr="003133DF">
        <w:rPr>
          <w:rFonts w:ascii="Times New Roman" w:hAnsi="Times New Roman" w:cs="Times New Roman"/>
          <w:sz w:val="28"/>
          <w:szCs w:val="28"/>
        </w:rPr>
        <w:t>.</w:t>
      </w:r>
      <w:r w:rsidR="004C15CA" w:rsidRPr="003133DF">
        <w:rPr>
          <w:rFonts w:ascii="Times New Roman" w:hAnsi="Times New Roman" w:cs="Times New Roman"/>
          <w:sz w:val="28"/>
          <w:szCs w:val="28"/>
        </w:rPr>
        <w:t xml:space="preserve"> </w:t>
      </w:r>
      <w:r w:rsidR="00006865" w:rsidRPr="003133DF">
        <w:rPr>
          <w:rFonts w:ascii="Times New Roman" w:hAnsi="Times New Roman" w:cs="Times New Roman"/>
          <w:sz w:val="28"/>
          <w:szCs w:val="28"/>
        </w:rPr>
        <w:t xml:space="preserve">   </w:t>
      </w:r>
      <w:r w:rsidR="00FF5E95" w:rsidRPr="003133DF">
        <w:rPr>
          <w:rFonts w:ascii="Times New Roman" w:hAnsi="Times New Roman" w:cs="Times New Roman"/>
          <w:sz w:val="28"/>
          <w:szCs w:val="28"/>
        </w:rPr>
        <w:t xml:space="preserve"> </w:t>
      </w:r>
      <w:r w:rsidR="00D37D45" w:rsidRPr="003133DF">
        <w:rPr>
          <w:rFonts w:ascii="Times New Roman" w:hAnsi="Times New Roman" w:cs="Times New Roman"/>
          <w:sz w:val="28"/>
          <w:szCs w:val="28"/>
        </w:rPr>
        <w:t xml:space="preserve">    </w:t>
      </w:r>
      <w:r w:rsidR="00C86E1A" w:rsidRPr="003133DF">
        <w:rPr>
          <w:rFonts w:ascii="Times New Roman" w:hAnsi="Times New Roman" w:cs="Times New Roman"/>
          <w:sz w:val="28"/>
          <w:szCs w:val="28"/>
        </w:rPr>
        <w:t xml:space="preserve">   </w:t>
      </w:r>
    </w:p>
    <w:p w:rsidR="00A22159" w:rsidRPr="003133DF" w:rsidRDefault="008B7156" w:rsidP="003133DF">
      <w:pPr>
        <w:spacing w:line="360" w:lineRule="auto"/>
        <w:jc w:val="both"/>
        <w:rPr>
          <w:rFonts w:ascii="Times New Roman" w:hAnsi="Times New Roman" w:cs="Times New Roman"/>
          <w:sz w:val="28"/>
          <w:szCs w:val="28"/>
        </w:rPr>
      </w:pPr>
      <w:r w:rsidRPr="003133DF">
        <w:rPr>
          <w:rFonts w:ascii="Times New Roman" w:hAnsi="Times New Roman" w:cs="Times New Roman"/>
          <w:sz w:val="28"/>
          <w:szCs w:val="28"/>
        </w:rPr>
        <w:t>Th</w:t>
      </w:r>
      <w:r w:rsidR="00BC2246" w:rsidRPr="003133DF">
        <w:rPr>
          <w:rFonts w:ascii="Times New Roman" w:hAnsi="Times New Roman" w:cs="Times New Roman"/>
          <w:sz w:val="28"/>
          <w:szCs w:val="28"/>
        </w:rPr>
        <w:t xml:space="preserve">is two-article review </w:t>
      </w:r>
      <w:r w:rsidR="00BC63A9" w:rsidRPr="003133DF">
        <w:rPr>
          <w:rFonts w:ascii="Times New Roman" w:hAnsi="Times New Roman" w:cs="Times New Roman"/>
          <w:sz w:val="28"/>
          <w:szCs w:val="28"/>
        </w:rPr>
        <w:t>seek</w:t>
      </w:r>
      <w:r w:rsidR="00BC2246" w:rsidRPr="003133DF">
        <w:rPr>
          <w:rFonts w:ascii="Times New Roman" w:hAnsi="Times New Roman" w:cs="Times New Roman"/>
          <w:sz w:val="28"/>
          <w:szCs w:val="28"/>
        </w:rPr>
        <w:t>s</w:t>
      </w:r>
      <w:r w:rsidR="00BC63A9" w:rsidRPr="003133DF">
        <w:rPr>
          <w:rFonts w:ascii="Times New Roman" w:hAnsi="Times New Roman" w:cs="Times New Roman"/>
          <w:sz w:val="28"/>
          <w:szCs w:val="28"/>
        </w:rPr>
        <w:t xml:space="preserve"> to go beyond the</w:t>
      </w:r>
      <w:r w:rsidR="00415090" w:rsidRPr="003133DF">
        <w:rPr>
          <w:rFonts w:ascii="Times New Roman" w:hAnsi="Times New Roman" w:cs="Times New Roman"/>
          <w:sz w:val="28"/>
          <w:szCs w:val="28"/>
        </w:rPr>
        <w:t>se</w:t>
      </w:r>
      <w:r w:rsidR="00BC63A9" w:rsidRPr="003133DF">
        <w:rPr>
          <w:rFonts w:ascii="Times New Roman" w:hAnsi="Times New Roman" w:cs="Times New Roman"/>
          <w:sz w:val="28"/>
          <w:szCs w:val="28"/>
        </w:rPr>
        <w:t xml:space="preserve"> narrowly technic</w:t>
      </w:r>
      <w:r w:rsidR="00460404" w:rsidRPr="003133DF">
        <w:rPr>
          <w:rFonts w:ascii="Times New Roman" w:hAnsi="Times New Roman" w:cs="Times New Roman"/>
          <w:sz w:val="28"/>
          <w:szCs w:val="28"/>
        </w:rPr>
        <w:t xml:space="preserve">ist </w:t>
      </w:r>
      <w:r w:rsidR="00BC63A9" w:rsidRPr="003133DF">
        <w:rPr>
          <w:rFonts w:ascii="Times New Roman" w:hAnsi="Times New Roman" w:cs="Times New Roman"/>
          <w:sz w:val="28"/>
          <w:szCs w:val="28"/>
        </w:rPr>
        <w:t xml:space="preserve">explanations by </w:t>
      </w:r>
      <w:r w:rsidR="003857D2" w:rsidRPr="003133DF">
        <w:rPr>
          <w:rFonts w:ascii="Times New Roman" w:hAnsi="Times New Roman" w:cs="Times New Roman"/>
          <w:sz w:val="28"/>
          <w:szCs w:val="28"/>
        </w:rPr>
        <w:t>adopting</w:t>
      </w:r>
      <w:r w:rsidR="00BC63A9" w:rsidRPr="003133DF">
        <w:rPr>
          <w:rFonts w:ascii="Times New Roman" w:hAnsi="Times New Roman" w:cs="Times New Roman"/>
          <w:sz w:val="28"/>
          <w:szCs w:val="28"/>
        </w:rPr>
        <w:t xml:space="preserve"> a broader approach which is </w:t>
      </w:r>
      <w:r w:rsidR="004C15CA" w:rsidRPr="003133DF">
        <w:rPr>
          <w:rFonts w:ascii="Times New Roman" w:hAnsi="Times New Roman" w:cs="Times New Roman"/>
          <w:sz w:val="28"/>
          <w:szCs w:val="28"/>
        </w:rPr>
        <w:t xml:space="preserve">rooted in </w:t>
      </w:r>
      <w:r w:rsidR="00BC63A9" w:rsidRPr="003133DF">
        <w:rPr>
          <w:rFonts w:ascii="Times New Roman" w:hAnsi="Times New Roman" w:cs="Times New Roman"/>
          <w:sz w:val="28"/>
          <w:szCs w:val="28"/>
        </w:rPr>
        <w:t xml:space="preserve">the </w:t>
      </w:r>
      <w:r w:rsidR="00DE1B4D" w:rsidRPr="003133DF">
        <w:rPr>
          <w:rFonts w:ascii="Times New Roman" w:hAnsi="Times New Roman" w:cs="Times New Roman"/>
          <w:sz w:val="28"/>
          <w:szCs w:val="28"/>
        </w:rPr>
        <w:t xml:space="preserve">rapidly </w:t>
      </w:r>
      <w:r w:rsidR="00BC63A9" w:rsidRPr="003133DF">
        <w:rPr>
          <w:rFonts w:ascii="Times New Roman" w:hAnsi="Times New Roman" w:cs="Times New Roman"/>
          <w:sz w:val="28"/>
          <w:szCs w:val="28"/>
        </w:rPr>
        <w:t xml:space="preserve">evolving political economy in SSA.  </w:t>
      </w:r>
      <w:r w:rsidR="00AE4AB9" w:rsidRPr="003133DF">
        <w:rPr>
          <w:rFonts w:ascii="Times New Roman" w:hAnsi="Times New Roman" w:cs="Times New Roman"/>
          <w:sz w:val="28"/>
          <w:szCs w:val="28"/>
        </w:rPr>
        <w:t>Its</w:t>
      </w:r>
      <w:r w:rsidR="00415090" w:rsidRPr="003133DF">
        <w:rPr>
          <w:rFonts w:ascii="Times New Roman" w:hAnsi="Times New Roman" w:cs="Times New Roman"/>
          <w:sz w:val="28"/>
          <w:szCs w:val="28"/>
        </w:rPr>
        <w:t xml:space="preserve"> main proposit</w:t>
      </w:r>
      <w:r w:rsidR="00776E5D" w:rsidRPr="003133DF">
        <w:rPr>
          <w:rFonts w:ascii="Times New Roman" w:hAnsi="Times New Roman" w:cs="Times New Roman"/>
          <w:sz w:val="28"/>
          <w:szCs w:val="28"/>
        </w:rPr>
        <w:t xml:space="preserve">ion is that </w:t>
      </w:r>
      <w:r w:rsidR="00415090" w:rsidRPr="003133DF">
        <w:rPr>
          <w:rFonts w:ascii="Times New Roman" w:hAnsi="Times New Roman" w:cs="Times New Roman"/>
          <w:sz w:val="28"/>
          <w:szCs w:val="28"/>
        </w:rPr>
        <w:t xml:space="preserve">the lack of progress in attaining UPE in SSA can only be properly understood by focusing on the wider </w:t>
      </w:r>
      <w:r w:rsidR="00776E5D" w:rsidRPr="003133DF">
        <w:rPr>
          <w:rFonts w:ascii="Times New Roman" w:hAnsi="Times New Roman" w:cs="Times New Roman"/>
          <w:sz w:val="28"/>
          <w:szCs w:val="28"/>
        </w:rPr>
        <w:t>impact</w:t>
      </w:r>
      <w:r w:rsidR="00264D1C" w:rsidRPr="003133DF">
        <w:rPr>
          <w:rFonts w:ascii="Times New Roman" w:hAnsi="Times New Roman" w:cs="Times New Roman"/>
          <w:sz w:val="28"/>
          <w:szCs w:val="28"/>
        </w:rPr>
        <w:t xml:space="preserve"> on primary education attainment levels </w:t>
      </w:r>
      <w:r w:rsidR="00776E5D" w:rsidRPr="003133DF">
        <w:rPr>
          <w:rFonts w:ascii="Times New Roman" w:hAnsi="Times New Roman" w:cs="Times New Roman"/>
          <w:sz w:val="28"/>
          <w:szCs w:val="28"/>
        </w:rPr>
        <w:t xml:space="preserve">of the combined </w:t>
      </w:r>
      <w:r w:rsidR="00415090" w:rsidRPr="003133DF">
        <w:rPr>
          <w:rFonts w:ascii="Times New Roman" w:hAnsi="Times New Roman" w:cs="Times New Roman"/>
          <w:sz w:val="28"/>
          <w:szCs w:val="28"/>
        </w:rPr>
        <w:t>social, political and economic forces and processes that characterise t</w:t>
      </w:r>
      <w:r w:rsidR="00776E5D" w:rsidRPr="003133DF">
        <w:rPr>
          <w:rFonts w:ascii="Times New Roman" w:hAnsi="Times New Roman" w:cs="Times New Roman"/>
          <w:sz w:val="28"/>
          <w:szCs w:val="28"/>
        </w:rPr>
        <w:t>his new polit</w:t>
      </w:r>
      <w:r w:rsidR="00415090" w:rsidRPr="003133DF">
        <w:rPr>
          <w:rFonts w:ascii="Times New Roman" w:hAnsi="Times New Roman" w:cs="Times New Roman"/>
          <w:sz w:val="28"/>
          <w:szCs w:val="28"/>
        </w:rPr>
        <w:t>ical economy</w:t>
      </w:r>
      <w:r w:rsidR="00776E5D" w:rsidRPr="003133DF">
        <w:rPr>
          <w:rFonts w:ascii="Times New Roman" w:hAnsi="Times New Roman" w:cs="Times New Roman"/>
          <w:sz w:val="28"/>
          <w:szCs w:val="28"/>
        </w:rPr>
        <w:t xml:space="preserve">. The </w:t>
      </w:r>
      <w:r w:rsidR="00264D1C" w:rsidRPr="003133DF">
        <w:rPr>
          <w:rFonts w:ascii="Times New Roman" w:hAnsi="Times New Roman" w:cs="Times New Roman"/>
          <w:sz w:val="28"/>
          <w:szCs w:val="28"/>
        </w:rPr>
        <w:t>main</w:t>
      </w:r>
      <w:r w:rsidR="00776E5D" w:rsidRPr="003133DF">
        <w:rPr>
          <w:rFonts w:ascii="Times New Roman" w:hAnsi="Times New Roman" w:cs="Times New Roman"/>
          <w:sz w:val="28"/>
          <w:szCs w:val="28"/>
        </w:rPr>
        <w:t xml:space="preserve"> conclusion arising from this analysis is that, given the prevailing situation in most countries, it is unlikely that UPE in SSA </w:t>
      </w:r>
      <w:r w:rsidR="000F7991" w:rsidRPr="003133DF">
        <w:rPr>
          <w:rFonts w:ascii="Times New Roman" w:hAnsi="Times New Roman" w:cs="Times New Roman"/>
          <w:sz w:val="28"/>
          <w:szCs w:val="28"/>
        </w:rPr>
        <w:t xml:space="preserve">can </w:t>
      </w:r>
      <w:r w:rsidR="00460404" w:rsidRPr="003133DF">
        <w:rPr>
          <w:rFonts w:ascii="Times New Roman" w:hAnsi="Times New Roman" w:cs="Times New Roman"/>
          <w:sz w:val="28"/>
          <w:szCs w:val="28"/>
        </w:rPr>
        <w:t>b</w:t>
      </w:r>
      <w:r w:rsidR="00776E5D" w:rsidRPr="003133DF">
        <w:rPr>
          <w:rFonts w:ascii="Times New Roman" w:hAnsi="Times New Roman" w:cs="Times New Roman"/>
          <w:sz w:val="28"/>
          <w:szCs w:val="28"/>
        </w:rPr>
        <w:t xml:space="preserve">e attained in the foreseeable future. </w:t>
      </w:r>
    </w:p>
    <w:p w:rsidR="00DE1B4D" w:rsidRPr="003133DF" w:rsidRDefault="00A22159" w:rsidP="003133DF">
      <w:pPr>
        <w:spacing w:line="360" w:lineRule="auto"/>
        <w:jc w:val="both"/>
        <w:rPr>
          <w:rFonts w:ascii="Times New Roman" w:hAnsi="Times New Roman" w:cs="Times New Roman"/>
          <w:sz w:val="28"/>
          <w:szCs w:val="28"/>
        </w:rPr>
      </w:pPr>
      <w:r w:rsidRPr="003133DF">
        <w:rPr>
          <w:rFonts w:ascii="Times New Roman" w:hAnsi="Times New Roman" w:cs="Times New Roman"/>
          <w:sz w:val="28"/>
          <w:szCs w:val="28"/>
        </w:rPr>
        <w:t>Since its inception</w:t>
      </w:r>
      <w:r w:rsidR="00A20FDC">
        <w:rPr>
          <w:rStyle w:val="FootnoteReference"/>
          <w:rFonts w:ascii="Times New Roman" w:hAnsi="Times New Roman" w:cs="Times New Roman"/>
          <w:sz w:val="28"/>
          <w:szCs w:val="28"/>
        </w:rPr>
        <w:footnoteReference w:id="3"/>
      </w:r>
      <w:r w:rsidRPr="003133DF">
        <w:rPr>
          <w:rFonts w:ascii="Times New Roman" w:hAnsi="Times New Roman" w:cs="Times New Roman"/>
          <w:sz w:val="28"/>
          <w:szCs w:val="28"/>
        </w:rPr>
        <w:t xml:space="preserve">, UPE has </w:t>
      </w:r>
      <w:r w:rsidR="00460404" w:rsidRPr="003133DF">
        <w:rPr>
          <w:rFonts w:ascii="Times New Roman" w:hAnsi="Times New Roman" w:cs="Times New Roman"/>
          <w:sz w:val="28"/>
          <w:szCs w:val="28"/>
        </w:rPr>
        <w:t xml:space="preserve">been </w:t>
      </w:r>
      <w:r w:rsidR="00DE1B4D" w:rsidRPr="003133DF">
        <w:rPr>
          <w:rFonts w:ascii="Times New Roman" w:hAnsi="Times New Roman" w:cs="Times New Roman"/>
          <w:sz w:val="28"/>
          <w:szCs w:val="28"/>
        </w:rPr>
        <w:t xml:space="preserve">at the very centre of </w:t>
      </w:r>
      <w:r w:rsidR="00460404" w:rsidRPr="003133DF">
        <w:rPr>
          <w:rFonts w:ascii="Times New Roman" w:hAnsi="Times New Roman" w:cs="Times New Roman"/>
          <w:sz w:val="28"/>
          <w:szCs w:val="28"/>
        </w:rPr>
        <w:t xml:space="preserve">national </w:t>
      </w:r>
      <w:r w:rsidR="00DE1B4D" w:rsidRPr="003133DF">
        <w:rPr>
          <w:rFonts w:ascii="Times New Roman" w:hAnsi="Times New Roman" w:cs="Times New Roman"/>
          <w:sz w:val="28"/>
          <w:szCs w:val="28"/>
        </w:rPr>
        <w:t xml:space="preserve">pro-poor strategies which aim to improve the competencies and overall </w:t>
      </w:r>
      <w:r w:rsidR="003857D2" w:rsidRPr="003133DF">
        <w:rPr>
          <w:rFonts w:ascii="Times New Roman" w:hAnsi="Times New Roman" w:cs="Times New Roman"/>
          <w:sz w:val="28"/>
          <w:szCs w:val="28"/>
        </w:rPr>
        <w:t>capabilities</w:t>
      </w:r>
      <w:r w:rsidR="00DE1B4D" w:rsidRPr="003133DF">
        <w:rPr>
          <w:rFonts w:ascii="Times New Roman" w:hAnsi="Times New Roman" w:cs="Times New Roman"/>
          <w:sz w:val="28"/>
          <w:szCs w:val="28"/>
        </w:rPr>
        <w:t xml:space="preserve"> of the poor while</w:t>
      </w:r>
      <w:r w:rsidR="00460404" w:rsidRPr="003133DF">
        <w:rPr>
          <w:rFonts w:ascii="Times New Roman" w:hAnsi="Times New Roman" w:cs="Times New Roman"/>
          <w:sz w:val="28"/>
          <w:szCs w:val="28"/>
        </w:rPr>
        <w:t>,</w:t>
      </w:r>
      <w:r w:rsidR="00DE1B4D" w:rsidRPr="003133DF">
        <w:rPr>
          <w:rFonts w:ascii="Times New Roman" w:hAnsi="Times New Roman" w:cs="Times New Roman"/>
          <w:sz w:val="28"/>
          <w:szCs w:val="28"/>
        </w:rPr>
        <w:t xml:space="preserve"> at the same time</w:t>
      </w:r>
      <w:r w:rsidR="00460404" w:rsidRPr="003133DF">
        <w:rPr>
          <w:rFonts w:ascii="Times New Roman" w:hAnsi="Times New Roman" w:cs="Times New Roman"/>
          <w:sz w:val="28"/>
          <w:szCs w:val="28"/>
        </w:rPr>
        <w:t>,</w:t>
      </w:r>
      <w:r w:rsidR="00DE1B4D" w:rsidRPr="003133DF">
        <w:rPr>
          <w:rFonts w:ascii="Times New Roman" w:hAnsi="Times New Roman" w:cs="Times New Roman"/>
          <w:sz w:val="28"/>
          <w:szCs w:val="28"/>
        </w:rPr>
        <w:t xml:space="preserve"> reducing educational and </w:t>
      </w:r>
      <w:r w:rsidR="00E9004D" w:rsidRPr="003133DF">
        <w:rPr>
          <w:rFonts w:ascii="Times New Roman" w:hAnsi="Times New Roman" w:cs="Times New Roman"/>
          <w:sz w:val="28"/>
          <w:szCs w:val="28"/>
        </w:rPr>
        <w:t>income</w:t>
      </w:r>
      <w:r w:rsidR="00DE1B4D" w:rsidRPr="003133DF">
        <w:rPr>
          <w:rFonts w:ascii="Times New Roman" w:hAnsi="Times New Roman" w:cs="Times New Roman"/>
          <w:sz w:val="28"/>
          <w:szCs w:val="28"/>
        </w:rPr>
        <w:t xml:space="preserve"> inequalities. </w:t>
      </w:r>
      <w:r w:rsidR="008154B8" w:rsidRPr="003133DF">
        <w:rPr>
          <w:rFonts w:ascii="Times New Roman" w:hAnsi="Times New Roman" w:cs="Times New Roman"/>
          <w:sz w:val="28"/>
          <w:szCs w:val="28"/>
        </w:rPr>
        <w:t>However, as early as 2005</w:t>
      </w:r>
      <w:r w:rsidRPr="003133DF">
        <w:rPr>
          <w:rFonts w:ascii="Times New Roman" w:hAnsi="Times New Roman" w:cs="Times New Roman"/>
          <w:sz w:val="28"/>
          <w:szCs w:val="28"/>
        </w:rPr>
        <w:t xml:space="preserve">, Govinda concluded that ‘public policies to promote the expansion of primary education </w:t>
      </w:r>
      <w:r w:rsidR="00051F97" w:rsidRPr="003133DF">
        <w:rPr>
          <w:rFonts w:ascii="Times New Roman" w:hAnsi="Times New Roman" w:cs="Times New Roman"/>
          <w:sz w:val="28"/>
          <w:szCs w:val="28"/>
        </w:rPr>
        <w:t>tend not to benefit the poor’ (p.</w:t>
      </w:r>
      <w:r w:rsidR="00E9004D" w:rsidRPr="003133DF">
        <w:rPr>
          <w:rFonts w:ascii="Times New Roman" w:hAnsi="Times New Roman" w:cs="Times New Roman"/>
          <w:sz w:val="28"/>
          <w:szCs w:val="28"/>
        </w:rPr>
        <w:t>87</w:t>
      </w:r>
      <w:r w:rsidRPr="003133DF">
        <w:rPr>
          <w:rFonts w:ascii="Times New Roman" w:hAnsi="Times New Roman" w:cs="Times New Roman"/>
          <w:sz w:val="28"/>
          <w:szCs w:val="28"/>
        </w:rPr>
        <w:t xml:space="preserve">). With </w:t>
      </w:r>
      <w:r w:rsidRPr="003133DF">
        <w:rPr>
          <w:rFonts w:ascii="Times New Roman" w:hAnsi="Times New Roman" w:cs="Times New Roman"/>
          <w:sz w:val="28"/>
          <w:szCs w:val="28"/>
        </w:rPr>
        <w:lastRenderedPageBreak/>
        <w:t xml:space="preserve">some important caveats, </w:t>
      </w:r>
      <w:r w:rsidR="00BC2246" w:rsidRPr="003133DF">
        <w:rPr>
          <w:rFonts w:ascii="Times New Roman" w:hAnsi="Times New Roman" w:cs="Times New Roman"/>
          <w:sz w:val="28"/>
          <w:szCs w:val="28"/>
        </w:rPr>
        <w:t xml:space="preserve">our </w:t>
      </w:r>
      <w:r w:rsidRPr="003133DF">
        <w:rPr>
          <w:rFonts w:ascii="Times New Roman" w:hAnsi="Times New Roman" w:cs="Times New Roman"/>
          <w:sz w:val="28"/>
          <w:szCs w:val="28"/>
        </w:rPr>
        <w:t xml:space="preserve">analysis </w:t>
      </w:r>
      <w:r w:rsidR="00AD612B">
        <w:rPr>
          <w:rFonts w:ascii="Times New Roman" w:hAnsi="Times New Roman" w:cs="Times New Roman"/>
          <w:sz w:val="28"/>
          <w:szCs w:val="28"/>
        </w:rPr>
        <w:t xml:space="preserve">tentatively </w:t>
      </w:r>
      <w:r w:rsidR="00460404" w:rsidRPr="003133DF">
        <w:rPr>
          <w:rFonts w:ascii="Times New Roman" w:hAnsi="Times New Roman" w:cs="Times New Roman"/>
          <w:sz w:val="28"/>
          <w:szCs w:val="28"/>
        </w:rPr>
        <w:t>supports this basic con</w:t>
      </w:r>
      <w:r w:rsidR="00E9004D" w:rsidRPr="003133DF">
        <w:rPr>
          <w:rFonts w:ascii="Times New Roman" w:hAnsi="Times New Roman" w:cs="Times New Roman"/>
          <w:sz w:val="28"/>
          <w:szCs w:val="28"/>
        </w:rPr>
        <w:t>t</w:t>
      </w:r>
      <w:r w:rsidR="00460404" w:rsidRPr="003133DF">
        <w:rPr>
          <w:rFonts w:ascii="Times New Roman" w:hAnsi="Times New Roman" w:cs="Times New Roman"/>
          <w:sz w:val="28"/>
          <w:szCs w:val="28"/>
        </w:rPr>
        <w:t xml:space="preserve">ention. </w:t>
      </w:r>
      <w:r w:rsidR="00DE1B4D" w:rsidRPr="003133DF">
        <w:rPr>
          <w:rFonts w:ascii="Times New Roman" w:hAnsi="Times New Roman" w:cs="Times New Roman"/>
          <w:sz w:val="28"/>
          <w:szCs w:val="28"/>
        </w:rPr>
        <w:t xml:space="preserve">UPE has exacerbated the </w:t>
      </w:r>
      <w:r w:rsidR="0021221A" w:rsidRPr="003133DF">
        <w:rPr>
          <w:rFonts w:ascii="Times New Roman" w:hAnsi="Times New Roman" w:cs="Times New Roman"/>
          <w:sz w:val="28"/>
          <w:szCs w:val="28"/>
        </w:rPr>
        <w:t>‘</w:t>
      </w:r>
      <w:r w:rsidR="00DE1B4D" w:rsidRPr="003133DF">
        <w:rPr>
          <w:rFonts w:ascii="Times New Roman" w:hAnsi="Times New Roman" w:cs="Times New Roman"/>
          <w:sz w:val="28"/>
          <w:szCs w:val="28"/>
        </w:rPr>
        <w:t>poverty trap</w:t>
      </w:r>
      <w:r w:rsidR="0021221A" w:rsidRPr="003133DF">
        <w:rPr>
          <w:rFonts w:ascii="Times New Roman" w:hAnsi="Times New Roman" w:cs="Times New Roman"/>
          <w:sz w:val="28"/>
          <w:szCs w:val="28"/>
        </w:rPr>
        <w:t>’</w:t>
      </w:r>
      <w:r w:rsidR="00DE1B4D" w:rsidRPr="003133DF">
        <w:rPr>
          <w:rFonts w:ascii="Times New Roman" w:hAnsi="Times New Roman" w:cs="Times New Roman"/>
          <w:sz w:val="28"/>
          <w:szCs w:val="28"/>
        </w:rPr>
        <w:t xml:space="preserve"> amongst the poorest</w:t>
      </w:r>
      <w:r w:rsidR="0021221A" w:rsidRPr="003133DF">
        <w:rPr>
          <w:rFonts w:ascii="Times New Roman" w:hAnsi="Times New Roman" w:cs="Times New Roman"/>
          <w:sz w:val="28"/>
          <w:szCs w:val="28"/>
        </w:rPr>
        <w:t xml:space="preserve"> especially </w:t>
      </w:r>
      <w:r w:rsidR="004C15CA" w:rsidRPr="003133DF">
        <w:rPr>
          <w:rFonts w:ascii="Times New Roman" w:hAnsi="Times New Roman" w:cs="Times New Roman"/>
          <w:sz w:val="28"/>
          <w:szCs w:val="28"/>
        </w:rPr>
        <w:t xml:space="preserve">in </w:t>
      </w:r>
      <w:r w:rsidR="0021221A" w:rsidRPr="003133DF">
        <w:rPr>
          <w:rFonts w:ascii="Times New Roman" w:hAnsi="Times New Roman" w:cs="Times New Roman"/>
          <w:sz w:val="28"/>
          <w:szCs w:val="28"/>
        </w:rPr>
        <w:t xml:space="preserve">rural </w:t>
      </w:r>
      <w:r w:rsidR="004C15CA" w:rsidRPr="003133DF">
        <w:rPr>
          <w:rFonts w:ascii="Times New Roman" w:hAnsi="Times New Roman" w:cs="Times New Roman"/>
          <w:sz w:val="28"/>
          <w:szCs w:val="28"/>
        </w:rPr>
        <w:t xml:space="preserve">areas </w:t>
      </w:r>
      <w:r w:rsidR="00DE1B4D" w:rsidRPr="003133DF">
        <w:rPr>
          <w:rFonts w:ascii="Times New Roman" w:hAnsi="Times New Roman" w:cs="Times New Roman"/>
          <w:sz w:val="28"/>
          <w:szCs w:val="28"/>
        </w:rPr>
        <w:t xml:space="preserve">who are </w:t>
      </w:r>
      <w:r w:rsidR="0021221A" w:rsidRPr="003133DF">
        <w:rPr>
          <w:rFonts w:ascii="Times New Roman" w:hAnsi="Times New Roman" w:cs="Times New Roman"/>
          <w:sz w:val="28"/>
          <w:szCs w:val="28"/>
        </w:rPr>
        <w:t xml:space="preserve">increasingly being </w:t>
      </w:r>
      <w:r w:rsidR="004C15CA" w:rsidRPr="003133DF">
        <w:rPr>
          <w:rFonts w:ascii="Times New Roman" w:hAnsi="Times New Roman" w:cs="Times New Roman"/>
          <w:sz w:val="28"/>
          <w:szCs w:val="28"/>
        </w:rPr>
        <w:t>‘</w:t>
      </w:r>
      <w:r w:rsidR="00DE1B4D" w:rsidRPr="003133DF">
        <w:rPr>
          <w:rFonts w:ascii="Times New Roman" w:hAnsi="Times New Roman" w:cs="Times New Roman"/>
          <w:sz w:val="28"/>
          <w:szCs w:val="28"/>
        </w:rPr>
        <w:t>left behind</w:t>
      </w:r>
      <w:r w:rsidR="004C15CA" w:rsidRPr="003133DF">
        <w:rPr>
          <w:rFonts w:ascii="Times New Roman" w:hAnsi="Times New Roman" w:cs="Times New Roman"/>
          <w:sz w:val="28"/>
          <w:szCs w:val="28"/>
        </w:rPr>
        <w:t>’</w:t>
      </w:r>
      <w:r w:rsidR="0021221A" w:rsidRPr="003133DF">
        <w:rPr>
          <w:rFonts w:ascii="Times New Roman" w:hAnsi="Times New Roman" w:cs="Times New Roman"/>
          <w:sz w:val="28"/>
          <w:szCs w:val="28"/>
        </w:rPr>
        <w:t xml:space="preserve"> as a result of intensifying </w:t>
      </w:r>
      <w:r w:rsidR="006D4221">
        <w:rPr>
          <w:rFonts w:ascii="Times New Roman" w:hAnsi="Times New Roman" w:cs="Times New Roman"/>
          <w:sz w:val="28"/>
          <w:szCs w:val="28"/>
        </w:rPr>
        <w:t xml:space="preserve">competition with respect to </w:t>
      </w:r>
      <w:r w:rsidR="00023120">
        <w:rPr>
          <w:rFonts w:ascii="Times New Roman" w:hAnsi="Times New Roman" w:cs="Times New Roman"/>
          <w:sz w:val="28"/>
          <w:szCs w:val="28"/>
        </w:rPr>
        <w:t xml:space="preserve">social </w:t>
      </w:r>
      <w:r w:rsidR="0021221A" w:rsidRPr="003133DF">
        <w:rPr>
          <w:rFonts w:ascii="Times New Roman" w:hAnsi="Times New Roman" w:cs="Times New Roman"/>
          <w:sz w:val="28"/>
          <w:szCs w:val="28"/>
        </w:rPr>
        <w:t>class</w:t>
      </w:r>
      <w:r w:rsidR="006D4221">
        <w:rPr>
          <w:rFonts w:ascii="Times New Roman" w:hAnsi="Times New Roman" w:cs="Times New Roman"/>
          <w:sz w:val="28"/>
          <w:szCs w:val="28"/>
        </w:rPr>
        <w:t xml:space="preserve"> forces</w:t>
      </w:r>
      <w:r w:rsidR="0021221A" w:rsidRPr="003133DF">
        <w:rPr>
          <w:rFonts w:ascii="Times New Roman" w:hAnsi="Times New Roman" w:cs="Times New Roman"/>
          <w:sz w:val="28"/>
          <w:szCs w:val="28"/>
        </w:rPr>
        <w:t xml:space="preserve">, </w:t>
      </w:r>
      <w:r w:rsidR="006D4221">
        <w:rPr>
          <w:rFonts w:ascii="Times New Roman" w:hAnsi="Times New Roman" w:cs="Times New Roman"/>
          <w:sz w:val="28"/>
          <w:szCs w:val="28"/>
        </w:rPr>
        <w:t>jobs/</w:t>
      </w:r>
      <w:r w:rsidR="0021221A" w:rsidRPr="003133DF">
        <w:rPr>
          <w:rFonts w:ascii="Times New Roman" w:hAnsi="Times New Roman" w:cs="Times New Roman"/>
          <w:sz w:val="28"/>
          <w:szCs w:val="28"/>
        </w:rPr>
        <w:t xml:space="preserve">employment and educational </w:t>
      </w:r>
      <w:r w:rsidR="006D4221">
        <w:rPr>
          <w:rFonts w:ascii="Times New Roman" w:hAnsi="Times New Roman" w:cs="Times New Roman"/>
          <w:sz w:val="28"/>
          <w:szCs w:val="28"/>
        </w:rPr>
        <w:t>opportunities/access.</w:t>
      </w:r>
    </w:p>
    <w:p w:rsidR="00533EE0" w:rsidRPr="003133DF" w:rsidRDefault="00693129" w:rsidP="003133DF">
      <w:pPr>
        <w:spacing w:line="360" w:lineRule="auto"/>
        <w:jc w:val="both"/>
        <w:rPr>
          <w:rFonts w:ascii="Times New Roman" w:hAnsi="Times New Roman" w:cs="Times New Roman"/>
          <w:i/>
          <w:sz w:val="28"/>
          <w:szCs w:val="28"/>
        </w:rPr>
      </w:pPr>
      <w:r w:rsidRPr="003133DF">
        <w:rPr>
          <w:rFonts w:ascii="Times New Roman" w:hAnsi="Times New Roman" w:cs="Times New Roman"/>
          <w:i/>
          <w:sz w:val="28"/>
          <w:szCs w:val="28"/>
        </w:rPr>
        <w:t>1.3</w:t>
      </w:r>
      <w:r w:rsidR="0035666A" w:rsidRPr="003133DF">
        <w:rPr>
          <w:rFonts w:ascii="Times New Roman" w:hAnsi="Times New Roman" w:cs="Times New Roman"/>
          <w:i/>
          <w:sz w:val="28"/>
          <w:szCs w:val="28"/>
        </w:rPr>
        <w:t xml:space="preserve"> </w:t>
      </w:r>
      <w:r w:rsidR="0021221A" w:rsidRPr="003133DF">
        <w:rPr>
          <w:rFonts w:ascii="Times New Roman" w:hAnsi="Times New Roman" w:cs="Times New Roman"/>
          <w:i/>
          <w:sz w:val="28"/>
          <w:szCs w:val="28"/>
        </w:rPr>
        <w:t>Article organisation</w:t>
      </w:r>
    </w:p>
    <w:p w:rsidR="00AB403B" w:rsidRPr="003133DF" w:rsidRDefault="0021221A" w:rsidP="003133DF">
      <w:pPr>
        <w:spacing w:line="360" w:lineRule="auto"/>
        <w:jc w:val="both"/>
        <w:rPr>
          <w:rFonts w:ascii="Times New Roman" w:hAnsi="Times New Roman" w:cs="Times New Roman"/>
          <w:sz w:val="28"/>
          <w:szCs w:val="28"/>
        </w:rPr>
      </w:pPr>
      <w:r w:rsidRPr="003133DF">
        <w:rPr>
          <w:rFonts w:ascii="Times New Roman" w:hAnsi="Times New Roman" w:cs="Times New Roman"/>
          <w:sz w:val="28"/>
          <w:szCs w:val="28"/>
        </w:rPr>
        <w:t>The discussion is</w:t>
      </w:r>
      <w:r w:rsidR="003C49E8" w:rsidRPr="003133DF">
        <w:rPr>
          <w:rFonts w:ascii="Times New Roman" w:hAnsi="Times New Roman" w:cs="Times New Roman"/>
          <w:sz w:val="28"/>
          <w:szCs w:val="28"/>
        </w:rPr>
        <w:t xml:space="preserve"> organised as follows. Section 2</w:t>
      </w:r>
      <w:r w:rsidRPr="003133DF">
        <w:rPr>
          <w:rFonts w:ascii="Times New Roman" w:hAnsi="Times New Roman" w:cs="Times New Roman"/>
          <w:sz w:val="28"/>
          <w:szCs w:val="28"/>
        </w:rPr>
        <w:t xml:space="preserve"> describes the</w:t>
      </w:r>
      <w:r w:rsidR="003C49E8" w:rsidRPr="003133DF">
        <w:rPr>
          <w:rFonts w:ascii="Times New Roman" w:hAnsi="Times New Roman" w:cs="Times New Roman"/>
          <w:sz w:val="28"/>
          <w:szCs w:val="28"/>
        </w:rPr>
        <w:t xml:space="preserve"> re</w:t>
      </w:r>
      <w:r w:rsidR="00023120">
        <w:rPr>
          <w:rFonts w:ascii="Times New Roman" w:hAnsi="Times New Roman" w:cs="Times New Roman"/>
          <w:sz w:val="28"/>
          <w:szCs w:val="28"/>
        </w:rPr>
        <w:t>view</w:t>
      </w:r>
      <w:r w:rsidR="003C49E8" w:rsidRPr="003133DF">
        <w:rPr>
          <w:rFonts w:ascii="Times New Roman" w:hAnsi="Times New Roman" w:cs="Times New Roman"/>
          <w:sz w:val="28"/>
          <w:szCs w:val="28"/>
        </w:rPr>
        <w:t xml:space="preserve"> methodology. </w:t>
      </w:r>
      <w:r w:rsidRPr="003133DF">
        <w:rPr>
          <w:rFonts w:ascii="Times New Roman" w:hAnsi="Times New Roman" w:cs="Times New Roman"/>
          <w:sz w:val="28"/>
          <w:szCs w:val="28"/>
        </w:rPr>
        <w:t xml:space="preserve">Section </w:t>
      </w:r>
      <w:r w:rsidR="008B7156" w:rsidRPr="003133DF">
        <w:rPr>
          <w:rFonts w:ascii="Times New Roman" w:hAnsi="Times New Roman" w:cs="Times New Roman"/>
          <w:sz w:val="28"/>
          <w:szCs w:val="28"/>
        </w:rPr>
        <w:t>3</w:t>
      </w:r>
      <w:r w:rsidRPr="003133DF">
        <w:rPr>
          <w:rFonts w:ascii="Times New Roman" w:hAnsi="Times New Roman" w:cs="Times New Roman"/>
          <w:sz w:val="28"/>
          <w:szCs w:val="28"/>
        </w:rPr>
        <w:t xml:space="preserve"> summarises the progress to date of UPE with particular attention being paid to primary school completion rates</w:t>
      </w:r>
      <w:r w:rsidR="00023120">
        <w:rPr>
          <w:rFonts w:ascii="Times New Roman" w:hAnsi="Times New Roman" w:cs="Times New Roman"/>
          <w:sz w:val="28"/>
          <w:szCs w:val="28"/>
        </w:rPr>
        <w:t xml:space="preserve"> in rural areas</w:t>
      </w:r>
      <w:r w:rsidRPr="003133DF">
        <w:rPr>
          <w:rFonts w:ascii="Times New Roman" w:hAnsi="Times New Roman" w:cs="Times New Roman"/>
          <w:sz w:val="28"/>
          <w:szCs w:val="28"/>
        </w:rPr>
        <w:t>.</w:t>
      </w:r>
      <w:r w:rsidR="00866A1F" w:rsidRPr="003133DF">
        <w:rPr>
          <w:rFonts w:ascii="Times New Roman" w:hAnsi="Times New Roman" w:cs="Times New Roman"/>
          <w:sz w:val="28"/>
          <w:szCs w:val="28"/>
        </w:rPr>
        <w:t xml:space="preserve"> Section </w:t>
      </w:r>
      <w:r w:rsidR="008B7156" w:rsidRPr="003133DF">
        <w:rPr>
          <w:rFonts w:ascii="Times New Roman" w:hAnsi="Times New Roman" w:cs="Times New Roman"/>
          <w:sz w:val="28"/>
          <w:szCs w:val="28"/>
        </w:rPr>
        <w:t>4</w:t>
      </w:r>
      <w:r w:rsidR="00866A1F" w:rsidRPr="003133DF">
        <w:rPr>
          <w:rFonts w:ascii="Times New Roman" w:hAnsi="Times New Roman" w:cs="Times New Roman"/>
          <w:sz w:val="28"/>
          <w:szCs w:val="28"/>
        </w:rPr>
        <w:t xml:space="preserve"> provides a</w:t>
      </w:r>
      <w:r w:rsidR="006D4221">
        <w:rPr>
          <w:rFonts w:ascii="Times New Roman" w:hAnsi="Times New Roman" w:cs="Times New Roman"/>
          <w:sz w:val="28"/>
          <w:szCs w:val="28"/>
        </w:rPr>
        <w:t xml:space="preserve"> very brief </w:t>
      </w:r>
      <w:r w:rsidR="00866A1F" w:rsidRPr="003133DF">
        <w:rPr>
          <w:rFonts w:ascii="Times New Roman" w:hAnsi="Times New Roman" w:cs="Times New Roman"/>
          <w:sz w:val="28"/>
          <w:szCs w:val="28"/>
        </w:rPr>
        <w:t xml:space="preserve">overview of the evolving </w:t>
      </w:r>
      <w:r w:rsidR="00C33527" w:rsidRPr="003133DF">
        <w:rPr>
          <w:rFonts w:ascii="Times New Roman" w:hAnsi="Times New Roman" w:cs="Times New Roman"/>
          <w:sz w:val="28"/>
          <w:szCs w:val="28"/>
        </w:rPr>
        <w:t>political</w:t>
      </w:r>
      <w:r w:rsidR="00866A1F" w:rsidRPr="003133DF">
        <w:rPr>
          <w:rFonts w:ascii="Times New Roman" w:hAnsi="Times New Roman" w:cs="Times New Roman"/>
          <w:sz w:val="28"/>
          <w:szCs w:val="28"/>
        </w:rPr>
        <w:t xml:space="preserve"> economy in SSA during the </w:t>
      </w:r>
      <w:r w:rsidR="00220974">
        <w:rPr>
          <w:rFonts w:ascii="Times New Roman" w:hAnsi="Times New Roman" w:cs="Times New Roman"/>
          <w:sz w:val="28"/>
          <w:szCs w:val="28"/>
        </w:rPr>
        <w:t>last two-three decades. Section</w:t>
      </w:r>
      <w:r w:rsidR="00866A1F" w:rsidRPr="003133DF">
        <w:rPr>
          <w:rFonts w:ascii="Times New Roman" w:hAnsi="Times New Roman" w:cs="Times New Roman"/>
          <w:sz w:val="28"/>
          <w:szCs w:val="28"/>
        </w:rPr>
        <w:t xml:space="preserve"> </w:t>
      </w:r>
      <w:r w:rsidR="008B7156" w:rsidRPr="003133DF">
        <w:rPr>
          <w:rFonts w:ascii="Times New Roman" w:hAnsi="Times New Roman" w:cs="Times New Roman"/>
          <w:sz w:val="28"/>
          <w:szCs w:val="28"/>
        </w:rPr>
        <w:t xml:space="preserve">5 </w:t>
      </w:r>
      <w:r w:rsidR="005C78F7" w:rsidRPr="003133DF">
        <w:rPr>
          <w:rFonts w:ascii="Times New Roman" w:hAnsi="Times New Roman" w:cs="Times New Roman"/>
          <w:sz w:val="28"/>
          <w:szCs w:val="28"/>
        </w:rPr>
        <w:t xml:space="preserve">then </w:t>
      </w:r>
      <w:r w:rsidR="00866A1F" w:rsidRPr="003133DF">
        <w:rPr>
          <w:rFonts w:ascii="Times New Roman" w:hAnsi="Times New Roman" w:cs="Times New Roman"/>
          <w:sz w:val="28"/>
          <w:szCs w:val="28"/>
        </w:rPr>
        <w:t xml:space="preserve">discuss </w:t>
      </w:r>
      <w:r w:rsidR="00C70634" w:rsidRPr="003133DF">
        <w:rPr>
          <w:rFonts w:ascii="Times New Roman" w:hAnsi="Times New Roman" w:cs="Times New Roman"/>
          <w:sz w:val="28"/>
          <w:szCs w:val="28"/>
        </w:rPr>
        <w:t xml:space="preserve">how </w:t>
      </w:r>
      <w:r w:rsidR="005C78F7" w:rsidRPr="003133DF">
        <w:rPr>
          <w:rFonts w:ascii="Times New Roman" w:hAnsi="Times New Roman" w:cs="Times New Roman"/>
          <w:sz w:val="28"/>
          <w:szCs w:val="28"/>
        </w:rPr>
        <w:t xml:space="preserve">social </w:t>
      </w:r>
      <w:r w:rsidR="00C70634" w:rsidRPr="003133DF">
        <w:rPr>
          <w:rFonts w:ascii="Times New Roman" w:hAnsi="Times New Roman" w:cs="Times New Roman"/>
          <w:sz w:val="28"/>
          <w:szCs w:val="28"/>
        </w:rPr>
        <w:t>class</w:t>
      </w:r>
      <w:r w:rsidR="006D4221">
        <w:rPr>
          <w:rFonts w:ascii="Times New Roman" w:hAnsi="Times New Roman" w:cs="Times New Roman"/>
          <w:sz w:val="28"/>
          <w:szCs w:val="28"/>
        </w:rPr>
        <w:t>, employment</w:t>
      </w:r>
      <w:r w:rsidR="00C70634" w:rsidRPr="003133DF">
        <w:rPr>
          <w:rFonts w:ascii="Times New Roman" w:hAnsi="Times New Roman" w:cs="Times New Roman"/>
          <w:sz w:val="28"/>
          <w:szCs w:val="28"/>
        </w:rPr>
        <w:t xml:space="preserve"> and educational competition </w:t>
      </w:r>
      <w:r w:rsidR="005C78F7" w:rsidRPr="003133DF">
        <w:rPr>
          <w:rFonts w:ascii="Times New Roman" w:hAnsi="Times New Roman" w:cs="Times New Roman"/>
          <w:sz w:val="28"/>
          <w:szCs w:val="28"/>
        </w:rPr>
        <w:t xml:space="preserve">and distancing </w:t>
      </w:r>
      <w:r w:rsidR="006D4221">
        <w:rPr>
          <w:rFonts w:ascii="Times New Roman" w:hAnsi="Times New Roman" w:cs="Times New Roman"/>
          <w:sz w:val="28"/>
          <w:szCs w:val="28"/>
        </w:rPr>
        <w:t xml:space="preserve">could be </w:t>
      </w:r>
      <w:r w:rsidR="00C70634" w:rsidRPr="003133DF">
        <w:rPr>
          <w:rFonts w:ascii="Times New Roman" w:hAnsi="Times New Roman" w:cs="Times New Roman"/>
          <w:sz w:val="28"/>
          <w:szCs w:val="28"/>
        </w:rPr>
        <w:t>affect</w:t>
      </w:r>
      <w:r w:rsidR="006D4221">
        <w:rPr>
          <w:rFonts w:ascii="Times New Roman" w:hAnsi="Times New Roman" w:cs="Times New Roman"/>
          <w:sz w:val="28"/>
          <w:szCs w:val="28"/>
        </w:rPr>
        <w:t>ing</w:t>
      </w:r>
      <w:r w:rsidR="00C70634" w:rsidRPr="003133DF">
        <w:rPr>
          <w:rFonts w:ascii="Times New Roman" w:hAnsi="Times New Roman" w:cs="Times New Roman"/>
          <w:sz w:val="28"/>
          <w:szCs w:val="28"/>
        </w:rPr>
        <w:t xml:space="preserve"> </w:t>
      </w:r>
      <w:r w:rsidR="00866A1F" w:rsidRPr="003133DF">
        <w:rPr>
          <w:rFonts w:ascii="Times New Roman" w:hAnsi="Times New Roman" w:cs="Times New Roman"/>
          <w:sz w:val="28"/>
          <w:szCs w:val="28"/>
        </w:rPr>
        <w:t>levels of political and financial commitment to UPE.</w:t>
      </w:r>
      <w:r w:rsidR="00C70634" w:rsidRPr="003133DF">
        <w:rPr>
          <w:rFonts w:ascii="Times New Roman" w:hAnsi="Times New Roman" w:cs="Times New Roman"/>
          <w:sz w:val="28"/>
          <w:szCs w:val="28"/>
        </w:rPr>
        <w:t xml:space="preserve"> Section </w:t>
      </w:r>
      <w:r w:rsidR="00220974">
        <w:rPr>
          <w:rFonts w:ascii="Times New Roman" w:hAnsi="Times New Roman" w:cs="Times New Roman"/>
          <w:sz w:val="28"/>
          <w:szCs w:val="28"/>
        </w:rPr>
        <w:t>6</w:t>
      </w:r>
      <w:r w:rsidR="00C70634" w:rsidRPr="003133DF">
        <w:rPr>
          <w:rFonts w:ascii="Times New Roman" w:hAnsi="Times New Roman" w:cs="Times New Roman"/>
          <w:sz w:val="28"/>
          <w:szCs w:val="28"/>
        </w:rPr>
        <w:t xml:space="preserve"> summarises the main economic benefits of UPE. </w:t>
      </w:r>
      <w:r w:rsidR="00220974">
        <w:rPr>
          <w:rFonts w:ascii="Times New Roman" w:hAnsi="Times New Roman" w:cs="Times New Roman"/>
          <w:sz w:val="28"/>
          <w:szCs w:val="28"/>
        </w:rPr>
        <w:t>Finally, section 7 presents the main conclusions and future areas of research.</w:t>
      </w:r>
    </w:p>
    <w:p w:rsidR="00F85B62" w:rsidRPr="003133DF" w:rsidRDefault="00866A1F" w:rsidP="003133DF">
      <w:pPr>
        <w:pStyle w:val="ListParagraph"/>
        <w:numPr>
          <w:ilvl w:val="0"/>
          <w:numId w:val="3"/>
        </w:numPr>
        <w:spacing w:line="360" w:lineRule="auto"/>
        <w:jc w:val="both"/>
        <w:rPr>
          <w:rFonts w:ascii="Times New Roman" w:hAnsi="Times New Roman" w:cs="Times New Roman"/>
          <w:b/>
          <w:sz w:val="28"/>
          <w:szCs w:val="28"/>
        </w:rPr>
      </w:pPr>
      <w:r w:rsidRPr="003133DF">
        <w:rPr>
          <w:rFonts w:ascii="Times New Roman" w:hAnsi="Times New Roman" w:cs="Times New Roman"/>
          <w:b/>
          <w:sz w:val="28"/>
          <w:szCs w:val="28"/>
        </w:rPr>
        <w:t>R</w:t>
      </w:r>
      <w:r w:rsidR="0035666A" w:rsidRPr="003133DF">
        <w:rPr>
          <w:rFonts w:ascii="Times New Roman" w:hAnsi="Times New Roman" w:cs="Times New Roman"/>
          <w:b/>
          <w:sz w:val="28"/>
          <w:szCs w:val="28"/>
        </w:rPr>
        <w:t>eview methodology</w:t>
      </w:r>
    </w:p>
    <w:p w:rsidR="00333B43" w:rsidRPr="00333B43" w:rsidRDefault="00333B43" w:rsidP="003133DF">
      <w:pPr>
        <w:spacing w:line="360" w:lineRule="auto"/>
        <w:jc w:val="both"/>
        <w:rPr>
          <w:rFonts w:ascii="Times New Roman" w:hAnsi="Times New Roman" w:cs="Times New Roman"/>
          <w:i/>
          <w:sz w:val="28"/>
          <w:szCs w:val="28"/>
        </w:rPr>
      </w:pPr>
      <w:r w:rsidRPr="00333B43">
        <w:rPr>
          <w:rFonts w:ascii="Times New Roman" w:hAnsi="Times New Roman" w:cs="Times New Roman"/>
          <w:i/>
          <w:sz w:val="28"/>
          <w:szCs w:val="28"/>
        </w:rPr>
        <w:t>2.1 Conceptual framework</w:t>
      </w:r>
    </w:p>
    <w:p w:rsidR="00333B43" w:rsidRPr="003133DF" w:rsidRDefault="00333B43" w:rsidP="00333B4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The overall conceptual framework of the paper focuses on the analysis of three inter-related aspects of competition, namely </w:t>
      </w:r>
      <w:r w:rsidR="008B7C79">
        <w:rPr>
          <w:rFonts w:ascii="Times New Roman" w:hAnsi="Times New Roman" w:cs="Times New Roman"/>
          <w:sz w:val="28"/>
          <w:szCs w:val="28"/>
        </w:rPr>
        <w:t>competition</w:t>
      </w:r>
      <w:r>
        <w:rPr>
          <w:rFonts w:ascii="Times New Roman" w:hAnsi="Times New Roman" w:cs="Times New Roman"/>
          <w:sz w:val="28"/>
          <w:szCs w:val="28"/>
        </w:rPr>
        <w:t xml:space="preserve"> between social classes, competition for good education and competition for ‘good jobs’. The role of education in the reproduction of class systems and the privileged positions of elites has been extensively researched by sociologists throughout the world (see Bourdieu and Passeron, 1977, Giddens 1989; Gintis and Bowles 1975).  The job competition model is an extension of internal labour market theory which highlights the role of formal education in determ</w:t>
      </w:r>
      <w:r w:rsidR="008B7C79">
        <w:rPr>
          <w:rFonts w:ascii="Times New Roman" w:hAnsi="Times New Roman" w:cs="Times New Roman"/>
          <w:sz w:val="28"/>
          <w:szCs w:val="28"/>
        </w:rPr>
        <w:t>in</w:t>
      </w:r>
      <w:r>
        <w:rPr>
          <w:rFonts w:ascii="Times New Roman" w:hAnsi="Times New Roman" w:cs="Times New Roman"/>
          <w:sz w:val="28"/>
          <w:szCs w:val="28"/>
        </w:rPr>
        <w:t xml:space="preserve">ing an individual’s place in employment queues for job vacancies (see Doeringer and Priore, 1971; Thurow, 1975) . With regard to education competition, since educational attainment and </w:t>
      </w:r>
      <w:r>
        <w:rPr>
          <w:rFonts w:ascii="Times New Roman" w:hAnsi="Times New Roman" w:cs="Times New Roman"/>
          <w:sz w:val="28"/>
          <w:szCs w:val="28"/>
        </w:rPr>
        <w:lastRenderedPageBreak/>
        <w:t xml:space="preserve">formal qualifications are widely used by employers as proxies for trainability, individuals seek to gain a competitive advantage at the head of employment queues by acquiring the best education and thus qualifications as possible. This in turn leads to qualification escalation especially in situations where excess demand exists for the available jobs (see Dore, 1976). </w:t>
      </w:r>
    </w:p>
    <w:p w:rsidR="00333B43" w:rsidRPr="00333B43" w:rsidRDefault="00333B43" w:rsidP="003133DF">
      <w:pPr>
        <w:spacing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333B43">
        <w:rPr>
          <w:rFonts w:ascii="Times New Roman" w:hAnsi="Times New Roman" w:cs="Times New Roman"/>
          <w:i/>
          <w:sz w:val="28"/>
          <w:szCs w:val="28"/>
        </w:rPr>
        <w:t>2.2 Data analysis</w:t>
      </w:r>
    </w:p>
    <w:p w:rsidR="002A5ECC" w:rsidRPr="003133DF" w:rsidRDefault="002A5ECC" w:rsidP="003133DF">
      <w:pPr>
        <w:spacing w:line="360" w:lineRule="auto"/>
        <w:jc w:val="both"/>
        <w:rPr>
          <w:rFonts w:ascii="Times New Roman" w:hAnsi="Times New Roman" w:cs="Times New Roman"/>
          <w:sz w:val="28"/>
          <w:szCs w:val="28"/>
        </w:rPr>
      </w:pPr>
      <w:r w:rsidRPr="003133DF">
        <w:rPr>
          <w:rFonts w:ascii="Times New Roman" w:hAnsi="Times New Roman" w:cs="Times New Roman"/>
          <w:sz w:val="28"/>
          <w:szCs w:val="28"/>
        </w:rPr>
        <w:t xml:space="preserve">The review attempts to pull together relevant information and data from all available sources. However, it is </w:t>
      </w:r>
      <w:r w:rsidR="00F35A73" w:rsidRPr="003133DF">
        <w:rPr>
          <w:rFonts w:ascii="Times New Roman" w:hAnsi="Times New Roman" w:cs="Times New Roman"/>
          <w:sz w:val="28"/>
          <w:szCs w:val="28"/>
        </w:rPr>
        <w:t xml:space="preserve">fully </w:t>
      </w:r>
      <w:r w:rsidRPr="003133DF">
        <w:rPr>
          <w:rFonts w:ascii="Times New Roman" w:hAnsi="Times New Roman" w:cs="Times New Roman"/>
          <w:sz w:val="28"/>
          <w:szCs w:val="28"/>
        </w:rPr>
        <w:t xml:space="preserve">recognised that there is currently insufficient data to be able to make robust assessments of </w:t>
      </w:r>
      <w:r w:rsidR="00C70634" w:rsidRPr="003133DF">
        <w:rPr>
          <w:rFonts w:ascii="Times New Roman" w:hAnsi="Times New Roman" w:cs="Times New Roman"/>
          <w:sz w:val="28"/>
          <w:szCs w:val="28"/>
        </w:rPr>
        <w:t xml:space="preserve">all </w:t>
      </w:r>
      <w:r w:rsidRPr="003133DF">
        <w:rPr>
          <w:rFonts w:ascii="Times New Roman" w:hAnsi="Times New Roman" w:cs="Times New Roman"/>
          <w:sz w:val="28"/>
          <w:szCs w:val="28"/>
        </w:rPr>
        <w:t>key propositions/hypotheses concerning the evolving political of UPE in SSA.</w:t>
      </w:r>
    </w:p>
    <w:p w:rsidR="00111256" w:rsidRPr="003133DF" w:rsidRDefault="00111256" w:rsidP="003133DF">
      <w:pPr>
        <w:spacing w:line="360" w:lineRule="auto"/>
        <w:jc w:val="both"/>
        <w:rPr>
          <w:rFonts w:ascii="Times New Roman" w:hAnsi="Times New Roman" w:cs="Times New Roman"/>
          <w:sz w:val="28"/>
          <w:szCs w:val="28"/>
        </w:rPr>
      </w:pPr>
      <w:r w:rsidRPr="003133DF">
        <w:rPr>
          <w:rFonts w:ascii="Times New Roman" w:hAnsi="Times New Roman" w:cs="Times New Roman"/>
          <w:sz w:val="28"/>
          <w:szCs w:val="28"/>
        </w:rPr>
        <w:t xml:space="preserve">Much of the </w:t>
      </w:r>
      <w:r w:rsidR="002A5ECC" w:rsidRPr="003133DF">
        <w:rPr>
          <w:rFonts w:ascii="Times New Roman" w:hAnsi="Times New Roman" w:cs="Times New Roman"/>
          <w:sz w:val="28"/>
          <w:szCs w:val="28"/>
        </w:rPr>
        <w:t xml:space="preserve">academic </w:t>
      </w:r>
      <w:r w:rsidRPr="003133DF">
        <w:rPr>
          <w:rFonts w:ascii="Times New Roman" w:hAnsi="Times New Roman" w:cs="Times New Roman"/>
          <w:sz w:val="28"/>
          <w:szCs w:val="28"/>
        </w:rPr>
        <w:t xml:space="preserve">analysis of </w:t>
      </w:r>
      <w:r w:rsidR="002A5ECC" w:rsidRPr="003133DF">
        <w:rPr>
          <w:rFonts w:ascii="Times New Roman" w:hAnsi="Times New Roman" w:cs="Times New Roman"/>
          <w:sz w:val="28"/>
          <w:szCs w:val="28"/>
        </w:rPr>
        <w:t xml:space="preserve">the education sector in SSA </w:t>
      </w:r>
      <w:r w:rsidR="00C70634" w:rsidRPr="003133DF">
        <w:rPr>
          <w:rFonts w:ascii="Times New Roman" w:hAnsi="Times New Roman" w:cs="Times New Roman"/>
          <w:sz w:val="28"/>
          <w:szCs w:val="28"/>
        </w:rPr>
        <w:t xml:space="preserve">relies </w:t>
      </w:r>
      <w:r w:rsidRPr="003133DF">
        <w:rPr>
          <w:rFonts w:ascii="Times New Roman" w:hAnsi="Times New Roman" w:cs="Times New Roman"/>
          <w:sz w:val="28"/>
          <w:szCs w:val="28"/>
        </w:rPr>
        <w:t>on data that is over 10 y</w:t>
      </w:r>
      <w:r w:rsidR="00F35A73" w:rsidRPr="003133DF">
        <w:rPr>
          <w:rFonts w:ascii="Times New Roman" w:hAnsi="Times New Roman" w:cs="Times New Roman"/>
          <w:sz w:val="28"/>
          <w:szCs w:val="28"/>
        </w:rPr>
        <w:t>ears old.</w:t>
      </w:r>
      <w:r w:rsidRPr="003133DF">
        <w:rPr>
          <w:rFonts w:ascii="Times New Roman" w:hAnsi="Times New Roman" w:cs="Times New Roman"/>
          <w:sz w:val="28"/>
          <w:szCs w:val="28"/>
        </w:rPr>
        <w:t xml:space="preserve"> In order to be as up </w:t>
      </w:r>
      <w:r w:rsidR="002A5ECC" w:rsidRPr="003133DF">
        <w:rPr>
          <w:rFonts w:ascii="Times New Roman" w:hAnsi="Times New Roman" w:cs="Times New Roman"/>
          <w:sz w:val="28"/>
          <w:szCs w:val="28"/>
        </w:rPr>
        <w:t xml:space="preserve">to date as possible, the analysis of the progress to date of UPE </w:t>
      </w:r>
      <w:r w:rsidRPr="003133DF">
        <w:rPr>
          <w:rFonts w:ascii="Times New Roman" w:hAnsi="Times New Roman" w:cs="Times New Roman"/>
          <w:sz w:val="28"/>
          <w:szCs w:val="28"/>
        </w:rPr>
        <w:t xml:space="preserve">only utilises </w:t>
      </w:r>
      <w:r w:rsidR="002A5ECC" w:rsidRPr="003133DF">
        <w:rPr>
          <w:rFonts w:ascii="Times New Roman" w:hAnsi="Times New Roman" w:cs="Times New Roman"/>
          <w:sz w:val="28"/>
          <w:szCs w:val="28"/>
        </w:rPr>
        <w:t xml:space="preserve">household </w:t>
      </w:r>
      <w:r w:rsidRPr="003133DF">
        <w:rPr>
          <w:rFonts w:ascii="Times New Roman" w:hAnsi="Times New Roman" w:cs="Times New Roman"/>
          <w:sz w:val="28"/>
          <w:szCs w:val="28"/>
        </w:rPr>
        <w:t>survey data that is less than five</w:t>
      </w:r>
      <w:r w:rsidR="00821794" w:rsidRPr="003133DF">
        <w:rPr>
          <w:rFonts w:ascii="Times New Roman" w:hAnsi="Times New Roman" w:cs="Times New Roman"/>
          <w:sz w:val="28"/>
          <w:szCs w:val="28"/>
        </w:rPr>
        <w:t>-six</w:t>
      </w:r>
      <w:r w:rsidRPr="003133DF">
        <w:rPr>
          <w:rFonts w:ascii="Times New Roman" w:hAnsi="Times New Roman" w:cs="Times New Roman"/>
          <w:sz w:val="28"/>
          <w:szCs w:val="28"/>
        </w:rPr>
        <w:t xml:space="preserve"> years old.</w:t>
      </w:r>
    </w:p>
    <w:p w:rsidR="004003C9" w:rsidRDefault="004003C9" w:rsidP="003133DF">
      <w:pPr>
        <w:spacing w:line="360" w:lineRule="auto"/>
        <w:jc w:val="both"/>
        <w:rPr>
          <w:rFonts w:ascii="Times New Roman" w:hAnsi="Times New Roman" w:cs="Times New Roman"/>
          <w:sz w:val="28"/>
          <w:szCs w:val="28"/>
        </w:rPr>
      </w:pPr>
      <w:r w:rsidRPr="003133DF">
        <w:rPr>
          <w:rFonts w:ascii="Times New Roman" w:hAnsi="Times New Roman" w:cs="Times New Roman"/>
          <w:sz w:val="28"/>
          <w:szCs w:val="28"/>
        </w:rPr>
        <w:t xml:space="preserve">With over 50 countries in SSA, it is necessary to exercise considerable caution in drawing continent-wide generalisations about the political economy of </w:t>
      </w:r>
      <w:r w:rsidR="00C33527" w:rsidRPr="003133DF">
        <w:rPr>
          <w:rFonts w:ascii="Times New Roman" w:hAnsi="Times New Roman" w:cs="Times New Roman"/>
          <w:sz w:val="28"/>
          <w:szCs w:val="28"/>
        </w:rPr>
        <w:t>education</w:t>
      </w:r>
      <w:r w:rsidR="00C70634" w:rsidRPr="003133DF">
        <w:rPr>
          <w:rFonts w:ascii="Times New Roman" w:hAnsi="Times New Roman" w:cs="Times New Roman"/>
          <w:sz w:val="28"/>
          <w:szCs w:val="28"/>
        </w:rPr>
        <w:t xml:space="preserve"> reform in </w:t>
      </w:r>
      <w:r w:rsidRPr="003133DF">
        <w:rPr>
          <w:rFonts w:ascii="Times New Roman" w:hAnsi="Times New Roman" w:cs="Times New Roman"/>
          <w:sz w:val="28"/>
          <w:szCs w:val="28"/>
        </w:rPr>
        <w:t>SSA. Only further research will be able to test and refine what are</w:t>
      </w:r>
      <w:r w:rsidR="00C70634" w:rsidRPr="003133DF">
        <w:rPr>
          <w:rFonts w:ascii="Times New Roman" w:hAnsi="Times New Roman" w:cs="Times New Roman"/>
          <w:sz w:val="28"/>
          <w:szCs w:val="28"/>
        </w:rPr>
        <w:t>,</w:t>
      </w:r>
      <w:r w:rsidRPr="003133DF">
        <w:rPr>
          <w:rFonts w:ascii="Times New Roman" w:hAnsi="Times New Roman" w:cs="Times New Roman"/>
          <w:sz w:val="28"/>
          <w:szCs w:val="28"/>
        </w:rPr>
        <w:t xml:space="preserve"> at this stage</w:t>
      </w:r>
      <w:r w:rsidR="00C70634" w:rsidRPr="003133DF">
        <w:rPr>
          <w:rFonts w:ascii="Times New Roman" w:hAnsi="Times New Roman" w:cs="Times New Roman"/>
          <w:sz w:val="28"/>
          <w:szCs w:val="28"/>
        </w:rPr>
        <w:t>,</w:t>
      </w:r>
      <w:r w:rsidRPr="003133DF">
        <w:rPr>
          <w:rFonts w:ascii="Times New Roman" w:hAnsi="Times New Roman" w:cs="Times New Roman"/>
          <w:sz w:val="28"/>
          <w:szCs w:val="28"/>
        </w:rPr>
        <w:t xml:space="preserve"> </w:t>
      </w:r>
      <w:r w:rsidR="00C70634" w:rsidRPr="003133DF">
        <w:rPr>
          <w:rFonts w:ascii="Times New Roman" w:hAnsi="Times New Roman" w:cs="Times New Roman"/>
          <w:sz w:val="28"/>
          <w:szCs w:val="28"/>
        </w:rPr>
        <w:t xml:space="preserve">quite </w:t>
      </w:r>
      <w:r w:rsidRPr="003133DF">
        <w:rPr>
          <w:rFonts w:ascii="Times New Roman" w:hAnsi="Times New Roman" w:cs="Times New Roman"/>
          <w:sz w:val="28"/>
          <w:szCs w:val="28"/>
        </w:rPr>
        <w:t>tentative generalisations and conclusions.</w:t>
      </w:r>
    </w:p>
    <w:p w:rsidR="00111256" w:rsidRPr="003133DF" w:rsidRDefault="00111256" w:rsidP="003133DF">
      <w:pPr>
        <w:spacing w:line="360" w:lineRule="auto"/>
        <w:rPr>
          <w:rFonts w:ascii="Times New Roman" w:hAnsi="Times New Roman" w:cs="Times New Roman"/>
          <w:i/>
          <w:sz w:val="28"/>
          <w:szCs w:val="28"/>
        </w:rPr>
      </w:pPr>
      <w:r w:rsidRPr="003133DF">
        <w:rPr>
          <w:rFonts w:ascii="Times New Roman" w:hAnsi="Times New Roman" w:cs="Times New Roman"/>
          <w:i/>
          <w:sz w:val="28"/>
          <w:szCs w:val="28"/>
        </w:rPr>
        <w:t xml:space="preserve">Household </w:t>
      </w:r>
      <w:r w:rsidR="00483DE2" w:rsidRPr="003133DF">
        <w:rPr>
          <w:rFonts w:ascii="Times New Roman" w:hAnsi="Times New Roman" w:cs="Times New Roman"/>
          <w:i/>
          <w:sz w:val="28"/>
          <w:szCs w:val="28"/>
        </w:rPr>
        <w:t xml:space="preserve">and labour force </w:t>
      </w:r>
      <w:r w:rsidRPr="003133DF">
        <w:rPr>
          <w:rFonts w:ascii="Times New Roman" w:hAnsi="Times New Roman" w:cs="Times New Roman"/>
          <w:i/>
          <w:sz w:val="28"/>
          <w:szCs w:val="28"/>
        </w:rPr>
        <w:t>surveys</w:t>
      </w:r>
    </w:p>
    <w:p w:rsidR="00866A1F" w:rsidRPr="003133DF" w:rsidRDefault="00111256" w:rsidP="003133DF">
      <w:pPr>
        <w:spacing w:line="360" w:lineRule="auto"/>
        <w:jc w:val="both"/>
        <w:rPr>
          <w:rFonts w:ascii="Times New Roman" w:hAnsi="Times New Roman" w:cs="Times New Roman"/>
          <w:sz w:val="28"/>
          <w:szCs w:val="28"/>
        </w:rPr>
      </w:pPr>
      <w:r w:rsidRPr="003133DF">
        <w:rPr>
          <w:rFonts w:ascii="Times New Roman" w:hAnsi="Times New Roman" w:cs="Times New Roman"/>
          <w:sz w:val="28"/>
          <w:szCs w:val="28"/>
        </w:rPr>
        <w:t xml:space="preserve">The Demographic and Health Surveys </w:t>
      </w:r>
      <w:r w:rsidR="00C70634" w:rsidRPr="003133DF">
        <w:rPr>
          <w:rFonts w:ascii="Times New Roman" w:hAnsi="Times New Roman" w:cs="Times New Roman"/>
          <w:sz w:val="28"/>
          <w:szCs w:val="28"/>
        </w:rPr>
        <w:t xml:space="preserve">(DHS) </w:t>
      </w:r>
      <w:r w:rsidRPr="003133DF">
        <w:rPr>
          <w:rFonts w:ascii="Times New Roman" w:hAnsi="Times New Roman" w:cs="Times New Roman"/>
          <w:sz w:val="28"/>
          <w:szCs w:val="28"/>
        </w:rPr>
        <w:t>and Multi-Indicator Cluster Surveys</w:t>
      </w:r>
      <w:r w:rsidR="00C70634" w:rsidRPr="003133DF">
        <w:rPr>
          <w:rFonts w:ascii="Times New Roman" w:hAnsi="Times New Roman" w:cs="Times New Roman"/>
          <w:sz w:val="28"/>
          <w:szCs w:val="28"/>
        </w:rPr>
        <w:t xml:space="preserve"> (MICS)</w:t>
      </w:r>
      <w:r w:rsidRPr="003133DF">
        <w:rPr>
          <w:rFonts w:ascii="Times New Roman" w:hAnsi="Times New Roman" w:cs="Times New Roman"/>
          <w:sz w:val="28"/>
          <w:szCs w:val="28"/>
        </w:rPr>
        <w:t xml:space="preserve"> are the two most important</w:t>
      </w:r>
      <w:r w:rsidR="00C70634" w:rsidRPr="003133DF">
        <w:rPr>
          <w:rFonts w:ascii="Times New Roman" w:hAnsi="Times New Roman" w:cs="Times New Roman"/>
          <w:sz w:val="28"/>
          <w:szCs w:val="28"/>
        </w:rPr>
        <w:t>,</w:t>
      </w:r>
      <w:r w:rsidRPr="003133DF">
        <w:rPr>
          <w:rFonts w:ascii="Times New Roman" w:hAnsi="Times New Roman" w:cs="Times New Roman"/>
          <w:sz w:val="28"/>
          <w:szCs w:val="28"/>
        </w:rPr>
        <w:t xml:space="preserve"> consistent sources of household data on education completion/attainment in SSA. </w:t>
      </w:r>
      <w:r w:rsidR="00821794" w:rsidRPr="003133DF">
        <w:rPr>
          <w:rFonts w:ascii="Times New Roman" w:hAnsi="Times New Roman" w:cs="Times New Roman"/>
          <w:sz w:val="28"/>
          <w:szCs w:val="28"/>
        </w:rPr>
        <w:t xml:space="preserve">The global </w:t>
      </w:r>
      <w:r w:rsidR="007B09D5" w:rsidRPr="003133DF">
        <w:rPr>
          <w:rFonts w:ascii="Times New Roman" w:hAnsi="Times New Roman" w:cs="Times New Roman"/>
          <w:sz w:val="28"/>
          <w:szCs w:val="28"/>
        </w:rPr>
        <w:t xml:space="preserve">DHS </w:t>
      </w:r>
      <w:r w:rsidR="00821794" w:rsidRPr="003133DF">
        <w:rPr>
          <w:rFonts w:ascii="Times New Roman" w:hAnsi="Times New Roman" w:cs="Times New Roman"/>
          <w:sz w:val="28"/>
          <w:szCs w:val="28"/>
        </w:rPr>
        <w:t xml:space="preserve">programme is </w:t>
      </w:r>
      <w:r w:rsidR="007B09D5" w:rsidRPr="003133DF">
        <w:rPr>
          <w:rFonts w:ascii="Times New Roman" w:hAnsi="Times New Roman" w:cs="Times New Roman"/>
          <w:sz w:val="28"/>
          <w:szCs w:val="28"/>
        </w:rPr>
        <w:t xml:space="preserve">funded by USAID </w:t>
      </w:r>
      <w:r w:rsidR="00023120">
        <w:rPr>
          <w:rFonts w:ascii="Times New Roman" w:hAnsi="Times New Roman" w:cs="Times New Roman"/>
          <w:sz w:val="28"/>
          <w:szCs w:val="28"/>
        </w:rPr>
        <w:t xml:space="preserve">while the </w:t>
      </w:r>
      <w:r w:rsidR="007B09D5" w:rsidRPr="003133DF">
        <w:rPr>
          <w:rFonts w:ascii="Times New Roman" w:hAnsi="Times New Roman" w:cs="Times New Roman"/>
          <w:sz w:val="28"/>
          <w:szCs w:val="28"/>
        </w:rPr>
        <w:t xml:space="preserve">MICS are funded and managed by UNICEF. </w:t>
      </w:r>
      <w:r w:rsidRPr="003133DF">
        <w:rPr>
          <w:rFonts w:ascii="Times New Roman" w:hAnsi="Times New Roman" w:cs="Times New Roman"/>
          <w:sz w:val="28"/>
          <w:szCs w:val="28"/>
        </w:rPr>
        <w:t xml:space="preserve">This review focuses on the 18 countries </w:t>
      </w:r>
      <w:r w:rsidR="007B09D5" w:rsidRPr="003133DF">
        <w:rPr>
          <w:rFonts w:ascii="Times New Roman" w:hAnsi="Times New Roman" w:cs="Times New Roman"/>
          <w:sz w:val="28"/>
          <w:szCs w:val="28"/>
        </w:rPr>
        <w:t xml:space="preserve">in SSA </w:t>
      </w:r>
      <w:r w:rsidRPr="003133DF">
        <w:rPr>
          <w:rFonts w:ascii="Times New Roman" w:hAnsi="Times New Roman" w:cs="Times New Roman"/>
          <w:sz w:val="28"/>
          <w:szCs w:val="28"/>
        </w:rPr>
        <w:t xml:space="preserve">where </w:t>
      </w:r>
      <w:r w:rsidR="007B09D5" w:rsidRPr="003133DF">
        <w:rPr>
          <w:rFonts w:ascii="Times New Roman" w:hAnsi="Times New Roman" w:cs="Times New Roman"/>
          <w:sz w:val="28"/>
          <w:szCs w:val="28"/>
        </w:rPr>
        <w:t>DHS and/or MICS</w:t>
      </w:r>
      <w:r w:rsidRPr="003133DF">
        <w:rPr>
          <w:rFonts w:ascii="Times New Roman" w:hAnsi="Times New Roman" w:cs="Times New Roman"/>
          <w:sz w:val="28"/>
          <w:szCs w:val="28"/>
        </w:rPr>
        <w:t xml:space="preserve"> have been conducted since 2014. Between them, these countries are reasonably representative of countries in </w:t>
      </w:r>
      <w:r w:rsidR="0081445B" w:rsidRPr="003133DF">
        <w:rPr>
          <w:rFonts w:ascii="Times New Roman" w:hAnsi="Times New Roman" w:cs="Times New Roman"/>
          <w:sz w:val="28"/>
          <w:szCs w:val="28"/>
        </w:rPr>
        <w:t>SSA</w:t>
      </w:r>
      <w:r w:rsidRPr="003133DF">
        <w:rPr>
          <w:rFonts w:ascii="Times New Roman" w:hAnsi="Times New Roman" w:cs="Times New Roman"/>
          <w:sz w:val="28"/>
          <w:szCs w:val="28"/>
        </w:rPr>
        <w:t xml:space="preserve"> </w:t>
      </w:r>
      <w:r w:rsidR="007B09D5" w:rsidRPr="003133DF">
        <w:rPr>
          <w:rFonts w:ascii="Times New Roman" w:hAnsi="Times New Roman" w:cs="Times New Roman"/>
          <w:sz w:val="28"/>
          <w:szCs w:val="28"/>
        </w:rPr>
        <w:t>with respect to population size</w:t>
      </w:r>
      <w:r w:rsidRPr="003133DF">
        <w:rPr>
          <w:rFonts w:ascii="Times New Roman" w:hAnsi="Times New Roman" w:cs="Times New Roman"/>
          <w:sz w:val="28"/>
          <w:szCs w:val="28"/>
        </w:rPr>
        <w:t xml:space="preserve"> </w:t>
      </w:r>
      <w:r w:rsidR="00483DE2" w:rsidRPr="003133DF">
        <w:rPr>
          <w:rFonts w:ascii="Times New Roman" w:hAnsi="Times New Roman" w:cs="Times New Roman"/>
          <w:sz w:val="28"/>
          <w:szCs w:val="28"/>
        </w:rPr>
        <w:t>and economic and educational development.</w:t>
      </w:r>
    </w:p>
    <w:p w:rsidR="00483DE2" w:rsidRPr="003133DF" w:rsidRDefault="00483DE2" w:rsidP="003133DF">
      <w:pPr>
        <w:spacing w:line="360" w:lineRule="auto"/>
        <w:jc w:val="both"/>
        <w:rPr>
          <w:rFonts w:ascii="Times New Roman" w:hAnsi="Times New Roman" w:cs="Times New Roman"/>
          <w:sz w:val="28"/>
          <w:szCs w:val="28"/>
        </w:rPr>
      </w:pPr>
      <w:r w:rsidRPr="003133DF">
        <w:rPr>
          <w:rFonts w:ascii="Times New Roman" w:hAnsi="Times New Roman" w:cs="Times New Roman"/>
          <w:sz w:val="28"/>
          <w:szCs w:val="28"/>
        </w:rPr>
        <w:lastRenderedPageBreak/>
        <w:t>The DHS and MIC</w:t>
      </w:r>
      <w:r w:rsidR="0081445B" w:rsidRPr="003133DF">
        <w:rPr>
          <w:rFonts w:ascii="Times New Roman" w:hAnsi="Times New Roman" w:cs="Times New Roman"/>
          <w:sz w:val="28"/>
          <w:szCs w:val="28"/>
        </w:rPr>
        <w:t>S</w:t>
      </w:r>
      <w:r w:rsidRPr="003133DF">
        <w:rPr>
          <w:rFonts w:ascii="Times New Roman" w:hAnsi="Times New Roman" w:cs="Times New Roman"/>
          <w:sz w:val="28"/>
          <w:szCs w:val="28"/>
        </w:rPr>
        <w:t xml:space="preserve"> are large national surveys based on randomised cluster sampling of population </w:t>
      </w:r>
      <w:r w:rsidR="007B09D5" w:rsidRPr="003133DF">
        <w:rPr>
          <w:rFonts w:ascii="Times New Roman" w:hAnsi="Times New Roman" w:cs="Times New Roman"/>
          <w:sz w:val="28"/>
          <w:szCs w:val="28"/>
        </w:rPr>
        <w:t xml:space="preserve">census </w:t>
      </w:r>
      <w:r w:rsidRPr="003133DF">
        <w:rPr>
          <w:rFonts w:ascii="Times New Roman" w:hAnsi="Times New Roman" w:cs="Times New Roman"/>
          <w:sz w:val="28"/>
          <w:szCs w:val="28"/>
        </w:rPr>
        <w:t>enumeration areas</w:t>
      </w:r>
      <w:r w:rsidR="00C70634" w:rsidRPr="003133DF">
        <w:rPr>
          <w:rStyle w:val="FootnoteReference"/>
          <w:rFonts w:ascii="Times New Roman" w:hAnsi="Times New Roman" w:cs="Times New Roman"/>
          <w:sz w:val="28"/>
          <w:szCs w:val="28"/>
        </w:rPr>
        <w:footnoteReference w:id="4"/>
      </w:r>
      <w:r w:rsidRPr="003133DF">
        <w:rPr>
          <w:rFonts w:ascii="Times New Roman" w:hAnsi="Times New Roman" w:cs="Times New Roman"/>
          <w:sz w:val="28"/>
          <w:szCs w:val="28"/>
        </w:rPr>
        <w:t xml:space="preserve">. They should be conducted by national statistical organisations every five years although this is frequently </w:t>
      </w:r>
      <w:r w:rsidR="007B09D5" w:rsidRPr="003133DF">
        <w:rPr>
          <w:rFonts w:ascii="Times New Roman" w:hAnsi="Times New Roman" w:cs="Times New Roman"/>
          <w:sz w:val="28"/>
          <w:szCs w:val="28"/>
        </w:rPr>
        <w:t xml:space="preserve">not </w:t>
      </w:r>
      <w:r w:rsidRPr="003133DF">
        <w:rPr>
          <w:rFonts w:ascii="Times New Roman" w:hAnsi="Times New Roman" w:cs="Times New Roman"/>
          <w:sz w:val="28"/>
          <w:szCs w:val="28"/>
        </w:rPr>
        <w:t>the case</w:t>
      </w:r>
      <w:r w:rsidRPr="003133DF">
        <w:rPr>
          <w:rStyle w:val="FootnoteReference"/>
          <w:rFonts w:ascii="Times New Roman" w:hAnsi="Times New Roman" w:cs="Times New Roman"/>
          <w:sz w:val="28"/>
          <w:szCs w:val="28"/>
        </w:rPr>
        <w:footnoteReference w:id="5"/>
      </w:r>
      <w:r w:rsidRPr="003133DF">
        <w:rPr>
          <w:rFonts w:ascii="Times New Roman" w:hAnsi="Times New Roman" w:cs="Times New Roman"/>
          <w:sz w:val="28"/>
          <w:szCs w:val="28"/>
        </w:rPr>
        <w:t xml:space="preserve"> which leads to gaps in coverage both geographically and over time. </w:t>
      </w:r>
    </w:p>
    <w:p w:rsidR="00866A1F" w:rsidRPr="003133DF" w:rsidRDefault="0081445B" w:rsidP="003133DF">
      <w:pPr>
        <w:spacing w:line="360" w:lineRule="auto"/>
        <w:jc w:val="both"/>
        <w:rPr>
          <w:rFonts w:ascii="Times New Roman" w:hAnsi="Times New Roman" w:cs="Times New Roman"/>
          <w:sz w:val="28"/>
          <w:szCs w:val="28"/>
        </w:rPr>
      </w:pPr>
      <w:r w:rsidRPr="003133DF">
        <w:rPr>
          <w:rFonts w:ascii="Times New Roman" w:hAnsi="Times New Roman" w:cs="Times New Roman"/>
          <w:sz w:val="28"/>
          <w:szCs w:val="28"/>
        </w:rPr>
        <w:t>With regard to education, e</w:t>
      </w:r>
      <w:r w:rsidR="00483DE2" w:rsidRPr="003133DF">
        <w:rPr>
          <w:rFonts w:ascii="Times New Roman" w:hAnsi="Times New Roman" w:cs="Times New Roman"/>
          <w:sz w:val="28"/>
          <w:szCs w:val="28"/>
        </w:rPr>
        <w:t>ach survey requests information on the current education status of e</w:t>
      </w:r>
      <w:r w:rsidR="00821794" w:rsidRPr="003133DF">
        <w:rPr>
          <w:rFonts w:ascii="Times New Roman" w:hAnsi="Times New Roman" w:cs="Times New Roman"/>
          <w:sz w:val="28"/>
          <w:szCs w:val="28"/>
        </w:rPr>
        <w:t xml:space="preserve">very </w:t>
      </w:r>
      <w:r w:rsidR="00483DE2" w:rsidRPr="003133DF">
        <w:rPr>
          <w:rFonts w:ascii="Times New Roman" w:hAnsi="Times New Roman" w:cs="Times New Roman"/>
          <w:sz w:val="28"/>
          <w:szCs w:val="28"/>
        </w:rPr>
        <w:t>member of the sampled household as well as their overall level of educational attainment</w:t>
      </w:r>
      <w:r w:rsidR="00FC6808" w:rsidRPr="003133DF">
        <w:rPr>
          <w:rFonts w:ascii="Times New Roman" w:hAnsi="Times New Roman" w:cs="Times New Roman"/>
          <w:sz w:val="28"/>
          <w:szCs w:val="28"/>
        </w:rPr>
        <w:t xml:space="preserve"> which </w:t>
      </w:r>
      <w:r w:rsidR="00483DE2" w:rsidRPr="003133DF">
        <w:rPr>
          <w:rFonts w:ascii="Times New Roman" w:hAnsi="Times New Roman" w:cs="Times New Roman"/>
          <w:sz w:val="28"/>
          <w:szCs w:val="28"/>
        </w:rPr>
        <w:t>can be disaggregated by sex, location, and wealth quintile.</w:t>
      </w:r>
      <w:r w:rsidR="007B09D5" w:rsidRPr="003133DF">
        <w:rPr>
          <w:rFonts w:ascii="Times New Roman" w:hAnsi="Times New Roman" w:cs="Times New Roman"/>
          <w:sz w:val="28"/>
          <w:szCs w:val="28"/>
        </w:rPr>
        <w:t xml:space="preserve"> In analysing the overall political economy of UPE</w:t>
      </w:r>
      <w:r w:rsidR="00FC6808" w:rsidRPr="003133DF">
        <w:rPr>
          <w:rFonts w:ascii="Times New Roman" w:hAnsi="Times New Roman" w:cs="Times New Roman"/>
          <w:sz w:val="28"/>
          <w:szCs w:val="28"/>
        </w:rPr>
        <w:t xml:space="preserve">, </w:t>
      </w:r>
      <w:r w:rsidR="007B09D5" w:rsidRPr="003133DF">
        <w:rPr>
          <w:rFonts w:ascii="Times New Roman" w:hAnsi="Times New Roman" w:cs="Times New Roman"/>
          <w:sz w:val="28"/>
          <w:szCs w:val="28"/>
        </w:rPr>
        <w:t xml:space="preserve">it is </w:t>
      </w:r>
      <w:r w:rsidR="00FC6808" w:rsidRPr="003133DF">
        <w:rPr>
          <w:rFonts w:ascii="Times New Roman" w:hAnsi="Times New Roman" w:cs="Times New Roman"/>
          <w:sz w:val="28"/>
          <w:szCs w:val="28"/>
        </w:rPr>
        <w:t xml:space="preserve">essential </w:t>
      </w:r>
      <w:r w:rsidR="007B09D5" w:rsidRPr="003133DF">
        <w:rPr>
          <w:rFonts w:ascii="Times New Roman" w:hAnsi="Times New Roman" w:cs="Times New Roman"/>
          <w:sz w:val="28"/>
          <w:szCs w:val="28"/>
        </w:rPr>
        <w:t xml:space="preserve">to have an overall picture of the educational attainment profile of the population over time. For this reason, therefore, </w:t>
      </w:r>
      <w:r w:rsidR="00FC6808" w:rsidRPr="003133DF">
        <w:rPr>
          <w:rFonts w:ascii="Times New Roman" w:hAnsi="Times New Roman" w:cs="Times New Roman"/>
          <w:sz w:val="28"/>
          <w:szCs w:val="28"/>
        </w:rPr>
        <w:t xml:space="preserve">the </w:t>
      </w:r>
      <w:r w:rsidR="007B09D5" w:rsidRPr="003133DF">
        <w:rPr>
          <w:rFonts w:ascii="Times New Roman" w:hAnsi="Times New Roman" w:cs="Times New Roman"/>
          <w:sz w:val="28"/>
          <w:szCs w:val="28"/>
        </w:rPr>
        <w:t xml:space="preserve">age group 18-24 </w:t>
      </w:r>
      <w:r w:rsidR="00FC6808" w:rsidRPr="003133DF">
        <w:rPr>
          <w:rFonts w:ascii="Times New Roman" w:hAnsi="Times New Roman" w:cs="Times New Roman"/>
          <w:sz w:val="28"/>
          <w:szCs w:val="28"/>
        </w:rPr>
        <w:t xml:space="preserve">has been selected </w:t>
      </w:r>
      <w:r w:rsidR="007B09D5" w:rsidRPr="003133DF">
        <w:rPr>
          <w:rFonts w:ascii="Times New Roman" w:hAnsi="Times New Roman" w:cs="Times New Roman"/>
          <w:sz w:val="28"/>
          <w:szCs w:val="28"/>
        </w:rPr>
        <w:t xml:space="preserve">as the reference population with </w:t>
      </w:r>
      <w:r w:rsidRPr="003133DF">
        <w:rPr>
          <w:rFonts w:ascii="Times New Roman" w:hAnsi="Times New Roman" w:cs="Times New Roman"/>
          <w:sz w:val="28"/>
          <w:szCs w:val="28"/>
        </w:rPr>
        <w:t xml:space="preserve">the </w:t>
      </w:r>
      <w:r w:rsidR="00FC6808" w:rsidRPr="003133DF">
        <w:rPr>
          <w:rFonts w:ascii="Times New Roman" w:hAnsi="Times New Roman" w:cs="Times New Roman"/>
          <w:sz w:val="28"/>
          <w:szCs w:val="28"/>
        </w:rPr>
        <w:t xml:space="preserve">year 2000 (or nearest year </w:t>
      </w:r>
      <w:r w:rsidR="00C33527" w:rsidRPr="003133DF">
        <w:rPr>
          <w:rFonts w:ascii="Times New Roman" w:hAnsi="Times New Roman" w:cs="Times New Roman"/>
          <w:sz w:val="28"/>
          <w:szCs w:val="28"/>
        </w:rPr>
        <w:t>possible</w:t>
      </w:r>
      <w:r w:rsidR="00FC6808" w:rsidRPr="003133DF">
        <w:rPr>
          <w:rFonts w:ascii="Times New Roman" w:hAnsi="Times New Roman" w:cs="Times New Roman"/>
          <w:sz w:val="28"/>
          <w:szCs w:val="28"/>
        </w:rPr>
        <w:t>) as the initial baseline year</w:t>
      </w:r>
      <w:r w:rsidR="007B09D5" w:rsidRPr="003133DF">
        <w:rPr>
          <w:rFonts w:ascii="Times New Roman" w:hAnsi="Times New Roman" w:cs="Times New Roman"/>
          <w:sz w:val="28"/>
          <w:szCs w:val="28"/>
        </w:rPr>
        <w:t xml:space="preserve">. </w:t>
      </w:r>
      <w:r w:rsidR="00483DE2" w:rsidRPr="003133DF">
        <w:rPr>
          <w:rFonts w:ascii="Times New Roman" w:hAnsi="Times New Roman" w:cs="Times New Roman"/>
          <w:sz w:val="28"/>
          <w:szCs w:val="28"/>
        </w:rPr>
        <w:t xml:space="preserve"> </w:t>
      </w:r>
      <w:r w:rsidR="00462DBF">
        <w:rPr>
          <w:rFonts w:ascii="Times New Roman" w:hAnsi="Times New Roman" w:cs="Times New Roman"/>
          <w:sz w:val="28"/>
          <w:szCs w:val="28"/>
        </w:rPr>
        <w:t xml:space="preserve">Both the DHS and MICS employ the same, tried and tested, and thus very robust survey methodology over relatively long time periods which yields consistently accurate estimates of primary and secondary school completion rates.   </w:t>
      </w:r>
    </w:p>
    <w:p w:rsidR="00023120" w:rsidRDefault="0081445B" w:rsidP="003133DF">
      <w:pPr>
        <w:spacing w:line="360" w:lineRule="auto"/>
        <w:jc w:val="both"/>
        <w:rPr>
          <w:rFonts w:ascii="Times New Roman" w:hAnsi="Times New Roman" w:cs="Times New Roman"/>
          <w:sz w:val="28"/>
          <w:szCs w:val="28"/>
        </w:rPr>
      </w:pPr>
      <w:r w:rsidRPr="003133DF">
        <w:rPr>
          <w:rFonts w:ascii="Times New Roman" w:hAnsi="Times New Roman" w:cs="Times New Roman"/>
          <w:sz w:val="28"/>
          <w:szCs w:val="28"/>
        </w:rPr>
        <w:t>T</w:t>
      </w:r>
      <w:r w:rsidR="00FC6808" w:rsidRPr="003133DF">
        <w:rPr>
          <w:rFonts w:ascii="Times New Roman" w:hAnsi="Times New Roman" w:cs="Times New Roman"/>
          <w:sz w:val="28"/>
          <w:szCs w:val="28"/>
        </w:rPr>
        <w:t xml:space="preserve">hree other </w:t>
      </w:r>
      <w:r w:rsidRPr="003133DF">
        <w:rPr>
          <w:rFonts w:ascii="Times New Roman" w:hAnsi="Times New Roman" w:cs="Times New Roman"/>
          <w:sz w:val="28"/>
          <w:szCs w:val="28"/>
        </w:rPr>
        <w:t xml:space="preserve">organisational </w:t>
      </w:r>
      <w:r w:rsidR="00FC6808" w:rsidRPr="003133DF">
        <w:rPr>
          <w:rFonts w:ascii="Times New Roman" w:hAnsi="Times New Roman" w:cs="Times New Roman"/>
          <w:sz w:val="28"/>
          <w:szCs w:val="28"/>
        </w:rPr>
        <w:t xml:space="preserve">data </w:t>
      </w:r>
      <w:r w:rsidRPr="003133DF">
        <w:rPr>
          <w:rFonts w:ascii="Times New Roman" w:hAnsi="Times New Roman" w:cs="Times New Roman"/>
          <w:sz w:val="28"/>
          <w:szCs w:val="28"/>
        </w:rPr>
        <w:t xml:space="preserve">sets have been </w:t>
      </w:r>
      <w:r w:rsidR="00FC6808" w:rsidRPr="003133DF">
        <w:rPr>
          <w:rFonts w:ascii="Times New Roman" w:hAnsi="Times New Roman" w:cs="Times New Roman"/>
          <w:sz w:val="28"/>
          <w:szCs w:val="28"/>
        </w:rPr>
        <w:t>utilised for this review</w:t>
      </w:r>
      <w:r w:rsidR="008154B8" w:rsidRPr="003133DF">
        <w:rPr>
          <w:rFonts w:ascii="Times New Roman" w:hAnsi="Times New Roman" w:cs="Times New Roman"/>
          <w:sz w:val="28"/>
          <w:szCs w:val="28"/>
        </w:rPr>
        <w:t>,</w:t>
      </w:r>
      <w:r w:rsidR="00FC6808" w:rsidRPr="003133DF">
        <w:rPr>
          <w:rFonts w:ascii="Times New Roman" w:hAnsi="Times New Roman" w:cs="Times New Roman"/>
          <w:sz w:val="28"/>
          <w:szCs w:val="28"/>
        </w:rPr>
        <w:t xml:space="preserve"> </w:t>
      </w:r>
      <w:r w:rsidRPr="003133DF">
        <w:rPr>
          <w:rFonts w:ascii="Times New Roman" w:hAnsi="Times New Roman" w:cs="Times New Roman"/>
          <w:sz w:val="28"/>
          <w:szCs w:val="28"/>
        </w:rPr>
        <w:t xml:space="preserve">namely the </w:t>
      </w:r>
      <w:r w:rsidR="00FC6808" w:rsidRPr="003133DF">
        <w:rPr>
          <w:rFonts w:ascii="Times New Roman" w:hAnsi="Times New Roman" w:cs="Times New Roman"/>
          <w:sz w:val="28"/>
          <w:szCs w:val="28"/>
        </w:rPr>
        <w:t>ILO</w:t>
      </w:r>
      <w:r w:rsidRPr="003133DF">
        <w:rPr>
          <w:rFonts w:ascii="Times New Roman" w:hAnsi="Times New Roman" w:cs="Times New Roman"/>
          <w:sz w:val="28"/>
          <w:szCs w:val="28"/>
        </w:rPr>
        <w:t xml:space="preserve"> (</w:t>
      </w:r>
      <w:r w:rsidR="00FC6808" w:rsidRPr="003133DF">
        <w:rPr>
          <w:rFonts w:ascii="Times New Roman" w:hAnsi="Times New Roman" w:cs="Times New Roman"/>
          <w:sz w:val="28"/>
          <w:szCs w:val="28"/>
        </w:rPr>
        <w:t>labour force and employment</w:t>
      </w:r>
      <w:r w:rsidRPr="003133DF">
        <w:rPr>
          <w:rFonts w:ascii="Times New Roman" w:hAnsi="Times New Roman" w:cs="Times New Roman"/>
          <w:sz w:val="28"/>
          <w:szCs w:val="28"/>
        </w:rPr>
        <w:t>)</w:t>
      </w:r>
      <w:r w:rsidR="00FC6808" w:rsidRPr="003133DF">
        <w:rPr>
          <w:rFonts w:ascii="Times New Roman" w:hAnsi="Times New Roman" w:cs="Times New Roman"/>
          <w:sz w:val="28"/>
          <w:szCs w:val="28"/>
        </w:rPr>
        <w:t xml:space="preserve">, UNESCO Institute of Statistics </w:t>
      </w:r>
      <w:r w:rsidRPr="003133DF">
        <w:rPr>
          <w:rFonts w:ascii="Times New Roman" w:hAnsi="Times New Roman" w:cs="Times New Roman"/>
          <w:sz w:val="28"/>
          <w:szCs w:val="28"/>
        </w:rPr>
        <w:t>(</w:t>
      </w:r>
      <w:r w:rsidR="00FC6808" w:rsidRPr="003133DF">
        <w:rPr>
          <w:rFonts w:ascii="Times New Roman" w:hAnsi="Times New Roman" w:cs="Times New Roman"/>
          <w:sz w:val="28"/>
          <w:szCs w:val="28"/>
        </w:rPr>
        <w:t>education</w:t>
      </w:r>
      <w:r w:rsidRPr="003133DF">
        <w:rPr>
          <w:rFonts w:ascii="Times New Roman" w:hAnsi="Times New Roman" w:cs="Times New Roman"/>
          <w:sz w:val="28"/>
          <w:szCs w:val="28"/>
        </w:rPr>
        <w:t>)</w:t>
      </w:r>
      <w:r w:rsidR="00FC6808" w:rsidRPr="003133DF">
        <w:rPr>
          <w:rFonts w:ascii="Times New Roman" w:hAnsi="Times New Roman" w:cs="Times New Roman"/>
          <w:sz w:val="28"/>
          <w:szCs w:val="28"/>
        </w:rPr>
        <w:t xml:space="preserve"> </w:t>
      </w:r>
      <w:r w:rsidRPr="003133DF">
        <w:rPr>
          <w:rFonts w:ascii="Times New Roman" w:hAnsi="Times New Roman" w:cs="Times New Roman"/>
          <w:sz w:val="28"/>
          <w:szCs w:val="28"/>
        </w:rPr>
        <w:t>and the World Bank (</w:t>
      </w:r>
      <w:r w:rsidR="00FC6808" w:rsidRPr="003133DF">
        <w:rPr>
          <w:rFonts w:ascii="Times New Roman" w:hAnsi="Times New Roman" w:cs="Times New Roman"/>
          <w:sz w:val="28"/>
          <w:szCs w:val="28"/>
        </w:rPr>
        <w:t>economic and poverty data</w:t>
      </w:r>
      <w:r w:rsidRPr="003133DF">
        <w:rPr>
          <w:rFonts w:ascii="Times New Roman" w:hAnsi="Times New Roman" w:cs="Times New Roman"/>
          <w:sz w:val="28"/>
          <w:szCs w:val="28"/>
        </w:rPr>
        <w:t>)</w:t>
      </w:r>
      <w:r w:rsidR="00FC6808" w:rsidRPr="003133DF">
        <w:rPr>
          <w:rFonts w:ascii="Times New Roman" w:hAnsi="Times New Roman" w:cs="Times New Roman"/>
          <w:sz w:val="28"/>
          <w:szCs w:val="28"/>
        </w:rPr>
        <w:t>.</w:t>
      </w:r>
    </w:p>
    <w:p w:rsidR="00AB5D66" w:rsidRPr="003133DF" w:rsidRDefault="00EC3441" w:rsidP="003133DF">
      <w:pPr>
        <w:pStyle w:val="ListParagraph"/>
        <w:numPr>
          <w:ilvl w:val="0"/>
          <w:numId w:val="3"/>
        </w:numPr>
        <w:spacing w:line="360" w:lineRule="auto"/>
        <w:jc w:val="both"/>
        <w:rPr>
          <w:rFonts w:ascii="Times New Roman" w:hAnsi="Times New Roman" w:cs="Times New Roman"/>
          <w:b/>
          <w:sz w:val="28"/>
          <w:szCs w:val="28"/>
        </w:rPr>
      </w:pPr>
      <w:r w:rsidRPr="003133DF">
        <w:rPr>
          <w:rFonts w:ascii="Times New Roman" w:hAnsi="Times New Roman" w:cs="Times New Roman"/>
          <w:b/>
          <w:sz w:val="28"/>
          <w:szCs w:val="28"/>
        </w:rPr>
        <w:t>Progress to date</w:t>
      </w:r>
    </w:p>
    <w:p w:rsidR="00AB5D66" w:rsidRPr="003133DF" w:rsidRDefault="00EC3441" w:rsidP="003133DF">
      <w:pPr>
        <w:spacing w:line="360" w:lineRule="auto"/>
        <w:jc w:val="both"/>
        <w:rPr>
          <w:rFonts w:ascii="Times New Roman" w:hAnsi="Times New Roman" w:cs="Times New Roman"/>
          <w:i/>
          <w:sz w:val="28"/>
          <w:szCs w:val="28"/>
        </w:rPr>
      </w:pPr>
      <w:r w:rsidRPr="003133DF">
        <w:rPr>
          <w:rFonts w:ascii="Times New Roman" w:hAnsi="Times New Roman" w:cs="Times New Roman"/>
          <w:i/>
          <w:sz w:val="28"/>
          <w:szCs w:val="28"/>
        </w:rPr>
        <w:t>3</w:t>
      </w:r>
      <w:r w:rsidR="00AB5D66" w:rsidRPr="003133DF">
        <w:rPr>
          <w:rFonts w:ascii="Times New Roman" w:hAnsi="Times New Roman" w:cs="Times New Roman"/>
          <w:i/>
          <w:sz w:val="28"/>
          <w:szCs w:val="28"/>
        </w:rPr>
        <w:t xml:space="preserve">.1 Primary </w:t>
      </w:r>
      <w:r w:rsidR="005D14D0" w:rsidRPr="003133DF">
        <w:rPr>
          <w:rFonts w:ascii="Times New Roman" w:hAnsi="Times New Roman" w:cs="Times New Roman"/>
          <w:i/>
          <w:sz w:val="28"/>
          <w:szCs w:val="28"/>
        </w:rPr>
        <w:t xml:space="preserve">school </w:t>
      </w:r>
      <w:r w:rsidR="00AB5D66" w:rsidRPr="003133DF">
        <w:rPr>
          <w:rFonts w:ascii="Times New Roman" w:hAnsi="Times New Roman" w:cs="Times New Roman"/>
          <w:i/>
          <w:sz w:val="28"/>
          <w:szCs w:val="28"/>
        </w:rPr>
        <w:t>completion rates: levels, increases and trends</w:t>
      </w:r>
    </w:p>
    <w:p w:rsidR="00AB5D66" w:rsidRPr="003133DF" w:rsidRDefault="00AB5D66" w:rsidP="003133DF">
      <w:pPr>
        <w:spacing w:line="360" w:lineRule="auto"/>
        <w:jc w:val="both"/>
        <w:rPr>
          <w:rFonts w:ascii="Times New Roman" w:hAnsi="Times New Roman" w:cs="Times New Roman"/>
          <w:sz w:val="28"/>
          <w:szCs w:val="28"/>
        </w:rPr>
      </w:pPr>
      <w:r w:rsidRPr="003133DF">
        <w:rPr>
          <w:rFonts w:ascii="Times New Roman" w:hAnsi="Times New Roman" w:cs="Times New Roman"/>
          <w:sz w:val="28"/>
          <w:szCs w:val="28"/>
        </w:rPr>
        <w:t>The only accurate indicator for assessing the degree to which UPE has been attained is the primary school completion rate (P</w:t>
      </w:r>
      <w:r w:rsidR="005D14D0" w:rsidRPr="003133DF">
        <w:rPr>
          <w:rFonts w:ascii="Times New Roman" w:hAnsi="Times New Roman" w:cs="Times New Roman"/>
          <w:sz w:val="28"/>
          <w:szCs w:val="28"/>
        </w:rPr>
        <w:t>S</w:t>
      </w:r>
      <w:r w:rsidRPr="003133DF">
        <w:rPr>
          <w:rFonts w:ascii="Times New Roman" w:hAnsi="Times New Roman" w:cs="Times New Roman"/>
          <w:sz w:val="28"/>
          <w:szCs w:val="28"/>
        </w:rPr>
        <w:t xml:space="preserve">RC) for each individual country </w:t>
      </w:r>
      <w:r w:rsidRPr="003133DF">
        <w:rPr>
          <w:rFonts w:ascii="Times New Roman" w:hAnsi="Times New Roman" w:cs="Times New Roman"/>
          <w:sz w:val="28"/>
          <w:szCs w:val="28"/>
        </w:rPr>
        <w:lastRenderedPageBreak/>
        <w:t>based on the most recent household survey data</w:t>
      </w:r>
      <w:r w:rsidRPr="003133DF">
        <w:rPr>
          <w:rStyle w:val="FootnoteReference"/>
          <w:rFonts w:ascii="Times New Roman" w:hAnsi="Times New Roman" w:cs="Times New Roman"/>
          <w:sz w:val="28"/>
          <w:szCs w:val="28"/>
        </w:rPr>
        <w:footnoteReference w:id="6"/>
      </w:r>
      <w:r w:rsidRPr="003133DF">
        <w:rPr>
          <w:rFonts w:ascii="Times New Roman" w:hAnsi="Times New Roman" w:cs="Times New Roman"/>
          <w:sz w:val="28"/>
          <w:szCs w:val="28"/>
        </w:rPr>
        <w:t>. Figure 1 shows that P</w:t>
      </w:r>
      <w:r w:rsidR="00F35A73" w:rsidRPr="003133DF">
        <w:rPr>
          <w:rFonts w:ascii="Times New Roman" w:hAnsi="Times New Roman" w:cs="Times New Roman"/>
          <w:sz w:val="28"/>
          <w:szCs w:val="28"/>
        </w:rPr>
        <w:t>S</w:t>
      </w:r>
      <w:r w:rsidRPr="003133DF">
        <w:rPr>
          <w:rFonts w:ascii="Times New Roman" w:hAnsi="Times New Roman" w:cs="Times New Roman"/>
          <w:sz w:val="28"/>
          <w:szCs w:val="28"/>
        </w:rPr>
        <w:t>RCs remain persistently low in the majority of countries in SSA</w:t>
      </w:r>
      <w:r w:rsidRPr="003133DF">
        <w:rPr>
          <w:rStyle w:val="FootnoteReference"/>
          <w:rFonts w:ascii="Times New Roman" w:hAnsi="Times New Roman" w:cs="Times New Roman"/>
          <w:sz w:val="28"/>
          <w:szCs w:val="28"/>
        </w:rPr>
        <w:footnoteReference w:id="7"/>
      </w:r>
      <w:r w:rsidRPr="003133DF">
        <w:rPr>
          <w:rFonts w:ascii="Times New Roman" w:hAnsi="Times New Roman" w:cs="Times New Roman"/>
          <w:sz w:val="28"/>
          <w:szCs w:val="28"/>
        </w:rPr>
        <w:t xml:space="preserve">. In a sizeable minority of countries they </w:t>
      </w:r>
      <w:r w:rsidR="00F65AD8" w:rsidRPr="003133DF">
        <w:rPr>
          <w:rFonts w:ascii="Times New Roman" w:hAnsi="Times New Roman" w:cs="Times New Roman"/>
          <w:sz w:val="28"/>
          <w:szCs w:val="28"/>
        </w:rPr>
        <w:t xml:space="preserve">still </w:t>
      </w:r>
      <w:r w:rsidRPr="003133DF">
        <w:rPr>
          <w:rFonts w:ascii="Times New Roman" w:hAnsi="Times New Roman" w:cs="Times New Roman"/>
          <w:sz w:val="28"/>
          <w:szCs w:val="28"/>
        </w:rPr>
        <w:t xml:space="preserve">remain below 50% </w:t>
      </w:r>
      <w:r w:rsidR="00F65AD8" w:rsidRPr="003133DF">
        <w:rPr>
          <w:rFonts w:ascii="Times New Roman" w:hAnsi="Times New Roman" w:cs="Times New Roman"/>
          <w:sz w:val="28"/>
          <w:szCs w:val="28"/>
        </w:rPr>
        <w:t>over 25</w:t>
      </w:r>
      <w:r w:rsidRPr="003133DF">
        <w:rPr>
          <w:rFonts w:ascii="Times New Roman" w:hAnsi="Times New Roman" w:cs="Times New Roman"/>
          <w:sz w:val="28"/>
          <w:szCs w:val="28"/>
        </w:rPr>
        <w:t xml:space="preserve"> years after the first global UPE declar</w:t>
      </w:r>
      <w:r w:rsidR="00B9451A">
        <w:rPr>
          <w:rFonts w:ascii="Times New Roman" w:hAnsi="Times New Roman" w:cs="Times New Roman"/>
          <w:sz w:val="28"/>
          <w:szCs w:val="28"/>
        </w:rPr>
        <w:t xml:space="preserve">ation was made in Jomtien </w:t>
      </w:r>
      <w:r w:rsidRPr="003133DF">
        <w:rPr>
          <w:rFonts w:ascii="Times New Roman" w:hAnsi="Times New Roman" w:cs="Times New Roman"/>
          <w:sz w:val="28"/>
          <w:szCs w:val="28"/>
        </w:rPr>
        <w:t>in 1990.</w:t>
      </w:r>
    </w:p>
    <w:p w:rsidR="00DD4112" w:rsidRDefault="00DD4112" w:rsidP="00AB5D66">
      <w:pPr>
        <w:jc w:val="both"/>
        <w:rPr>
          <w:rFonts w:ascii="Times New Roman" w:hAnsi="Times New Roman" w:cs="Times New Roman"/>
          <w:sz w:val="28"/>
          <w:szCs w:val="28"/>
        </w:rPr>
      </w:pPr>
      <w:r>
        <w:rPr>
          <w:noProof/>
          <w:lang w:eastAsia="en-GB"/>
        </w:rPr>
        <w:drawing>
          <wp:inline distT="0" distB="0" distL="0" distR="0" wp14:anchorId="5B7FA998" wp14:editId="4B9A1EDC">
            <wp:extent cx="5436000" cy="2743200"/>
            <wp:effectExtent l="0" t="0" r="1270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B5D66" w:rsidRDefault="00AB5D66" w:rsidP="003133DF">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Net enrolment rates are much higher in most countries which indicates that there has been considerable success in getting children to enrol in primary school. The challenge has been keeping them there.</w:t>
      </w:r>
    </w:p>
    <w:p w:rsidR="007D6F41" w:rsidRPr="003B3EF6" w:rsidRDefault="00C34AC3" w:rsidP="003133D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007D6F41" w:rsidRPr="003B3EF6">
        <w:rPr>
          <w:rFonts w:ascii="Times New Roman" w:hAnsi="Times New Roman" w:cs="Times New Roman"/>
          <w:sz w:val="28"/>
          <w:szCs w:val="28"/>
        </w:rPr>
        <w:t>overall increase in PSCRs is another important indicator of the relative performance of countries in meeting the UPE target. Figure 2</w:t>
      </w:r>
      <w:r w:rsidR="007D6F41">
        <w:rPr>
          <w:rStyle w:val="FootnoteReference"/>
          <w:rFonts w:ascii="Times New Roman" w:hAnsi="Times New Roman" w:cs="Times New Roman"/>
          <w:sz w:val="28"/>
          <w:szCs w:val="28"/>
        </w:rPr>
        <w:footnoteReference w:id="8"/>
      </w:r>
      <w:r w:rsidR="007D6F41" w:rsidRPr="003B3EF6">
        <w:rPr>
          <w:rFonts w:ascii="Times New Roman" w:hAnsi="Times New Roman" w:cs="Times New Roman"/>
          <w:sz w:val="28"/>
          <w:szCs w:val="28"/>
        </w:rPr>
        <w:t xml:space="preserve"> shows that in only around one-quarter of the 33 countries for which survey data is available, have P</w:t>
      </w:r>
      <w:r w:rsidR="007D6F41">
        <w:rPr>
          <w:rFonts w:ascii="Times New Roman" w:hAnsi="Times New Roman" w:cs="Times New Roman"/>
          <w:sz w:val="28"/>
          <w:szCs w:val="28"/>
        </w:rPr>
        <w:t>S</w:t>
      </w:r>
      <w:r w:rsidR="007D6F41" w:rsidRPr="003B3EF6">
        <w:rPr>
          <w:rFonts w:ascii="Times New Roman" w:hAnsi="Times New Roman" w:cs="Times New Roman"/>
          <w:sz w:val="28"/>
          <w:szCs w:val="28"/>
        </w:rPr>
        <w:t>CRs increased by more than 20 percentage points. All but one of these</w:t>
      </w:r>
    </w:p>
    <w:p w:rsidR="007D6F41" w:rsidRDefault="007D6F41" w:rsidP="00AB5D66">
      <w:pPr>
        <w:jc w:val="both"/>
        <w:rPr>
          <w:rFonts w:ascii="Times New Roman" w:hAnsi="Times New Roman" w:cs="Times New Roman"/>
          <w:sz w:val="28"/>
          <w:szCs w:val="28"/>
        </w:rPr>
      </w:pPr>
      <w:r>
        <w:rPr>
          <w:noProof/>
          <w:lang w:eastAsia="en-GB"/>
        </w:rPr>
        <w:lastRenderedPageBreak/>
        <w:drawing>
          <wp:inline distT="0" distB="0" distL="0" distR="0" wp14:anchorId="0CFD5CB3" wp14:editId="6ED9F187">
            <wp:extent cx="5140325" cy="2750820"/>
            <wp:effectExtent l="0" t="0" r="3175" b="114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65AD8" w:rsidRDefault="00AB5D66" w:rsidP="003133DF">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countries had very low P</w:t>
      </w:r>
      <w:r w:rsidR="005D14D0" w:rsidRPr="003B3EF6">
        <w:rPr>
          <w:rFonts w:ascii="Times New Roman" w:hAnsi="Times New Roman" w:cs="Times New Roman"/>
          <w:sz w:val="28"/>
          <w:szCs w:val="28"/>
        </w:rPr>
        <w:t>S</w:t>
      </w:r>
      <w:r w:rsidRPr="003B3EF6">
        <w:rPr>
          <w:rFonts w:ascii="Times New Roman" w:hAnsi="Times New Roman" w:cs="Times New Roman"/>
          <w:sz w:val="28"/>
          <w:szCs w:val="28"/>
        </w:rPr>
        <w:t>CRs of below 30% in 2000. The performance of nearly one-third of countries has been particularly poor with lower than 10 percentage point increases</w:t>
      </w:r>
      <w:r w:rsidR="00F65AD8" w:rsidRPr="003B3EF6">
        <w:rPr>
          <w:rFonts w:ascii="Times New Roman" w:hAnsi="Times New Roman" w:cs="Times New Roman"/>
          <w:sz w:val="28"/>
          <w:szCs w:val="28"/>
        </w:rPr>
        <w:t xml:space="preserve"> in P</w:t>
      </w:r>
      <w:r w:rsidR="005D14D0" w:rsidRPr="003B3EF6">
        <w:rPr>
          <w:rFonts w:ascii="Times New Roman" w:hAnsi="Times New Roman" w:cs="Times New Roman"/>
          <w:sz w:val="28"/>
          <w:szCs w:val="28"/>
        </w:rPr>
        <w:t>S</w:t>
      </w:r>
      <w:r w:rsidR="00F65AD8" w:rsidRPr="003B3EF6">
        <w:rPr>
          <w:rFonts w:ascii="Times New Roman" w:hAnsi="Times New Roman" w:cs="Times New Roman"/>
          <w:sz w:val="28"/>
          <w:szCs w:val="28"/>
        </w:rPr>
        <w:t>RCs</w:t>
      </w:r>
      <w:r w:rsidR="0094403E">
        <w:rPr>
          <w:rStyle w:val="FootnoteReference"/>
          <w:rFonts w:ascii="Times New Roman" w:hAnsi="Times New Roman" w:cs="Times New Roman"/>
          <w:sz w:val="28"/>
          <w:szCs w:val="28"/>
        </w:rPr>
        <w:footnoteReference w:id="9"/>
      </w:r>
      <w:r w:rsidRPr="003B3EF6">
        <w:rPr>
          <w:rFonts w:ascii="Times New Roman" w:hAnsi="Times New Roman" w:cs="Times New Roman"/>
          <w:sz w:val="28"/>
          <w:szCs w:val="28"/>
        </w:rPr>
        <w:t>.</w:t>
      </w:r>
    </w:p>
    <w:p w:rsidR="00BB4122" w:rsidRPr="003B3EF6" w:rsidRDefault="0035666A" w:rsidP="00BB4122">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Not only are the absolute increases in PSCRs generally small, but</w:t>
      </w:r>
      <w:r>
        <w:rPr>
          <w:rFonts w:ascii="Times New Roman" w:hAnsi="Times New Roman" w:cs="Times New Roman"/>
          <w:sz w:val="28"/>
          <w:szCs w:val="28"/>
        </w:rPr>
        <w:t xml:space="preserve">, </w:t>
      </w:r>
      <w:r w:rsidRPr="003B3EF6">
        <w:rPr>
          <w:rFonts w:ascii="Times New Roman" w:hAnsi="Times New Roman" w:cs="Times New Roman"/>
          <w:sz w:val="28"/>
          <w:szCs w:val="28"/>
        </w:rPr>
        <w:t>after 2010</w:t>
      </w:r>
      <w:r>
        <w:rPr>
          <w:rFonts w:ascii="Times New Roman" w:hAnsi="Times New Roman" w:cs="Times New Roman"/>
          <w:sz w:val="28"/>
          <w:szCs w:val="28"/>
        </w:rPr>
        <w:t xml:space="preserve">, </w:t>
      </w:r>
      <w:r w:rsidRPr="003B3EF6">
        <w:rPr>
          <w:rFonts w:ascii="Times New Roman" w:hAnsi="Times New Roman" w:cs="Times New Roman"/>
          <w:sz w:val="28"/>
          <w:szCs w:val="28"/>
        </w:rPr>
        <w:t>the rate of growth in PSCRs declined</w:t>
      </w:r>
      <w:r>
        <w:rPr>
          <w:rFonts w:ascii="Times New Roman" w:hAnsi="Times New Roman" w:cs="Times New Roman"/>
          <w:sz w:val="28"/>
          <w:szCs w:val="28"/>
        </w:rPr>
        <w:t xml:space="preserve"> in more than half of all countries</w:t>
      </w:r>
      <w:r w:rsidRPr="003B3EF6">
        <w:rPr>
          <w:rFonts w:ascii="Times New Roman" w:hAnsi="Times New Roman" w:cs="Times New Roman"/>
          <w:sz w:val="28"/>
          <w:szCs w:val="28"/>
        </w:rPr>
        <w:t xml:space="preserve"> (see table 1). This slowdown occurred during the run up to the 2015 MDG UPE target deadline</w:t>
      </w:r>
      <w:r w:rsidR="00BB4122">
        <w:rPr>
          <w:rFonts w:ascii="Times New Roman" w:hAnsi="Times New Roman" w:cs="Times New Roman"/>
          <w:sz w:val="28"/>
          <w:szCs w:val="28"/>
        </w:rPr>
        <w:t xml:space="preserve"> </w:t>
      </w:r>
      <w:r w:rsidR="00BB4122" w:rsidRPr="003B3EF6">
        <w:rPr>
          <w:rFonts w:ascii="Times New Roman" w:hAnsi="Times New Roman" w:cs="Times New Roman"/>
          <w:sz w:val="28"/>
          <w:szCs w:val="28"/>
        </w:rPr>
        <w:t>when countries were expected to accelerate their efforts to attain UPE. In four countries (Benin, Madagascar, Malawi, and Sudan), P</w:t>
      </w:r>
      <w:r w:rsidR="00BB4122">
        <w:rPr>
          <w:rFonts w:ascii="Times New Roman" w:hAnsi="Times New Roman" w:cs="Times New Roman"/>
          <w:sz w:val="28"/>
          <w:szCs w:val="28"/>
        </w:rPr>
        <w:t>S</w:t>
      </w:r>
      <w:r w:rsidR="00BB4122" w:rsidRPr="003B3EF6">
        <w:rPr>
          <w:rFonts w:ascii="Times New Roman" w:hAnsi="Times New Roman" w:cs="Times New Roman"/>
          <w:sz w:val="28"/>
          <w:szCs w:val="28"/>
        </w:rPr>
        <w:t xml:space="preserve">CRs actually fell after 2010.  </w:t>
      </w:r>
    </w:p>
    <w:p w:rsidR="00BB4122" w:rsidRDefault="00BB4122" w:rsidP="00BB4122">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The proportion of children sitting and passing primary school leaving examinations is another key UPE performance indicator. This is because in most countries, these are high stakes examinations which determine access to secondary schooling and thus an individual’s future livelihood prospects. Unfortunately, however, no systematic efforts have been made to collect data</w:t>
      </w:r>
      <w:r w:rsidR="00777D0B">
        <w:rPr>
          <w:rFonts w:ascii="Times New Roman" w:hAnsi="Times New Roman" w:cs="Times New Roman"/>
          <w:sz w:val="28"/>
          <w:szCs w:val="28"/>
        </w:rPr>
        <w:t xml:space="preserve"> and analyse this data</w:t>
      </w:r>
      <w:r w:rsidRPr="003B3EF6">
        <w:rPr>
          <w:rFonts w:ascii="Times New Roman" w:hAnsi="Times New Roman" w:cs="Times New Roman"/>
          <w:sz w:val="28"/>
          <w:szCs w:val="28"/>
        </w:rPr>
        <w:t>.</w:t>
      </w:r>
    </w:p>
    <w:tbl>
      <w:tblPr>
        <w:tblW w:w="9580" w:type="dxa"/>
        <w:tblLook w:val="04A0" w:firstRow="1" w:lastRow="0" w:firstColumn="1" w:lastColumn="0" w:noHBand="0" w:noVBand="1"/>
      </w:tblPr>
      <w:tblGrid>
        <w:gridCol w:w="1979"/>
        <w:gridCol w:w="2329"/>
        <w:gridCol w:w="1993"/>
        <w:gridCol w:w="1693"/>
        <w:gridCol w:w="1586"/>
      </w:tblGrid>
      <w:tr w:rsidR="00526B99" w:rsidRPr="005C5CC8" w:rsidTr="00C34AC3">
        <w:trPr>
          <w:trHeight w:val="300"/>
        </w:trPr>
        <w:tc>
          <w:tcPr>
            <w:tcW w:w="9580" w:type="dxa"/>
            <w:gridSpan w:val="5"/>
            <w:tcBorders>
              <w:top w:val="nil"/>
              <w:left w:val="nil"/>
              <w:bottom w:val="nil"/>
              <w:right w:val="nil"/>
            </w:tcBorders>
            <w:shd w:val="clear" w:color="auto" w:fill="auto"/>
            <w:noWrap/>
            <w:vAlign w:val="bottom"/>
            <w:hideMark/>
          </w:tcPr>
          <w:p w:rsidR="007A7948" w:rsidRDefault="007A7948" w:rsidP="00C34AC3">
            <w:pPr>
              <w:spacing w:after="0" w:line="240" w:lineRule="auto"/>
            </w:pPr>
          </w:p>
          <w:p w:rsidR="00526B99" w:rsidRPr="005C5CC8" w:rsidRDefault="00B65D8C" w:rsidP="00C34AC3">
            <w:pPr>
              <w:spacing w:after="0" w:line="240" w:lineRule="auto"/>
              <w:rPr>
                <w:rFonts w:ascii="Calibri" w:eastAsia="Times New Roman" w:hAnsi="Calibri" w:cs="Calibri"/>
                <w:b/>
                <w:bCs/>
                <w:color w:val="5F735C"/>
                <w:lang w:eastAsia="en-GB"/>
              </w:rPr>
            </w:pPr>
            <w:r>
              <w:lastRenderedPageBreak/>
              <w:br w:type="page"/>
            </w:r>
            <w:r w:rsidR="00526B99">
              <w:rPr>
                <w:rFonts w:ascii="Calibri" w:eastAsia="Times New Roman" w:hAnsi="Calibri" w:cs="Calibri"/>
                <w:b/>
                <w:bCs/>
                <w:color w:val="5F735C"/>
                <w:lang w:eastAsia="en-GB"/>
              </w:rPr>
              <w:t>T</w:t>
            </w:r>
            <w:r w:rsidR="00526B99" w:rsidRPr="005C5CC8">
              <w:rPr>
                <w:rFonts w:ascii="Calibri" w:eastAsia="Times New Roman" w:hAnsi="Calibri" w:cs="Calibri"/>
                <w:b/>
                <w:bCs/>
                <w:color w:val="5F735C"/>
                <w:lang w:eastAsia="en-GB"/>
              </w:rPr>
              <w:t>able 1:  Growth trend for country primary school completion rates in SSA, 2010-2015/lya</w:t>
            </w:r>
          </w:p>
        </w:tc>
      </w:tr>
      <w:tr w:rsidR="00526B99" w:rsidRPr="005C5CC8" w:rsidTr="00C34AC3">
        <w:trPr>
          <w:trHeight w:val="300"/>
        </w:trPr>
        <w:tc>
          <w:tcPr>
            <w:tcW w:w="9580" w:type="dxa"/>
            <w:gridSpan w:val="5"/>
            <w:tcBorders>
              <w:top w:val="nil"/>
              <w:left w:val="nil"/>
              <w:bottom w:val="nil"/>
              <w:right w:val="nil"/>
            </w:tcBorders>
            <w:shd w:val="clear" w:color="auto" w:fill="auto"/>
            <w:noWrap/>
            <w:vAlign w:val="bottom"/>
          </w:tcPr>
          <w:p w:rsidR="00526B99" w:rsidRDefault="00526B99" w:rsidP="00C34AC3">
            <w:pPr>
              <w:spacing w:after="0" w:line="240" w:lineRule="auto"/>
              <w:rPr>
                <w:noProof/>
                <w:lang w:eastAsia="en-GB"/>
              </w:rPr>
            </w:pPr>
          </w:p>
        </w:tc>
      </w:tr>
      <w:tr w:rsidR="00526B99" w:rsidRPr="005C5CC8" w:rsidTr="00C34AC3">
        <w:trPr>
          <w:trHeight w:val="300"/>
        </w:trPr>
        <w:tc>
          <w:tcPr>
            <w:tcW w:w="1979" w:type="dxa"/>
            <w:tcBorders>
              <w:top w:val="single" w:sz="4" w:space="0" w:color="FFFFFF"/>
              <w:left w:val="single" w:sz="4" w:space="0" w:color="FFFFFF"/>
              <w:bottom w:val="single" w:sz="4" w:space="0" w:color="FFFFFF"/>
              <w:right w:val="single" w:sz="4" w:space="0" w:color="FFFFFF"/>
            </w:tcBorders>
            <w:shd w:val="clear" w:color="000000" w:fill="49723B"/>
            <w:noWrap/>
            <w:vAlign w:val="bottom"/>
            <w:hideMark/>
          </w:tcPr>
          <w:p w:rsidR="00526B99" w:rsidRPr="005C5CC8" w:rsidRDefault="00526B99" w:rsidP="00C34AC3">
            <w:pPr>
              <w:spacing w:after="0" w:line="240" w:lineRule="auto"/>
              <w:jc w:val="center"/>
              <w:rPr>
                <w:rFonts w:ascii="Calibri" w:eastAsia="Times New Roman" w:hAnsi="Calibri" w:cs="Calibri"/>
                <w:b/>
                <w:bCs/>
                <w:color w:val="FFFFFF"/>
                <w:lang w:eastAsia="en-GB"/>
              </w:rPr>
            </w:pPr>
            <w:r w:rsidRPr="005C5CC8">
              <w:rPr>
                <w:rFonts w:ascii="Calibri" w:eastAsia="Times New Roman" w:hAnsi="Calibri" w:cs="Calibri"/>
                <w:b/>
                <w:bCs/>
                <w:color w:val="FFFFFF"/>
                <w:lang w:eastAsia="en-GB"/>
              </w:rPr>
              <w:t>PSCR growth</w:t>
            </w:r>
          </w:p>
        </w:tc>
        <w:tc>
          <w:tcPr>
            <w:tcW w:w="2329" w:type="dxa"/>
            <w:tcBorders>
              <w:top w:val="single" w:sz="4" w:space="0" w:color="FFFFFF"/>
              <w:left w:val="nil"/>
              <w:bottom w:val="single" w:sz="4" w:space="0" w:color="FFFFFF"/>
              <w:right w:val="single" w:sz="4" w:space="0" w:color="FFFFFF"/>
            </w:tcBorders>
            <w:shd w:val="clear" w:color="000000" w:fill="49723B"/>
            <w:noWrap/>
            <w:vAlign w:val="bottom"/>
            <w:hideMark/>
          </w:tcPr>
          <w:p w:rsidR="00526B99" w:rsidRPr="005C5CC8" w:rsidRDefault="00526B99" w:rsidP="00C34AC3">
            <w:pPr>
              <w:spacing w:after="0" w:line="240" w:lineRule="auto"/>
              <w:jc w:val="center"/>
              <w:rPr>
                <w:rFonts w:ascii="Calibri" w:eastAsia="Times New Roman" w:hAnsi="Calibri" w:cs="Calibri"/>
                <w:b/>
                <w:bCs/>
                <w:color w:val="FFFFFF"/>
                <w:lang w:eastAsia="en-GB"/>
              </w:rPr>
            </w:pPr>
            <w:r w:rsidRPr="005C5CC8">
              <w:rPr>
                <w:rFonts w:ascii="Calibri" w:eastAsia="Times New Roman" w:hAnsi="Calibri" w:cs="Calibri"/>
                <w:b/>
                <w:bCs/>
                <w:color w:val="FFFFFF"/>
                <w:lang w:eastAsia="en-GB"/>
              </w:rPr>
              <w:t xml:space="preserve">Average annual rate </w:t>
            </w:r>
          </w:p>
        </w:tc>
        <w:tc>
          <w:tcPr>
            <w:tcW w:w="5272" w:type="dxa"/>
            <w:gridSpan w:val="3"/>
            <w:tcBorders>
              <w:top w:val="single" w:sz="4" w:space="0" w:color="FFFFFF"/>
              <w:left w:val="nil"/>
              <w:bottom w:val="single" w:sz="4" w:space="0" w:color="FFFFFF"/>
              <w:right w:val="single" w:sz="4" w:space="0" w:color="FFFFFF"/>
            </w:tcBorders>
            <w:shd w:val="clear" w:color="000000" w:fill="49723B"/>
            <w:noWrap/>
            <w:vAlign w:val="bottom"/>
            <w:hideMark/>
          </w:tcPr>
          <w:p w:rsidR="00526B99" w:rsidRPr="005C5CC8" w:rsidRDefault="00526B99" w:rsidP="00C34AC3">
            <w:pPr>
              <w:spacing w:after="0" w:line="240" w:lineRule="auto"/>
              <w:jc w:val="center"/>
              <w:rPr>
                <w:rFonts w:ascii="Calibri" w:eastAsia="Times New Roman" w:hAnsi="Calibri" w:cs="Calibri"/>
                <w:b/>
                <w:bCs/>
                <w:color w:val="FFFFFF"/>
                <w:lang w:eastAsia="en-GB"/>
              </w:rPr>
            </w:pPr>
            <w:r w:rsidRPr="005C5CC8">
              <w:rPr>
                <w:rFonts w:ascii="Calibri" w:eastAsia="Times New Roman" w:hAnsi="Calibri" w:cs="Calibri"/>
                <w:b/>
                <w:bCs/>
                <w:color w:val="FFFFFF"/>
                <w:lang w:eastAsia="en-GB"/>
              </w:rPr>
              <w:t>Primary school completion rate 2015/lya</w:t>
            </w:r>
          </w:p>
        </w:tc>
      </w:tr>
      <w:tr w:rsidR="00526B99" w:rsidRPr="005C5CC8" w:rsidTr="00C34AC3">
        <w:trPr>
          <w:trHeight w:val="300"/>
        </w:trPr>
        <w:tc>
          <w:tcPr>
            <w:tcW w:w="1979" w:type="dxa"/>
            <w:tcBorders>
              <w:top w:val="nil"/>
              <w:left w:val="single" w:sz="4" w:space="0" w:color="FFFFFF"/>
              <w:bottom w:val="single" w:sz="4" w:space="0" w:color="FFFFFF"/>
              <w:right w:val="single" w:sz="4" w:space="0" w:color="FFFFFF"/>
            </w:tcBorders>
            <w:shd w:val="clear" w:color="000000" w:fill="49723B"/>
            <w:noWrap/>
            <w:vAlign w:val="bottom"/>
            <w:hideMark/>
          </w:tcPr>
          <w:p w:rsidR="00526B99" w:rsidRPr="005C5CC8" w:rsidRDefault="00526B99" w:rsidP="00C34AC3">
            <w:pPr>
              <w:spacing w:after="0" w:line="240" w:lineRule="auto"/>
              <w:jc w:val="center"/>
              <w:rPr>
                <w:rFonts w:ascii="Calibri" w:eastAsia="Times New Roman" w:hAnsi="Calibri" w:cs="Calibri"/>
                <w:b/>
                <w:bCs/>
                <w:color w:val="FFFFFF"/>
                <w:lang w:eastAsia="en-GB"/>
              </w:rPr>
            </w:pPr>
            <w:r w:rsidRPr="005C5CC8">
              <w:rPr>
                <w:rFonts w:ascii="Calibri" w:eastAsia="Times New Roman" w:hAnsi="Calibri" w:cs="Calibri"/>
                <w:b/>
                <w:bCs/>
                <w:color w:val="FFFFFF"/>
                <w:lang w:eastAsia="en-GB"/>
              </w:rPr>
              <w:t>Trend</w:t>
            </w:r>
          </w:p>
        </w:tc>
        <w:tc>
          <w:tcPr>
            <w:tcW w:w="2329" w:type="dxa"/>
            <w:tcBorders>
              <w:top w:val="nil"/>
              <w:left w:val="nil"/>
              <w:bottom w:val="single" w:sz="4" w:space="0" w:color="FFFFFF"/>
              <w:right w:val="single" w:sz="4" w:space="0" w:color="FFFFFF"/>
            </w:tcBorders>
            <w:shd w:val="clear" w:color="000000" w:fill="49723B"/>
            <w:noWrap/>
            <w:vAlign w:val="bottom"/>
            <w:hideMark/>
          </w:tcPr>
          <w:p w:rsidR="00526B99" w:rsidRPr="005C5CC8" w:rsidRDefault="00526B99" w:rsidP="00C34AC3">
            <w:pPr>
              <w:spacing w:after="0" w:line="240" w:lineRule="auto"/>
              <w:jc w:val="center"/>
              <w:rPr>
                <w:rFonts w:ascii="Calibri" w:eastAsia="Times New Roman" w:hAnsi="Calibri" w:cs="Calibri"/>
                <w:b/>
                <w:bCs/>
                <w:color w:val="FFFFFF"/>
                <w:lang w:eastAsia="en-GB"/>
              </w:rPr>
            </w:pPr>
            <w:r w:rsidRPr="005C5CC8">
              <w:rPr>
                <w:rFonts w:ascii="Calibri" w:eastAsia="Times New Roman" w:hAnsi="Calibri" w:cs="Calibri"/>
                <w:b/>
                <w:bCs/>
                <w:color w:val="FFFFFF"/>
                <w:lang w:eastAsia="en-GB"/>
              </w:rPr>
              <w:t>of growth PSCR</w:t>
            </w:r>
          </w:p>
        </w:tc>
        <w:tc>
          <w:tcPr>
            <w:tcW w:w="1993" w:type="dxa"/>
            <w:tcBorders>
              <w:top w:val="nil"/>
              <w:left w:val="nil"/>
              <w:bottom w:val="single" w:sz="4" w:space="0" w:color="FFFFFF"/>
              <w:right w:val="single" w:sz="4" w:space="0" w:color="FFFFFF"/>
            </w:tcBorders>
            <w:shd w:val="clear" w:color="000000" w:fill="49723B"/>
            <w:noWrap/>
            <w:vAlign w:val="bottom"/>
            <w:hideMark/>
          </w:tcPr>
          <w:p w:rsidR="00526B99" w:rsidRPr="005C5CC8" w:rsidRDefault="00526B99" w:rsidP="00C34AC3">
            <w:pPr>
              <w:spacing w:after="0" w:line="240" w:lineRule="auto"/>
              <w:jc w:val="center"/>
              <w:rPr>
                <w:rFonts w:ascii="Calibri" w:eastAsia="Times New Roman" w:hAnsi="Calibri" w:cs="Calibri"/>
                <w:b/>
                <w:bCs/>
                <w:color w:val="FFFFFF"/>
                <w:lang w:eastAsia="en-GB"/>
              </w:rPr>
            </w:pPr>
            <w:r w:rsidRPr="005C5CC8">
              <w:rPr>
                <w:rFonts w:ascii="Calibri" w:eastAsia="Times New Roman" w:hAnsi="Calibri" w:cs="Calibri"/>
                <w:b/>
                <w:bCs/>
                <w:color w:val="FFFFFF"/>
                <w:lang w:eastAsia="en-GB"/>
              </w:rPr>
              <w:t>High &gt;70</w:t>
            </w:r>
          </w:p>
        </w:tc>
        <w:tc>
          <w:tcPr>
            <w:tcW w:w="1693" w:type="dxa"/>
            <w:tcBorders>
              <w:top w:val="nil"/>
              <w:left w:val="nil"/>
              <w:bottom w:val="single" w:sz="4" w:space="0" w:color="FFFFFF"/>
              <w:right w:val="single" w:sz="4" w:space="0" w:color="FFFFFF"/>
            </w:tcBorders>
            <w:shd w:val="clear" w:color="000000" w:fill="49723B"/>
            <w:noWrap/>
            <w:vAlign w:val="bottom"/>
            <w:hideMark/>
          </w:tcPr>
          <w:p w:rsidR="00526B99" w:rsidRPr="005C5CC8" w:rsidRDefault="00526B99" w:rsidP="00C34AC3">
            <w:pPr>
              <w:spacing w:after="0" w:line="240" w:lineRule="auto"/>
              <w:jc w:val="center"/>
              <w:rPr>
                <w:rFonts w:ascii="Calibri" w:eastAsia="Times New Roman" w:hAnsi="Calibri" w:cs="Calibri"/>
                <w:b/>
                <w:bCs/>
                <w:color w:val="FFFFFF"/>
                <w:lang w:eastAsia="en-GB"/>
              </w:rPr>
            </w:pPr>
            <w:r w:rsidRPr="005C5CC8">
              <w:rPr>
                <w:rFonts w:ascii="Calibri" w:eastAsia="Times New Roman" w:hAnsi="Calibri" w:cs="Calibri"/>
                <w:b/>
                <w:bCs/>
                <w:color w:val="FFFFFF"/>
                <w:lang w:eastAsia="en-GB"/>
              </w:rPr>
              <w:t>Medium 50-69</w:t>
            </w:r>
          </w:p>
        </w:tc>
        <w:tc>
          <w:tcPr>
            <w:tcW w:w="1586" w:type="dxa"/>
            <w:tcBorders>
              <w:top w:val="nil"/>
              <w:left w:val="nil"/>
              <w:bottom w:val="single" w:sz="4" w:space="0" w:color="FFFFFF"/>
              <w:right w:val="single" w:sz="4" w:space="0" w:color="FFFFFF"/>
            </w:tcBorders>
            <w:shd w:val="clear" w:color="000000" w:fill="49723B"/>
            <w:noWrap/>
            <w:vAlign w:val="bottom"/>
            <w:hideMark/>
          </w:tcPr>
          <w:p w:rsidR="00526B99" w:rsidRPr="005C5CC8" w:rsidRDefault="00526B99" w:rsidP="00C34AC3">
            <w:pPr>
              <w:spacing w:after="0" w:line="240" w:lineRule="auto"/>
              <w:jc w:val="center"/>
              <w:rPr>
                <w:rFonts w:ascii="Calibri" w:eastAsia="Times New Roman" w:hAnsi="Calibri" w:cs="Calibri"/>
                <w:b/>
                <w:bCs/>
                <w:color w:val="FFFFFF"/>
                <w:lang w:eastAsia="en-GB"/>
              </w:rPr>
            </w:pPr>
            <w:r w:rsidRPr="005C5CC8">
              <w:rPr>
                <w:rFonts w:ascii="Calibri" w:eastAsia="Times New Roman" w:hAnsi="Calibri" w:cs="Calibri"/>
                <w:b/>
                <w:bCs/>
                <w:color w:val="FFFFFF"/>
                <w:lang w:eastAsia="en-GB"/>
              </w:rPr>
              <w:t>Low &lt;50</w:t>
            </w:r>
          </w:p>
        </w:tc>
      </w:tr>
      <w:tr w:rsidR="00526B99" w:rsidRPr="005C5CC8" w:rsidTr="00C34AC3">
        <w:trPr>
          <w:trHeight w:val="300"/>
        </w:trPr>
        <w:tc>
          <w:tcPr>
            <w:tcW w:w="1979" w:type="dxa"/>
            <w:tcBorders>
              <w:top w:val="nil"/>
              <w:left w:val="single" w:sz="4" w:space="0" w:color="FFFFFF"/>
              <w:bottom w:val="single" w:sz="4" w:space="0" w:color="FFFFFF"/>
              <w:right w:val="single" w:sz="4" w:space="0" w:color="FFFFFF"/>
            </w:tcBorders>
            <w:shd w:val="clear" w:color="000000" w:fill="49723B"/>
            <w:noWrap/>
            <w:vAlign w:val="bottom"/>
            <w:hideMark/>
          </w:tcPr>
          <w:p w:rsidR="00526B99" w:rsidRPr="005C5CC8" w:rsidRDefault="00526B99" w:rsidP="00C34AC3">
            <w:pPr>
              <w:spacing w:after="0" w:line="240" w:lineRule="auto"/>
              <w:jc w:val="center"/>
              <w:rPr>
                <w:rFonts w:ascii="Calibri" w:eastAsia="Times New Roman" w:hAnsi="Calibri" w:cs="Calibri"/>
                <w:b/>
                <w:bCs/>
                <w:color w:val="FFFFFF"/>
                <w:lang w:eastAsia="en-GB"/>
              </w:rPr>
            </w:pPr>
            <w:r w:rsidRPr="005C5CC8">
              <w:rPr>
                <w:rFonts w:ascii="Calibri" w:eastAsia="Times New Roman" w:hAnsi="Calibri" w:cs="Calibri"/>
                <w:b/>
                <w:bCs/>
                <w:color w:val="FFFFFF"/>
                <w:lang w:eastAsia="en-GB"/>
              </w:rPr>
              <w:t xml:space="preserve">Strongly positive </w:t>
            </w:r>
          </w:p>
        </w:tc>
        <w:tc>
          <w:tcPr>
            <w:tcW w:w="2329"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&gt; 5%</w:t>
            </w:r>
          </w:p>
        </w:tc>
        <w:tc>
          <w:tcPr>
            <w:tcW w:w="1993"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 </w:t>
            </w:r>
          </w:p>
        </w:tc>
        <w:tc>
          <w:tcPr>
            <w:tcW w:w="1693"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DRC</w:t>
            </w:r>
          </w:p>
        </w:tc>
        <w:tc>
          <w:tcPr>
            <w:tcW w:w="1586"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CAR</w:t>
            </w:r>
          </w:p>
        </w:tc>
      </w:tr>
      <w:tr w:rsidR="00526B99" w:rsidRPr="005C5CC8" w:rsidTr="00C34AC3">
        <w:trPr>
          <w:trHeight w:val="300"/>
        </w:trPr>
        <w:tc>
          <w:tcPr>
            <w:tcW w:w="1979" w:type="dxa"/>
            <w:tcBorders>
              <w:top w:val="nil"/>
              <w:left w:val="single" w:sz="4" w:space="0" w:color="FFFFFF"/>
              <w:bottom w:val="single" w:sz="4" w:space="0" w:color="FFFFFF"/>
              <w:right w:val="single" w:sz="4" w:space="0" w:color="FFFFFF"/>
            </w:tcBorders>
            <w:shd w:val="clear" w:color="000000" w:fill="49723B"/>
            <w:noWrap/>
            <w:vAlign w:val="bottom"/>
            <w:hideMark/>
          </w:tcPr>
          <w:p w:rsidR="00526B99" w:rsidRPr="005C5CC8" w:rsidRDefault="00526B99" w:rsidP="00C34AC3">
            <w:pPr>
              <w:spacing w:after="0" w:line="240" w:lineRule="auto"/>
              <w:jc w:val="center"/>
              <w:rPr>
                <w:rFonts w:ascii="Calibri" w:eastAsia="Times New Roman" w:hAnsi="Calibri" w:cs="Calibri"/>
                <w:b/>
                <w:bCs/>
                <w:color w:val="FFFFFF"/>
                <w:lang w:eastAsia="en-GB"/>
              </w:rPr>
            </w:pPr>
            <w:r w:rsidRPr="005C5CC8">
              <w:rPr>
                <w:rFonts w:ascii="Calibri" w:eastAsia="Times New Roman" w:hAnsi="Calibri" w:cs="Calibri"/>
                <w:b/>
                <w:bCs/>
                <w:color w:val="FFFFFF"/>
                <w:lang w:eastAsia="en-GB"/>
              </w:rPr>
              <w:t>Speeding up</w:t>
            </w:r>
          </w:p>
        </w:tc>
        <w:tc>
          <w:tcPr>
            <w:tcW w:w="2329"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1-4%</w:t>
            </w:r>
          </w:p>
        </w:tc>
        <w:tc>
          <w:tcPr>
            <w:tcW w:w="1993"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Cameroon</w:t>
            </w:r>
          </w:p>
        </w:tc>
        <w:tc>
          <w:tcPr>
            <w:tcW w:w="1693"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Cote d'Ivoire</w:t>
            </w:r>
          </w:p>
        </w:tc>
        <w:tc>
          <w:tcPr>
            <w:tcW w:w="1586"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Niger</w:t>
            </w:r>
          </w:p>
        </w:tc>
      </w:tr>
      <w:tr w:rsidR="00526B99" w:rsidRPr="005C5CC8" w:rsidTr="00C34AC3">
        <w:trPr>
          <w:trHeight w:val="300"/>
        </w:trPr>
        <w:tc>
          <w:tcPr>
            <w:tcW w:w="1979" w:type="dxa"/>
            <w:tcBorders>
              <w:top w:val="nil"/>
              <w:left w:val="single" w:sz="4" w:space="0" w:color="FFFFFF"/>
              <w:bottom w:val="single" w:sz="4" w:space="0" w:color="FFFFFF"/>
              <w:right w:val="single" w:sz="4" w:space="0" w:color="FFFFFF"/>
            </w:tcBorders>
            <w:shd w:val="clear" w:color="000000" w:fill="49723B"/>
            <w:noWrap/>
            <w:vAlign w:val="bottom"/>
            <w:hideMark/>
          </w:tcPr>
          <w:p w:rsidR="00526B99" w:rsidRPr="005C5CC8" w:rsidRDefault="00526B99" w:rsidP="00C34AC3">
            <w:pPr>
              <w:spacing w:after="0" w:line="240" w:lineRule="auto"/>
              <w:jc w:val="center"/>
              <w:rPr>
                <w:rFonts w:ascii="Calibri" w:eastAsia="Times New Roman" w:hAnsi="Calibri" w:cs="Calibri"/>
                <w:b/>
                <w:bCs/>
                <w:color w:val="FFFFFF"/>
                <w:lang w:eastAsia="en-GB"/>
              </w:rPr>
            </w:pPr>
            <w:r w:rsidRPr="005C5CC8">
              <w:rPr>
                <w:rFonts w:ascii="Calibri" w:eastAsia="Times New Roman" w:hAnsi="Calibri" w:cs="Calibri"/>
                <w:b/>
                <w:bCs/>
                <w:color w:val="FFFFFF"/>
                <w:lang w:eastAsia="en-GB"/>
              </w:rPr>
              <w:t> </w:t>
            </w:r>
          </w:p>
        </w:tc>
        <w:tc>
          <w:tcPr>
            <w:tcW w:w="2329"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 </w:t>
            </w:r>
          </w:p>
        </w:tc>
        <w:tc>
          <w:tcPr>
            <w:tcW w:w="1993"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 </w:t>
            </w:r>
          </w:p>
        </w:tc>
        <w:tc>
          <w:tcPr>
            <w:tcW w:w="1693"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Guinea</w:t>
            </w:r>
          </w:p>
        </w:tc>
        <w:tc>
          <w:tcPr>
            <w:tcW w:w="1586"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Uganda</w:t>
            </w:r>
          </w:p>
        </w:tc>
      </w:tr>
      <w:tr w:rsidR="00526B99" w:rsidRPr="005C5CC8" w:rsidTr="00C34AC3">
        <w:trPr>
          <w:trHeight w:val="300"/>
        </w:trPr>
        <w:tc>
          <w:tcPr>
            <w:tcW w:w="1979" w:type="dxa"/>
            <w:tcBorders>
              <w:top w:val="nil"/>
              <w:left w:val="single" w:sz="4" w:space="0" w:color="FFFFFF"/>
              <w:bottom w:val="single" w:sz="4" w:space="0" w:color="FFFFFF"/>
              <w:right w:val="single" w:sz="4" w:space="0" w:color="FFFFFF"/>
            </w:tcBorders>
            <w:shd w:val="clear" w:color="000000" w:fill="49723B"/>
            <w:noWrap/>
            <w:vAlign w:val="bottom"/>
            <w:hideMark/>
          </w:tcPr>
          <w:p w:rsidR="00526B99" w:rsidRPr="005C5CC8" w:rsidRDefault="00526B99" w:rsidP="00C34AC3">
            <w:pPr>
              <w:spacing w:after="0" w:line="240" w:lineRule="auto"/>
              <w:jc w:val="center"/>
              <w:rPr>
                <w:rFonts w:ascii="Calibri" w:eastAsia="Times New Roman" w:hAnsi="Calibri" w:cs="Calibri"/>
                <w:b/>
                <w:bCs/>
                <w:color w:val="FFFFFF"/>
                <w:lang w:eastAsia="en-GB"/>
              </w:rPr>
            </w:pPr>
            <w:r w:rsidRPr="005C5CC8">
              <w:rPr>
                <w:rFonts w:ascii="Calibri" w:eastAsia="Times New Roman" w:hAnsi="Calibri" w:cs="Calibri"/>
                <w:b/>
                <w:bCs/>
                <w:color w:val="FFFFFF"/>
                <w:lang w:eastAsia="en-GB"/>
              </w:rPr>
              <w:t> </w:t>
            </w:r>
          </w:p>
        </w:tc>
        <w:tc>
          <w:tcPr>
            <w:tcW w:w="2329"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 </w:t>
            </w:r>
          </w:p>
        </w:tc>
        <w:tc>
          <w:tcPr>
            <w:tcW w:w="1993"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 </w:t>
            </w:r>
          </w:p>
        </w:tc>
        <w:tc>
          <w:tcPr>
            <w:tcW w:w="1693"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Rwanda</w:t>
            </w:r>
          </w:p>
        </w:tc>
        <w:tc>
          <w:tcPr>
            <w:tcW w:w="1586"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 </w:t>
            </w:r>
          </w:p>
        </w:tc>
      </w:tr>
      <w:tr w:rsidR="00526B99" w:rsidRPr="005C5CC8" w:rsidTr="00C34AC3">
        <w:trPr>
          <w:trHeight w:val="300"/>
        </w:trPr>
        <w:tc>
          <w:tcPr>
            <w:tcW w:w="1979" w:type="dxa"/>
            <w:tcBorders>
              <w:top w:val="nil"/>
              <w:left w:val="single" w:sz="4" w:space="0" w:color="FFFFFF"/>
              <w:bottom w:val="single" w:sz="4" w:space="0" w:color="FFFFFF"/>
              <w:right w:val="single" w:sz="4" w:space="0" w:color="FFFFFF"/>
            </w:tcBorders>
            <w:shd w:val="clear" w:color="000000" w:fill="49723B"/>
            <w:noWrap/>
            <w:vAlign w:val="bottom"/>
            <w:hideMark/>
          </w:tcPr>
          <w:p w:rsidR="00526B99" w:rsidRPr="005C5CC8" w:rsidRDefault="00526B99" w:rsidP="00C34AC3">
            <w:pPr>
              <w:spacing w:after="0" w:line="240" w:lineRule="auto"/>
              <w:jc w:val="center"/>
              <w:rPr>
                <w:rFonts w:ascii="Calibri" w:eastAsia="Times New Roman" w:hAnsi="Calibri" w:cs="Calibri"/>
                <w:b/>
                <w:bCs/>
                <w:color w:val="FFFFFF"/>
                <w:lang w:eastAsia="en-GB"/>
              </w:rPr>
            </w:pPr>
            <w:r w:rsidRPr="005C5CC8">
              <w:rPr>
                <w:rFonts w:ascii="Calibri" w:eastAsia="Times New Roman" w:hAnsi="Calibri" w:cs="Calibri"/>
                <w:b/>
                <w:bCs/>
                <w:color w:val="FFFFFF"/>
                <w:lang w:eastAsia="en-GB"/>
              </w:rPr>
              <w:t>No change</w:t>
            </w:r>
          </w:p>
        </w:tc>
        <w:tc>
          <w:tcPr>
            <w:tcW w:w="2329"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0-1%</w:t>
            </w:r>
          </w:p>
        </w:tc>
        <w:tc>
          <w:tcPr>
            <w:tcW w:w="1993"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Congo-Brazzaville</w:t>
            </w:r>
          </w:p>
        </w:tc>
        <w:tc>
          <w:tcPr>
            <w:tcW w:w="1693"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Ethiopia</w:t>
            </w:r>
          </w:p>
        </w:tc>
        <w:tc>
          <w:tcPr>
            <w:tcW w:w="1586"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 </w:t>
            </w:r>
          </w:p>
        </w:tc>
      </w:tr>
      <w:tr w:rsidR="00526B99" w:rsidRPr="005C5CC8" w:rsidTr="00C34AC3">
        <w:trPr>
          <w:trHeight w:val="300"/>
        </w:trPr>
        <w:tc>
          <w:tcPr>
            <w:tcW w:w="1979" w:type="dxa"/>
            <w:tcBorders>
              <w:top w:val="nil"/>
              <w:left w:val="single" w:sz="4" w:space="0" w:color="FFFFFF"/>
              <w:bottom w:val="single" w:sz="4" w:space="0" w:color="FFFFFF"/>
              <w:right w:val="single" w:sz="4" w:space="0" w:color="FFFFFF"/>
            </w:tcBorders>
            <w:shd w:val="clear" w:color="000000" w:fill="49723B"/>
            <w:noWrap/>
            <w:vAlign w:val="bottom"/>
            <w:hideMark/>
          </w:tcPr>
          <w:p w:rsidR="00526B99" w:rsidRPr="005C5CC8" w:rsidRDefault="00526B99" w:rsidP="00C34AC3">
            <w:pPr>
              <w:spacing w:after="0" w:line="240" w:lineRule="auto"/>
              <w:jc w:val="center"/>
              <w:rPr>
                <w:rFonts w:ascii="Calibri" w:eastAsia="Times New Roman" w:hAnsi="Calibri" w:cs="Calibri"/>
                <w:b/>
                <w:bCs/>
                <w:color w:val="FFFFFF"/>
                <w:lang w:eastAsia="en-GB"/>
              </w:rPr>
            </w:pPr>
            <w:r w:rsidRPr="005C5CC8">
              <w:rPr>
                <w:rFonts w:ascii="Calibri" w:eastAsia="Times New Roman" w:hAnsi="Calibri" w:cs="Calibri"/>
                <w:b/>
                <w:bCs/>
                <w:color w:val="FFFFFF"/>
                <w:lang w:eastAsia="en-GB"/>
              </w:rPr>
              <w:t> </w:t>
            </w:r>
          </w:p>
        </w:tc>
        <w:tc>
          <w:tcPr>
            <w:tcW w:w="2329"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 </w:t>
            </w:r>
          </w:p>
        </w:tc>
        <w:tc>
          <w:tcPr>
            <w:tcW w:w="1993"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Eswatini</w:t>
            </w:r>
          </w:p>
        </w:tc>
        <w:tc>
          <w:tcPr>
            <w:tcW w:w="1693"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Gambia</w:t>
            </w:r>
          </w:p>
        </w:tc>
        <w:tc>
          <w:tcPr>
            <w:tcW w:w="1586"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 </w:t>
            </w:r>
          </w:p>
        </w:tc>
      </w:tr>
      <w:tr w:rsidR="00526B99" w:rsidRPr="005C5CC8" w:rsidTr="00C34AC3">
        <w:trPr>
          <w:trHeight w:val="300"/>
        </w:trPr>
        <w:tc>
          <w:tcPr>
            <w:tcW w:w="1979" w:type="dxa"/>
            <w:tcBorders>
              <w:top w:val="nil"/>
              <w:left w:val="single" w:sz="4" w:space="0" w:color="FFFFFF"/>
              <w:bottom w:val="single" w:sz="4" w:space="0" w:color="FFFFFF"/>
              <w:right w:val="single" w:sz="4" w:space="0" w:color="FFFFFF"/>
            </w:tcBorders>
            <w:shd w:val="clear" w:color="000000" w:fill="49723B"/>
            <w:noWrap/>
            <w:vAlign w:val="bottom"/>
            <w:hideMark/>
          </w:tcPr>
          <w:p w:rsidR="00526B99" w:rsidRPr="005C5CC8" w:rsidRDefault="00526B99" w:rsidP="00C34AC3">
            <w:pPr>
              <w:spacing w:after="0" w:line="240" w:lineRule="auto"/>
              <w:jc w:val="center"/>
              <w:rPr>
                <w:rFonts w:ascii="Calibri" w:eastAsia="Times New Roman" w:hAnsi="Calibri" w:cs="Calibri"/>
                <w:b/>
                <w:bCs/>
                <w:color w:val="FFFFFF"/>
                <w:lang w:eastAsia="en-GB"/>
              </w:rPr>
            </w:pPr>
            <w:r w:rsidRPr="005C5CC8">
              <w:rPr>
                <w:rFonts w:ascii="Calibri" w:eastAsia="Times New Roman" w:hAnsi="Calibri" w:cs="Calibri"/>
                <w:b/>
                <w:bCs/>
                <w:color w:val="FFFFFF"/>
                <w:lang w:eastAsia="en-GB"/>
              </w:rPr>
              <w:t> </w:t>
            </w:r>
          </w:p>
        </w:tc>
        <w:tc>
          <w:tcPr>
            <w:tcW w:w="2329"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 </w:t>
            </w:r>
          </w:p>
        </w:tc>
        <w:tc>
          <w:tcPr>
            <w:tcW w:w="1993"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Tanzania</w:t>
            </w:r>
          </w:p>
        </w:tc>
        <w:tc>
          <w:tcPr>
            <w:tcW w:w="1693"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 </w:t>
            </w:r>
          </w:p>
        </w:tc>
        <w:tc>
          <w:tcPr>
            <w:tcW w:w="1586"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 </w:t>
            </w:r>
          </w:p>
        </w:tc>
      </w:tr>
      <w:tr w:rsidR="00526B99" w:rsidRPr="005C5CC8" w:rsidTr="00C34AC3">
        <w:trPr>
          <w:trHeight w:val="300"/>
        </w:trPr>
        <w:tc>
          <w:tcPr>
            <w:tcW w:w="1979" w:type="dxa"/>
            <w:tcBorders>
              <w:top w:val="nil"/>
              <w:left w:val="single" w:sz="4" w:space="0" w:color="FFFFFF"/>
              <w:bottom w:val="single" w:sz="4" w:space="0" w:color="FFFFFF"/>
              <w:right w:val="single" w:sz="4" w:space="0" w:color="FFFFFF"/>
            </w:tcBorders>
            <w:shd w:val="clear" w:color="000000" w:fill="49723B"/>
            <w:noWrap/>
            <w:vAlign w:val="bottom"/>
            <w:hideMark/>
          </w:tcPr>
          <w:p w:rsidR="00526B99" w:rsidRPr="005C5CC8" w:rsidRDefault="00526B99" w:rsidP="00C34AC3">
            <w:pPr>
              <w:spacing w:after="0" w:line="240" w:lineRule="auto"/>
              <w:jc w:val="center"/>
              <w:rPr>
                <w:rFonts w:ascii="Calibri" w:eastAsia="Times New Roman" w:hAnsi="Calibri" w:cs="Calibri"/>
                <w:b/>
                <w:bCs/>
                <w:color w:val="FFFFFF"/>
                <w:lang w:eastAsia="en-GB"/>
              </w:rPr>
            </w:pPr>
            <w:r w:rsidRPr="005C5CC8">
              <w:rPr>
                <w:rFonts w:ascii="Calibri" w:eastAsia="Times New Roman" w:hAnsi="Calibri" w:cs="Calibri"/>
                <w:b/>
                <w:bCs/>
                <w:color w:val="FFFFFF"/>
                <w:lang w:eastAsia="en-GB"/>
              </w:rPr>
              <w:t> </w:t>
            </w:r>
          </w:p>
        </w:tc>
        <w:tc>
          <w:tcPr>
            <w:tcW w:w="2329"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 </w:t>
            </w:r>
          </w:p>
        </w:tc>
        <w:tc>
          <w:tcPr>
            <w:tcW w:w="1993"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Zambia</w:t>
            </w:r>
          </w:p>
        </w:tc>
        <w:tc>
          <w:tcPr>
            <w:tcW w:w="1693"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 </w:t>
            </w:r>
          </w:p>
        </w:tc>
        <w:tc>
          <w:tcPr>
            <w:tcW w:w="1586"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 </w:t>
            </w:r>
          </w:p>
        </w:tc>
      </w:tr>
      <w:tr w:rsidR="00526B99" w:rsidRPr="005C5CC8" w:rsidTr="00C34AC3">
        <w:trPr>
          <w:trHeight w:val="300"/>
        </w:trPr>
        <w:tc>
          <w:tcPr>
            <w:tcW w:w="1979" w:type="dxa"/>
            <w:tcBorders>
              <w:top w:val="nil"/>
              <w:left w:val="single" w:sz="4" w:space="0" w:color="FFFFFF"/>
              <w:bottom w:val="single" w:sz="4" w:space="0" w:color="FFFFFF"/>
              <w:right w:val="single" w:sz="4" w:space="0" w:color="FFFFFF"/>
            </w:tcBorders>
            <w:shd w:val="clear" w:color="000000" w:fill="49723B"/>
            <w:noWrap/>
            <w:vAlign w:val="bottom"/>
            <w:hideMark/>
          </w:tcPr>
          <w:p w:rsidR="00526B99" w:rsidRPr="005C5CC8" w:rsidRDefault="00526B99" w:rsidP="00C34AC3">
            <w:pPr>
              <w:spacing w:after="0" w:line="240" w:lineRule="auto"/>
              <w:jc w:val="center"/>
              <w:rPr>
                <w:rFonts w:ascii="Calibri" w:eastAsia="Times New Roman" w:hAnsi="Calibri" w:cs="Calibri"/>
                <w:b/>
                <w:bCs/>
                <w:color w:val="FFFFFF"/>
                <w:lang w:eastAsia="en-GB"/>
              </w:rPr>
            </w:pPr>
            <w:r w:rsidRPr="005C5CC8">
              <w:rPr>
                <w:rFonts w:ascii="Calibri" w:eastAsia="Times New Roman" w:hAnsi="Calibri" w:cs="Calibri"/>
                <w:b/>
                <w:bCs/>
                <w:color w:val="FFFFFF"/>
                <w:lang w:eastAsia="en-GB"/>
              </w:rPr>
              <w:t> </w:t>
            </w:r>
          </w:p>
        </w:tc>
        <w:tc>
          <w:tcPr>
            <w:tcW w:w="2329"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 </w:t>
            </w:r>
          </w:p>
        </w:tc>
        <w:tc>
          <w:tcPr>
            <w:tcW w:w="1993"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Zimbabwe</w:t>
            </w:r>
          </w:p>
        </w:tc>
        <w:tc>
          <w:tcPr>
            <w:tcW w:w="1693"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 </w:t>
            </w:r>
          </w:p>
        </w:tc>
        <w:tc>
          <w:tcPr>
            <w:tcW w:w="1586"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 </w:t>
            </w:r>
          </w:p>
        </w:tc>
      </w:tr>
      <w:tr w:rsidR="00526B99" w:rsidRPr="005C5CC8" w:rsidTr="00C34AC3">
        <w:trPr>
          <w:trHeight w:val="300"/>
        </w:trPr>
        <w:tc>
          <w:tcPr>
            <w:tcW w:w="1979" w:type="dxa"/>
            <w:tcBorders>
              <w:top w:val="nil"/>
              <w:left w:val="single" w:sz="4" w:space="0" w:color="FFFFFF"/>
              <w:bottom w:val="single" w:sz="4" w:space="0" w:color="FFFFFF"/>
              <w:right w:val="single" w:sz="4" w:space="0" w:color="FFFFFF"/>
            </w:tcBorders>
            <w:shd w:val="clear" w:color="000000" w:fill="49723B"/>
            <w:noWrap/>
            <w:vAlign w:val="bottom"/>
            <w:hideMark/>
          </w:tcPr>
          <w:p w:rsidR="00526B99" w:rsidRPr="005C5CC8" w:rsidRDefault="00526B99" w:rsidP="00C34AC3">
            <w:pPr>
              <w:spacing w:after="0" w:line="240" w:lineRule="auto"/>
              <w:jc w:val="center"/>
              <w:rPr>
                <w:rFonts w:ascii="Calibri" w:eastAsia="Times New Roman" w:hAnsi="Calibri" w:cs="Calibri"/>
                <w:b/>
                <w:bCs/>
                <w:color w:val="FFFFFF"/>
                <w:lang w:eastAsia="en-GB"/>
              </w:rPr>
            </w:pPr>
            <w:r w:rsidRPr="005C5CC8">
              <w:rPr>
                <w:rFonts w:ascii="Calibri" w:eastAsia="Times New Roman" w:hAnsi="Calibri" w:cs="Calibri"/>
                <w:b/>
                <w:bCs/>
                <w:color w:val="FFFFFF"/>
                <w:lang w:eastAsia="en-GB"/>
              </w:rPr>
              <w:t>Slowing down</w:t>
            </w:r>
          </w:p>
        </w:tc>
        <w:tc>
          <w:tcPr>
            <w:tcW w:w="2329"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&lt;0</w:t>
            </w:r>
          </w:p>
        </w:tc>
        <w:tc>
          <w:tcPr>
            <w:tcW w:w="1993"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Kenya</w:t>
            </w:r>
          </w:p>
        </w:tc>
        <w:tc>
          <w:tcPr>
            <w:tcW w:w="1693"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Burundi</w:t>
            </w:r>
          </w:p>
        </w:tc>
        <w:tc>
          <w:tcPr>
            <w:tcW w:w="1586"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Burkina Faso</w:t>
            </w:r>
          </w:p>
        </w:tc>
      </w:tr>
      <w:tr w:rsidR="00526B99" w:rsidRPr="005C5CC8" w:rsidTr="00C34AC3">
        <w:trPr>
          <w:trHeight w:val="300"/>
        </w:trPr>
        <w:tc>
          <w:tcPr>
            <w:tcW w:w="1979" w:type="dxa"/>
            <w:tcBorders>
              <w:top w:val="nil"/>
              <w:left w:val="single" w:sz="4" w:space="0" w:color="FFFFFF"/>
              <w:bottom w:val="single" w:sz="4" w:space="0" w:color="FFFFFF"/>
              <w:right w:val="single" w:sz="4" w:space="0" w:color="FFFFFF"/>
            </w:tcBorders>
            <w:shd w:val="clear" w:color="000000" w:fill="49723B"/>
            <w:noWrap/>
            <w:vAlign w:val="bottom"/>
            <w:hideMark/>
          </w:tcPr>
          <w:p w:rsidR="00526B99" w:rsidRPr="005C5CC8" w:rsidRDefault="00526B99" w:rsidP="00C34AC3">
            <w:pPr>
              <w:spacing w:after="0" w:line="240" w:lineRule="auto"/>
              <w:jc w:val="center"/>
              <w:rPr>
                <w:rFonts w:ascii="Calibri" w:eastAsia="Times New Roman" w:hAnsi="Calibri" w:cs="Calibri"/>
                <w:b/>
                <w:bCs/>
                <w:color w:val="FFFFFF"/>
                <w:lang w:eastAsia="en-GB"/>
              </w:rPr>
            </w:pPr>
            <w:r w:rsidRPr="005C5CC8">
              <w:rPr>
                <w:rFonts w:ascii="Calibri" w:eastAsia="Times New Roman" w:hAnsi="Calibri" w:cs="Calibri"/>
                <w:b/>
                <w:bCs/>
                <w:color w:val="FFFFFF"/>
                <w:lang w:eastAsia="en-GB"/>
              </w:rPr>
              <w:t> </w:t>
            </w:r>
          </w:p>
        </w:tc>
        <w:tc>
          <w:tcPr>
            <w:tcW w:w="2329"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 </w:t>
            </w:r>
          </w:p>
        </w:tc>
        <w:tc>
          <w:tcPr>
            <w:tcW w:w="1993"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Namibia</w:t>
            </w:r>
          </w:p>
        </w:tc>
        <w:tc>
          <w:tcPr>
            <w:tcW w:w="1693"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Ghana</w:t>
            </w:r>
          </w:p>
        </w:tc>
        <w:tc>
          <w:tcPr>
            <w:tcW w:w="1586"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Chad</w:t>
            </w:r>
          </w:p>
        </w:tc>
      </w:tr>
      <w:tr w:rsidR="00526B99" w:rsidRPr="005C5CC8" w:rsidTr="00C34AC3">
        <w:trPr>
          <w:trHeight w:val="300"/>
        </w:trPr>
        <w:tc>
          <w:tcPr>
            <w:tcW w:w="1979" w:type="dxa"/>
            <w:tcBorders>
              <w:top w:val="nil"/>
              <w:left w:val="single" w:sz="4" w:space="0" w:color="FFFFFF"/>
              <w:bottom w:val="single" w:sz="4" w:space="0" w:color="FFFFFF"/>
              <w:right w:val="single" w:sz="4" w:space="0" w:color="FFFFFF"/>
            </w:tcBorders>
            <w:shd w:val="clear" w:color="000000" w:fill="49723B"/>
            <w:noWrap/>
            <w:vAlign w:val="bottom"/>
            <w:hideMark/>
          </w:tcPr>
          <w:p w:rsidR="00526B99" w:rsidRPr="005C5CC8" w:rsidRDefault="00526B99" w:rsidP="00C34AC3">
            <w:pPr>
              <w:spacing w:after="0" w:line="240" w:lineRule="auto"/>
              <w:jc w:val="center"/>
              <w:rPr>
                <w:rFonts w:ascii="Calibri" w:eastAsia="Times New Roman" w:hAnsi="Calibri" w:cs="Calibri"/>
                <w:b/>
                <w:bCs/>
                <w:color w:val="FFFFFF"/>
                <w:lang w:eastAsia="en-GB"/>
              </w:rPr>
            </w:pPr>
            <w:r w:rsidRPr="005C5CC8">
              <w:rPr>
                <w:rFonts w:ascii="Calibri" w:eastAsia="Times New Roman" w:hAnsi="Calibri" w:cs="Calibri"/>
                <w:b/>
                <w:bCs/>
                <w:color w:val="FFFFFF"/>
                <w:lang w:eastAsia="en-GB"/>
              </w:rPr>
              <w:t> </w:t>
            </w:r>
          </w:p>
        </w:tc>
        <w:tc>
          <w:tcPr>
            <w:tcW w:w="2329"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 </w:t>
            </w:r>
          </w:p>
        </w:tc>
        <w:tc>
          <w:tcPr>
            <w:tcW w:w="1993"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Nigeria</w:t>
            </w:r>
          </w:p>
        </w:tc>
        <w:tc>
          <w:tcPr>
            <w:tcW w:w="1693"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Lesotho</w:t>
            </w:r>
          </w:p>
        </w:tc>
        <w:tc>
          <w:tcPr>
            <w:tcW w:w="1586"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Guinea Bissau</w:t>
            </w:r>
          </w:p>
        </w:tc>
      </w:tr>
      <w:tr w:rsidR="00526B99" w:rsidRPr="005C5CC8" w:rsidTr="00C34AC3">
        <w:trPr>
          <w:trHeight w:val="300"/>
        </w:trPr>
        <w:tc>
          <w:tcPr>
            <w:tcW w:w="1979" w:type="dxa"/>
            <w:tcBorders>
              <w:top w:val="nil"/>
              <w:left w:val="single" w:sz="4" w:space="0" w:color="FFFFFF"/>
              <w:bottom w:val="single" w:sz="4" w:space="0" w:color="FFFFFF"/>
              <w:right w:val="single" w:sz="4" w:space="0" w:color="FFFFFF"/>
            </w:tcBorders>
            <w:shd w:val="clear" w:color="000000" w:fill="49723B"/>
            <w:noWrap/>
            <w:vAlign w:val="bottom"/>
            <w:hideMark/>
          </w:tcPr>
          <w:p w:rsidR="00526B99" w:rsidRPr="005C5CC8" w:rsidRDefault="00526B99" w:rsidP="00C34AC3">
            <w:pPr>
              <w:spacing w:after="0" w:line="240" w:lineRule="auto"/>
              <w:jc w:val="center"/>
              <w:rPr>
                <w:rFonts w:ascii="Calibri" w:eastAsia="Times New Roman" w:hAnsi="Calibri" w:cs="Calibri"/>
                <w:b/>
                <w:bCs/>
                <w:color w:val="FFFFFF"/>
                <w:lang w:eastAsia="en-GB"/>
              </w:rPr>
            </w:pPr>
            <w:r w:rsidRPr="005C5CC8">
              <w:rPr>
                <w:rFonts w:ascii="Calibri" w:eastAsia="Times New Roman" w:hAnsi="Calibri" w:cs="Calibri"/>
                <w:b/>
                <w:bCs/>
                <w:color w:val="FFFFFF"/>
                <w:lang w:eastAsia="en-GB"/>
              </w:rPr>
              <w:t> </w:t>
            </w:r>
          </w:p>
        </w:tc>
        <w:tc>
          <w:tcPr>
            <w:tcW w:w="2329"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 </w:t>
            </w:r>
          </w:p>
        </w:tc>
        <w:tc>
          <w:tcPr>
            <w:tcW w:w="1993"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 </w:t>
            </w:r>
          </w:p>
        </w:tc>
        <w:tc>
          <w:tcPr>
            <w:tcW w:w="1693"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Sierra Leone</w:t>
            </w:r>
          </w:p>
        </w:tc>
        <w:tc>
          <w:tcPr>
            <w:tcW w:w="1586"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Mali</w:t>
            </w:r>
          </w:p>
        </w:tc>
      </w:tr>
      <w:tr w:rsidR="00526B99" w:rsidRPr="005C5CC8" w:rsidTr="00C34AC3">
        <w:trPr>
          <w:trHeight w:val="300"/>
        </w:trPr>
        <w:tc>
          <w:tcPr>
            <w:tcW w:w="1979" w:type="dxa"/>
            <w:tcBorders>
              <w:top w:val="nil"/>
              <w:left w:val="single" w:sz="4" w:space="0" w:color="FFFFFF"/>
              <w:bottom w:val="single" w:sz="4" w:space="0" w:color="FFFFFF"/>
              <w:right w:val="single" w:sz="4" w:space="0" w:color="FFFFFF"/>
            </w:tcBorders>
            <w:shd w:val="clear" w:color="000000" w:fill="49723B"/>
            <w:noWrap/>
            <w:vAlign w:val="bottom"/>
            <w:hideMark/>
          </w:tcPr>
          <w:p w:rsidR="00526B99" w:rsidRPr="005C5CC8" w:rsidRDefault="00526B99" w:rsidP="00C34AC3">
            <w:pPr>
              <w:spacing w:after="0" w:line="240" w:lineRule="auto"/>
              <w:jc w:val="center"/>
              <w:rPr>
                <w:rFonts w:ascii="Calibri" w:eastAsia="Times New Roman" w:hAnsi="Calibri" w:cs="Calibri"/>
                <w:b/>
                <w:bCs/>
                <w:color w:val="FFFFFF"/>
                <w:lang w:eastAsia="en-GB"/>
              </w:rPr>
            </w:pPr>
            <w:r w:rsidRPr="005C5CC8">
              <w:rPr>
                <w:rFonts w:ascii="Calibri" w:eastAsia="Times New Roman" w:hAnsi="Calibri" w:cs="Calibri"/>
                <w:b/>
                <w:bCs/>
                <w:color w:val="FFFFFF"/>
                <w:lang w:eastAsia="en-GB"/>
              </w:rPr>
              <w:t> </w:t>
            </w:r>
          </w:p>
        </w:tc>
        <w:tc>
          <w:tcPr>
            <w:tcW w:w="2329"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 </w:t>
            </w:r>
          </w:p>
        </w:tc>
        <w:tc>
          <w:tcPr>
            <w:tcW w:w="1993"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 </w:t>
            </w:r>
          </w:p>
        </w:tc>
        <w:tc>
          <w:tcPr>
            <w:tcW w:w="1693"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Togo</w:t>
            </w:r>
          </w:p>
        </w:tc>
        <w:tc>
          <w:tcPr>
            <w:tcW w:w="1586"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Mozambique</w:t>
            </w:r>
          </w:p>
        </w:tc>
      </w:tr>
      <w:tr w:rsidR="00526B99" w:rsidRPr="005C5CC8" w:rsidTr="00C34AC3">
        <w:trPr>
          <w:trHeight w:val="300"/>
        </w:trPr>
        <w:tc>
          <w:tcPr>
            <w:tcW w:w="1979" w:type="dxa"/>
            <w:tcBorders>
              <w:top w:val="nil"/>
              <w:left w:val="single" w:sz="4" w:space="0" w:color="FFFFFF"/>
              <w:bottom w:val="single" w:sz="4" w:space="0" w:color="FFFFFF"/>
              <w:right w:val="single" w:sz="4" w:space="0" w:color="FFFFFF"/>
            </w:tcBorders>
            <w:shd w:val="clear" w:color="000000" w:fill="49723B"/>
            <w:noWrap/>
            <w:vAlign w:val="bottom"/>
            <w:hideMark/>
          </w:tcPr>
          <w:p w:rsidR="00526B99" w:rsidRPr="005C5CC8" w:rsidRDefault="00526B99" w:rsidP="00C34AC3">
            <w:pPr>
              <w:spacing w:after="0" w:line="240" w:lineRule="auto"/>
              <w:jc w:val="center"/>
              <w:rPr>
                <w:rFonts w:ascii="Calibri" w:eastAsia="Times New Roman" w:hAnsi="Calibri" w:cs="Calibri"/>
                <w:b/>
                <w:bCs/>
                <w:color w:val="FFFFFF"/>
                <w:lang w:eastAsia="en-GB"/>
              </w:rPr>
            </w:pPr>
            <w:r w:rsidRPr="005C5CC8">
              <w:rPr>
                <w:rFonts w:ascii="Calibri" w:eastAsia="Times New Roman" w:hAnsi="Calibri" w:cs="Calibri"/>
                <w:b/>
                <w:bCs/>
                <w:color w:val="FFFFFF"/>
                <w:lang w:eastAsia="en-GB"/>
              </w:rPr>
              <w:t>Going backwards</w:t>
            </w:r>
          </w:p>
        </w:tc>
        <w:tc>
          <w:tcPr>
            <w:tcW w:w="2329"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Absolute decline</w:t>
            </w:r>
          </w:p>
        </w:tc>
        <w:tc>
          <w:tcPr>
            <w:tcW w:w="1993"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Benin</w:t>
            </w:r>
          </w:p>
        </w:tc>
        <w:tc>
          <w:tcPr>
            <w:tcW w:w="1693"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Sudan</w:t>
            </w:r>
          </w:p>
        </w:tc>
        <w:tc>
          <w:tcPr>
            <w:tcW w:w="1586"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Madagascar</w:t>
            </w:r>
          </w:p>
        </w:tc>
      </w:tr>
      <w:tr w:rsidR="00526B99" w:rsidRPr="005C5CC8" w:rsidTr="00C34AC3">
        <w:trPr>
          <w:trHeight w:val="300"/>
        </w:trPr>
        <w:tc>
          <w:tcPr>
            <w:tcW w:w="1979" w:type="dxa"/>
            <w:tcBorders>
              <w:top w:val="nil"/>
              <w:left w:val="single" w:sz="4" w:space="0" w:color="FFFFFF"/>
              <w:bottom w:val="single" w:sz="4" w:space="0" w:color="FFFFFF"/>
              <w:right w:val="single" w:sz="4" w:space="0" w:color="FFFFFF"/>
            </w:tcBorders>
            <w:shd w:val="clear" w:color="000000" w:fill="49723B"/>
            <w:noWrap/>
            <w:vAlign w:val="bottom"/>
            <w:hideMark/>
          </w:tcPr>
          <w:p w:rsidR="00526B99" w:rsidRPr="005C5CC8" w:rsidRDefault="00526B99" w:rsidP="00C34AC3">
            <w:pPr>
              <w:spacing w:after="0" w:line="240" w:lineRule="auto"/>
              <w:jc w:val="center"/>
              <w:rPr>
                <w:rFonts w:ascii="Calibri" w:eastAsia="Times New Roman" w:hAnsi="Calibri" w:cs="Calibri"/>
                <w:b/>
                <w:bCs/>
                <w:color w:val="FFFFFF"/>
                <w:lang w:eastAsia="en-GB"/>
              </w:rPr>
            </w:pPr>
            <w:r w:rsidRPr="005C5CC8">
              <w:rPr>
                <w:rFonts w:ascii="Calibri" w:eastAsia="Times New Roman" w:hAnsi="Calibri" w:cs="Calibri"/>
                <w:b/>
                <w:bCs/>
                <w:color w:val="FFFFFF"/>
                <w:lang w:eastAsia="en-GB"/>
              </w:rPr>
              <w:t> </w:t>
            </w:r>
          </w:p>
        </w:tc>
        <w:tc>
          <w:tcPr>
            <w:tcW w:w="2329"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 </w:t>
            </w:r>
          </w:p>
        </w:tc>
        <w:tc>
          <w:tcPr>
            <w:tcW w:w="1993"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 </w:t>
            </w:r>
          </w:p>
        </w:tc>
        <w:tc>
          <w:tcPr>
            <w:tcW w:w="1693"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 </w:t>
            </w:r>
          </w:p>
        </w:tc>
        <w:tc>
          <w:tcPr>
            <w:tcW w:w="1586" w:type="dxa"/>
            <w:tcBorders>
              <w:top w:val="nil"/>
              <w:left w:val="nil"/>
              <w:bottom w:val="single" w:sz="4" w:space="0" w:color="FFFFFF"/>
              <w:right w:val="single" w:sz="4" w:space="0" w:color="FFFFFF"/>
            </w:tcBorders>
            <w:shd w:val="clear" w:color="000000" w:fill="EFEAE6"/>
            <w:noWrap/>
            <w:vAlign w:val="bottom"/>
            <w:hideMark/>
          </w:tcPr>
          <w:p w:rsidR="00526B99" w:rsidRPr="005C5CC8" w:rsidRDefault="00526B99" w:rsidP="00C34AC3">
            <w:pPr>
              <w:spacing w:after="0" w:line="240" w:lineRule="auto"/>
              <w:jc w:val="center"/>
              <w:rPr>
                <w:rFonts w:ascii="Calibri" w:eastAsia="Times New Roman" w:hAnsi="Calibri" w:cs="Calibri"/>
                <w:color w:val="000000"/>
                <w:lang w:eastAsia="en-GB"/>
              </w:rPr>
            </w:pPr>
            <w:r w:rsidRPr="005C5CC8">
              <w:rPr>
                <w:rFonts w:ascii="Calibri" w:eastAsia="Times New Roman" w:hAnsi="Calibri" w:cs="Calibri"/>
                <w:color w:val="000000"/>
                <w:lang w:eastAsia="en-GB"/>
              </w:rPr>
              <w:t>Malawi</w:t>
            </w:r>
          </w:p>
        </w:tc>
      </w:tr>
    </w:tbl>
    <w:p w:rsidR="00EC3441" w:rsidRDefault="00EC3441" w:rsidP="00AB5D66">
      <w:pPr>
        <w:jc w:val="both"/>
        <w:rPr>
          <w:rFonts w:ascii="Times New Roman" w:hAnsi="Times New Roman" w:cs="Times New Roman"/>
          <w:sz w:val="28"/>
          <w:szCs w:val="28"/>
        </w:rPr>
      </w:pPr>
    </w:p>
    <w:p w:rsidR="00777D0B" w:rsidRDefault="00777D0B" w:rsidP="00B9451A">
      <w:pPr>
        <w:spacing w:line="360" w:lineRule="auto"/>
        <w:jc w:val="both"/>
        <w:rPr>
          <w:rFonts w:ascii="Times New Roman" w:hAnsi="Times New Roman" w:cs="Times New Roman"/>
          <w:sz w:val="28"/>
          <w:szCs w:val="28"/>
        </w:rPr>
      </w:pPr>
      <w:r>
        <w:rPr>
          <w:rFonts w:ascii="Times New Roman" w:hAnsi="Times New Roman" w:cs="Times New Roman"/>
          <w:sz w:val="28"/>
          <w:szCs w:val="28"/>
        </w:rPr>
        <w:t>The post-2015 economic slowdown in much of SSA coupled with the COVID pan</w:t>
      </w:r>
      <w:r w:rsidR="00B9451A">
        <w:rPr>
          <w:rFonts w:ascii="Times New Roman" w:hAnsi="Times New Roman" w:cs="Times New Roman"/>
          <w:sz w:val="28"/>
          <w:szCs w:val="28"/>
        </w:rPr>
        <w:t>d</w:t>
      </w:r>
      <w:r>
        <w:rPr>
          <w:rFonts w:ascii="Times New Roman" w:hAnsi="Times New Roman" w:cs="Times New Roman"/>
          <w:sz w:val="28"/>
          <w:szCs w:val="28"/>
        </w:rPr>
        <w:t xml:space="preserve">emic crisis are likely to have very significant impacts on the attainment of UPE. </w:t>
      </w:r>
    </w:p>
    <w:p w:rsidR="00DD4112" w:rsidRPr="00EC3441" w:rsidRDefault="00DD4112" w:rsidP="003133DF">
      <w:pPr>
        <w:spacing w:line="360" w:lineRule="auto"/>
        <w:jc w:val="both"/>
        <w:rPr>
          <w:rFonts w:ascii="Times New Roman" w:hAnsi="Times New Roman" w:cs="Times New Roman"/>
          <w:i/>
          <w:sz w:val="28"/>
          <w:szCs w:val="28"/>
        </w:rPr>
      </w:pPr>
      <w:r w:rsidRPr="00EC3441">
        <w:rPr>
          <w:rFonts w:ascii="Times New Roman" w:hAnsi="Times New Roman" w:cs="Times New Roman"/>
          <w:i/>
          <w:sz w:val="28"/>
          <w:szCs w:val="28"/>
        </w:rPr>
        <w:t>3.2 Progress among the rural poor</w:t>
      </w:r>
    </w:p>
    <w:p w:rsidR="00BB4122" w:rsidRDefault="00DD4112" w:rsidP="00BB4122">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Table 2 shows the percentages of the poorest</w:t>
      </w:r>
      <w:r w:rsidR="00352169">
        <w:rPr>
          <w:rStyle w:val="FootnoteReference"/>
          <w:rFonts w:ascii="Times New Roman" w:hAnsi="Times New Roman" w:cs="Times New Roman"/>
          <w:sz w:val="28"/>
          <w:szCs w:val="28"/>
        </w:rPr>
        <w:footnoteReference w:id="10"/>
      </w:r>
      <w:r w:rsidRPr="003B3EF6">
        <w:rPr>
          <w:rFonts w:ascii="Times New Roman" w:hAnsi="Times New Roman" w:cs="Times New Roman"/>
          <w:sz w:val="28"/>
          <w:szCs w:val="28"/>
        </w:rPr>
        <w:t xml:space="preserve"> females and males </w:t>
      </w:r>
      <w:r w:rsidR="00352169">
        <w:rPr>
          <w:rFonts w:ascii="Times New Roman" w:hAnsi="Times New Roman" w:cs="Times New Roman"/>
          <w:sz w:val="28"/>
          <w:szCs w:val="28"/>
        </w:rPr>
        <w:t xml:space="preserve">aged 18-24 </w:t>
      </w:r>
      <w:r w:rsidRPr="003B3EF6">
        <w:rPr>
          <w:rFonts w:ascii="Times New Roman" w:hAnsi="Times New Roman" w:cs="Times New Roman"/>
          <w:sz w:val="28"/>
          <w:szCs w:val="28"/>
        </w:rPr>
        <w:t xml:space="preserve">in rural areas who have completed primary schooling among the 18 countries with DHS/MICS surveys since 2014. Excluding the much higher completion countries in Southern Africa, the PSCRs are less </w:t>
      </w:r>
      <w:r w:rsidR="00BB4122" w:rsidRPr="003B3EF6">
        <w:rPr>
          <w:rFonts w:ascii="Times New Roman" w:hAnsi="Times New Roman" w:cs="Times New Roman"/>
          <w:sz w:val="28"/>
          <w:szCs w:val="28"/>
        </w:rPr>
        <w:t>than 40% in 11</w:t>
      </w:r>
      <w:r w:rsidR="00352169">
        <w:rPr>
          <w:rFonts w:ascii="Times New Roman" w:hAnsi="Times New Roman" w:cs="Times New Roman"/>
          <w:sz w:val="28"/>
          <w:szCs w:val="28"/>
        </w:rPr>
        <w:t xml:space="preserve"> countries for females</w:t>
      </w:r>
      <w:r w:rsidR="00BB4122" w:rsidRPr="003B3EF6">
        <w:rPr>
          <w:rFonts w:ascii="Times New Roman" w:hAnsi="Times New Roman" w:cs="Times New Roman"/>
          <w:sz w:val="28"/>
          <w:szCs w:val="28"/>
        </w:rPr>
        <w:t xml:space="preserve"> and nine out of 14 countries </w:t>
      </w:r>
      <w:r w:rsidR="00352169">
        <w:rPr>
          <w:rFonts w:ascii="Times New Roman" w:hAnsi="Times New Roman" w:cs="Times New Roman"/>
          <w:sz w:val="28"/>
          <w:szCs w:val="28"/>
        </w:rPr>
        <w:t>for males</w:t>
      </w:r>
      <w:r w:rsidR="00BB4122" w:rsidRPr="003B3EF6">
        <w:rPr>
          <w:rFonts w:ascii="Times New Roman" w:hAnsi="Times New Roman" w:cs="Times New Roman"/>
          <w:sz w:val="28"/>
          <w:szCs w:val="28"/>
        </w:rPr>
        <w:t xml:space="preserve">. Increases in PSCRs have generally been well under 20 percentage points for most of these countries. The main exceptions are in post-conflict countries most notably DRC and Sierra Leone. In three countries, </w:t>
      </w:r>
      <w:r w:rsidR="00BB4122" w:rsidRPr="003B3EF6">
        <w:rPr>
          <w:rFonts w:ascii="Times New Roman" w:hAnsi="Times New Roman" w:cs="Times New Roman"/>
          <w:sz w:val="28"/>
          <w:szCs w:val="28"/>
        </w:rPr>
        <w:lastRenderedPageBreak/>
        <w:t>Cote d’Ivoire (female), Malawi (female and male) and Zambia (male), completion rates actually fell</w:t>
      </w:r>
      <w:r w:rsidR="00A27DA8">
        <w:rPr>
          <w:rStyle w:val="FootnoteReference"/>
          <w:rFonts w:ascii="Times New Roman" w:hAnsi="Times New Roman" w:cs="Times New Roman"/>
          <w:sz w:val="28"/>
          <w:szCs w:val="28"/>
        </w:rPr>
        <w:footnoteReference w:id="11"/>
      </w:r>
      <w:r w:rsidR="00BB4122" w:rsidRPr="003B3EF6">
        <w:rPr>
          <w:rFonts w:ascii="Times New Roman" w:hAnsi="Times New Roman" w:cs="Times New Roman"/>
          <w:sz w:val="28"/>
          <w:szCs w:val="28"/>
        </w:rPr>
        <w:t>.</w:t>
      </w:r>
    </w:p>
    <w:tbl>
      <w:tblPr>
        <w:tblW w:w="8882" w:type="dxa"/>
        <w:tblLook w:val="04A0" w:firstRow="1" w:lastRow="0" w:firstColumn="1" w:lastColumn="0" w:noHBand="0" w:noVBand="1"/>
      </w:tblPr>
      <w:tblGrid>
        <w:gridCol w:w="2564"/>
        <w:gridCol w:w="1084"/>
        <w:gridCol w:w="774"/>
        <w:gridCol w:w="744"/>
        <w:gridCol w:w="1084"/>
        <w:gridCol w:w="774"/>
        <w:gridCol w:w="1084"/>
        <w:gridCol w:w="774"/>
      </w:tblGrid>
      <w:tr w:rsidR="00177A6A" w:rsidRPr="00177A6A" w:rsidTr="00177A6A">
        <w:trPr>
          <w:trHeight w:val="300"/>
        </w:trPr>
        <w:tc>
          <w:tcPr>
            <w:tcW w:w="8882" w:type="dxa"/>
            <w:gridSpan w:val="8"/>
            <w:tcBorders>
              <w:top w:val="nil"/>
              <w:left w:val="nil"/>
              <w:bottom w:val="nil"/>
              <w:right w:val="nil"/>
            </w:tcBorders>
            <w:shd w:val="clear" w:color="auto" w:fill="auto"/>
            <w:noWrap/>
            <w:vAlign w:val="bottom"/>
            <w:hideMark/>
          </w:tcPr>
          <w:p w:rsidR="00177A6A" w:rsidRPr="00177A6A" w:rsidRDefault="00177A6A" w:rsidP="00177A6A">
            <w:pPr>
              <w:spacing w:after="0" w:line="240" w:lineRule="auto"/>
              <w:rPr>
                <w:rFonts w:ascii="Calibri" w:eastAsia="Times New Roman" w:hAnsi="Calibri" w:cs="Calibri"/>
                <w:b/>
                <w:bCs/>
                <w:color w:val="5F735C"/>
                <w:lang w:eastAsia="en-GB"/>
              </w:rPr>
            </w:pPr>
            <w:r w:rsidRPr="00177A6A">
              <w:rPr>
                <w:rFonts w:ascii="Calibri" w:eastAsia="Times New Roman" w:hAnsi="Calibri" w:cs="Calibri"/>
                <w:b/>
                <w:bCs/>
                <w:color w:val="5F735C"/>
                <w:lang w:eastAsia="en-GB"/>
              </w:rPr>
              <w:t xml:space="preserve">Table 2: Percentage of 18-24 year olds in rural areas who have completed at least primary education, </w:t>
            </w:r>
          </w:p>
        </w:tc>
      </w:tr>
      <w:tr w:rsidR="00177A6A" w:rsidRPr="00177A6A" w:rsidTr="00177A6A">
        <w:trPr>
          <w:trHeight w:val="300"/>
        </w:trPr>
        <w:tc>
          <w:tcPr>
            <w:tcW w:w="3648" w:type="dxa"/>
            <w:gridSpan w:val="2"/>
            <w:tcBorders>
              <w:top w:val="nil"/>
              <w:left w:val="nil"/>
              <w:bottom w:val="nil"/>
              <w:right w:val="nil"/>
            </w:tcBorders>
            <w:shd w:val="clear" w:color="auto" w:fill="auto"/>
            <w:noWrap/>
            <w:vAlign w:val="bottom"/>
            <w:hideMark/>
          </w:tcPr>
          <w:p w:rsidR="00177A6A" w:rsidRPr="00177A6A" w:rsidRDefault="00177A6A" w:rsidP="00352169">
            <w:pPr>
              <w:spacing w:after="0" w:line="240" w:lineRule="auto"/>
              <w:rPr>
                <w:rFonts w:ascii="Calibri" w:eastAsia="Times New Roman" w:hAnsi="Calibri" w:cs="Calibri"/>
                <w:b/>
                <w:bCs/>
                <w:color w:val="5F735C"/>
                <w:lang w:eastAsia="en-GB"/>
              </w:rPr>
            </w:pPr>
            <w:r w:rsidRPr="00177A6A">
              <w:rPr>
                <w:rFonts w:ascii="Calibri" w:eastAsia="Times New Roman" w:hAnsi="Calibri" w:cs="Calibri"/>
                <w:b/>
                <w:bCs/>
                <w:color w:val="5F735C"/>
                <w:lang w:eastAsia="en-GB"/>
              </w:rPr>
              <w:t>2000</w:t>
            </w:r>
            <w:r w:rsidR="00352169">
              <w:rPr>
                <w:rFonts w:ascii="Calibri" w:eastAsia="Times New Roman" w:hAnsi="Calibri" w:cs="Calibri"/>
                <w:b/>
                <w:bCs/>
                <w:color w:val="5F735C"/>
                <w:lang w:eastAsia="en-GB"/>
              </w:rPr>
              <w:t>/nya</w:t>
            </w:r>
            <w:r w:rsidRPr="00177A6A">
              <w:rPr>
                <w:rFonts w:ascii="Calibri" w:eastAsia="Times New Roman" w:hAnsi="Calibri" w:cs="Calibri"/>
                <w:b/>
                <w:bCs/>
                <w:color w:val="5F735C"/>
                <w:lang w:eastAsia="en-GB"/>
              </w:rPr>
              <w:t>-2015</w:t>
            </w:r>
            <w:r w:rsidR="00352169">
              <w:rPr>
                <w:rFonts w:ascii="Calibri" w:eastAsia="Times New Roman" w:hAnsi="Calibri" w:cs="Calibri"/>
                <w:b/>
                <w:bCs/>
                <w:color w:val="5F735C"/>
                <w:lang w:eastAsia="en-GB"/>
              </w:rPr>
              <w:t>/lya</w:t>
            </w:r>
            <w:r w:rsidRPr="00177A6A">
              <w:rPr>
                <w:rFonts w:ascii="Calibri" w:eastAsia="Times New Roman" w:hAnsi="Calibri" w:cs="Calibri"/>
                <w:b/>
                <w:bCs/>
                <w:color w:val="5F735C"/>
                <w:lang w:eastAsia="en-GB"/>
              </w:rPr>
              <w:t xml:space="preserve"> (rounded)</w:t>
            </w:r>
          </w:p>
        </w:tc>
        <w:tc>
          <w:tcPr>
            <w:tcW w:w="774" w:type="dxa"/>
            <w:tcBorders>
              <w:top w:val="nil"/>
              <w:left w:val="nil"/>
              <w:bottom w:val="nil"/>
              <w:right w:val="nil"/>
            </w:tcBorders>
            <w:shd w:val="clear" w:color="auto" w:fill="auto"/>
            <w:noWrap/>
            <w:vAlign w:val="bottom"/>
            <w:hideMark/>
          </w:tcPr>
          <w:p w:rsidR="00177A6A" w:rsidRPr="00177A6A" w:rsidRDefault="00177A6A" w:rsidP="00177A6A">
            <w:pPr>
              <w:spacing w:after="0" w:line="240" w:lineRule="auto"/>
              <w:rPr>
                <w:rFonts w:ascii="Calibri" w:eastAsia="Times New Roman" w:hAnsi="Calibri" w:cs="Calibri"/>
                <w:b/>
                <w:bCs/>
                <w:color w:val="5F735C"/>
                <w:lang w:eastAsia="en-GB"/>
              </w:rPr>
            </w:pPr>
          </w:p>
        </w:tc>
        <w:tc>
          <w:tcPr>
            <w:tcW w:w="744" w:type="dxa"/>
            <w:tcBorders>
              <w:top w:val="nil"/>
              <w:left w:val="nil"/>
              <w:bottom w:val="nil"/>
              <w:right w:val="nil"/>
            </w:tcBorders>
            <w:shd w:val="clear" w:color="auto" w:fill="auto"/>
            <w:noWrap/>
            <w:vAlign w:val="bottom"/>
            <w:hideMark/>
          </w:tcPr>
          <w:p w:rsidR="00177A6A" w:rsidRPr="00177A6A" w:rsidRDefault="00177A6A" w:rsidP="00177A6A">
            <w:pPr>
              <w:spacing w:after="0" w:line="240" w:lineRule="auto"/>
              <w:rPr>
                <w:rFonts w:ascii="Times New Roman" w:eastAsia="Times New Roman" w:hAnsi="Times New Roman" w:cs="Times New Roman"/>
                <w:sz w:val="20"/>
                <w:szCs w:val="20"/>
                <w:lang w:eastAsia="en-GB"/>
              </w:rPr>
            </w:pPr>
          </w:p>
        </w:tc>
        <w:tc>
          <w:tcPr>
            <w:tcW w:w="1084" w:type="dxa"/>
            <w:tcBorders>
              <w:top w:val="nil"/>
              <w:left w:val="nil"/>
              <w:bottom w:val="nil"/>
              <w:right w:val="nil"/>
            </w:tcBorders>
            <w:shd w:val="clear" w:color="auto" w:fill="auto"/>
            <w:noWrap/>
            <w:vAlign w:val="bottom"/>
            <w:hideMark/>
          </w:tcPr>
          <w:p w:rsidR="00177A6A" w:rsidRPr="00177A6A" w:rsidRDefault="00177A6A" w:rsidP="00177A6A">
            <w:pPr>
              <w:spacing w:after="0" w:line="240" w:lineRule="auto"/>
              <w:rPr>
                <w:rFonts w:ascii="Times New Roman" w:eastAsia="Times New Roman" w:hAnsi="Times New Roman" w:cs="Times New Roman"/>
                <w:sz w:val="20"/>
                <w:szCs w:val="20"/>
                <w:lang w:eastAsia="en-GB"/>
              </w:rPr>
            </w:pPr>
          </w:p>
        </w:tc>
        <w:tc>
          <w:tcPr>
            <w:tcW w:w="774" w:type="dxa"/>
            <w:tcBorders>
              <w:top w:val="nil"/>
              <w:left w:val="nil"/>
              <w:bottom w:val="nil"/>
              <w:right w:val="nil"/>
            </w:tcBorders>
            <w:shd w:val="clear" w:color="auto" w:fill="auto"/>
            <w:noWrap/>
            <w:vAlign w:val="bottom"/>
            <w:hideMark/>
          </w:tcPr>
          <w:p w:rsidR="00177A6A" w:rsidRPr="00177A6A" w:rsidRDefault="00177A6A" w:rsidP="00177A6A">
            <w:pPr>
              <w:spacing w:after="0" w:line="240" w:lineRule="auto"/>
              <w:rPr>
                <w:rFonts w:ascii="Times New Roman" w:eastAsia="Times New Roman" w:hAnsi="Times New Roman" w:cs="Times New Roman"/>
                <w:sz w:val="20"/>
                <w:szCs w:val="20"/>
                <w:lang w:eastAsia="en-GB"/>
              </w:rPr>
            </w:pPr>
          </w:p>
        </w:tc>
        <w:tc>
          <w:tcPr>
            <w:tcW w:w="1084" w:type="dxa"/>
            <w:tcBorders>
              <w:top w:val="nil"/>
              <w:left w:val="nil"/>
              <w:bottom w:val="nil"/>
              <w:right w:val="nil"/>
            </w:tcBorders>
            <w:shd w:val="clear" w:color="auto" w:fill="auto"/>
            <w:noWrap/>
            <w:vAlign w:val="bottom"/>
            <w:hideMark/>
          </w:tcPr>
          <w:p w:rsidR="00177A6A" w:rsidRPr="00177A6A" w:rsidRDefault="00177A6A" w:rsidP="00177A6A">
            <w:pPr>
              <w:spacing w:after="0" w:line="240" w:lineRule="auto"/>
              <w:rPr>
                <w:rFonts w:ascii="Times New Roman" w:eastAsia="Times New Roman" w:hAnsi="Times New Roman" w:cs="Times New Roman"/>
                <w:sz w:val="20"/>
                <w:szCs w:val="20"/>
                <w:lang w:eastAsia="en-GB"/>
              </w:rPr>
            </w:pPr>
          </w:p>
        </w:tc>
        <w:tc>
          <w:tcPr>
            <w:tcW w:w="774" w:type="dxa"/>
            <w:tcBorders>
              <w:top w:val="nil"/>
              <w:left w:val="nil"/>
              <w:bottom w:val="nil"/>
              <w:right w:val="nil"/>
            </w:tcBorders>
            <w:shd w:val="clear" w:color="auto" w:fill="auto"/>
            <w:noWrap/>
            <w:vAlign w:val="bottom"/>
            <w:hideMark/>
          </w:tcPr>
          <w:p w:rsidR="00177A6A" w:rsidRPr="00177A6A" w:rsidRDefault="00177A6A" w:rsidP="00177A6A">
            <w:pPr>
              <w:spacing w:after="0" w:line="240" w:lineRule="auto"/>
              <w:rPr>
                <w:rFonts w:ascii="Times New Roman" w:eastAsia="Times New Roman" w:hAnsi="Times New Roman" w:cs="Times New Roman"/>
                <w:sz w:val="20"/>
                <w:szCs w:val="20"/>
                <w:lang w:eastAsia="en-GB"/>
              </w:rPr>
            </w:pPr>
          </w:p>
        </w:tc>
      </w:tr>
      <w:tr w:rsidR="00177A6A" w:rsidRPr="00177A6A" w:rsidTr="00177A6A">
        <w:trPr>
          <w:trHeight w:val="300"/>
        </w:trPr>
        <w:tc>
          <w:tcPr>
            <w:tcW w:w="2564" w:type="dxa"/>
            <w:tcBorders>
              <w:top w:val="single" w:sz="4" w:space="0" w:color="FFFFFF"/>
              <w:left w:val="single" w:sz="4" w:space="0" w:color="FFFFFF"/>
              <w:bottom w:val="single" w:sz="4" w:space="0" w:color="FFFFFF"/>
              <w:right w:val="nil"/>
            </w:tcBorders>
            <w:shd w:val="clear" w:color="000000" w:fill="49723B"/>
            <w:noWrap/>
            <w:vAlign w:val="bottom"/>
            <w:hideMark/>
          </w:tcPr>
          <w:p w:rsidR="00177A6A" w:rsidRPr="00177A6A" w:rsidRDefault="00177A6A" w:rsidP="00177A6A">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 </w:t>
            </w:r>
          </w:p>
        </w:tc>
        <w:tc>
          <w:tcPr>
            <w:tcW w:w="1858" w:type="dxa"/>
            <w:gridSpan w:val="2"/>
            <w:tcBorders>
              <w:top w:val="single" w:sz="4" w:space="0" w:color="auto"/>
              <w:left w:val="single" w:sz="4" w:space="0" w:color="auto"/>
              <w:bottom w:val="single" w:sz="4" w:space="0" w:color="FFFFFF"/>
              <w:right w:val="single" w:sz="4" w:space="0" w:color="000000"/>
            </w:tcBorders>
            <w:shd w:val="clear" w:color="000000" w:fill="49723B"/>
            <w:noWrap/>
            <w:vAlign w:val="bottom"/>
            <w:hideMark/>
          </w:tcPr>
          <w:p w:rsidR="00177A6A" w:rsidRPr="00177A6A" w:rsidRDefault="00177A6A" w:rsidP="00177A6A">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2000/NYA</w:t>
            </w:r>
          </w:p>
        </w:tc>
        <w:tc>
          <w:tcPr>
            <w:tcW w:w="2602" w:type="dxa"/>
            <w:gridSpan w:val="3"/>
            <w:tcBorders>
              <w:top w:val="single" w:sz="4" w:space="0" w:color="auto"/>
              <w:left w:val="nil"/>
              <w:bottom w:val="single" w:sz="4" w:space="0" w:color="FFFFFF"/>
              <w:right w:val="single" w:sz="4" w:space="0" w:color="000000"/>
            </w:tcBorders>
            <w:shd w:val="clear" w:color="000000" w:fill="49723B"/>
            <w:noWrap/>
            <w:vAlign w:val="bottom"/>
            <w:hideMark/>
          </w:tcPr>
          <w:p w:rsidR="00177A6A" w:rsidRPr="00177A6A" w:rsidRDefault="00177A6A" w:rsidP="00177A6A">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2015/LYA</w:t>
            </w:r>
          </w:p>
        </w:tc>
        <w:tc>
          <w:tcPr>
            <w:tcW w:w="1858" w:type="dxa"/>
            <w:gridSpan w:val="2"/>
            <w:tcBorders>
              <w:top w:val="single" w:sz="4" w:space="0" w:color="auto"/>
              <w:left w:val="nil"/>
              <w:bottom w:val="single" w:sz="4" w:space="0" w:color="FFFFFF"/>
              <w:right w:val="single" w:sz="4" w:space="0" w:color="000000"/>
            </w:tcBorders>
            <w:shd w:val="clear" w:color="000000" w:fill="49723B"/>
            <w:noWrap/>
            <w:vAlign w:val="bottom"/>
            <w:hideMark/>
          </w:tcPr>
          <w:p w:rsidR="00177A6A" w:rsidRPr="00177A6A" w:rsidRDefault="00177A6A" w:rsidP="00177A6A">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Change</w:t>
            </w:r>
          </w:p>
        </w:tc>
      </w:tr>
      <w:tr w:rsidR="00177A6A" w:rsidRPr="00177A6A" w:rsidTr="00177A6A">
        <w:trPr>
          <w:trHeight w:val="300"/>
        </w:trPr>
        <w:tc>
          <w:tcPr>
            <w:tcW w:w="2564" w:type="dxa"/>
            <w:tcBorders>
              <w:top w:val="nil"/>
              <w:left w:val="single" w:sz="4" w:space="0" w:color="FFFFFF"/>
              <w:bottom w:val="nil"/>
              <w:right w:val="nil"/>
            </w:tcBorders>
            <w:shd w:val="clear" w:color="000000" w:fill="49723B"/>
            <w:noWrap/>
            <w:vAlign w:val="bottom"/>
            <w:hideMark/>
          </w:tcPr>
          <w:p w:rsidR="00177A6A" w:rsidRPr="00177A6A" w:rsidRDefault="00177A6A" w:rsidP="00177A6A">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 </w:t>
            </w:r>
          </w:p>
        </w:tc>
        <w:tc>
          <w:tcPr>
            <w:tcW w:w="1084" w:type="dxa"/>
            <w:tcBorders>
              <w:top w:val="nil"/>
              <w:left w:val="single" w:sz="4" w:space="0" w:color="auto"/>
              <w:bottom w:val="nil"/>
              <w:right w:val="single" w:sz="4" w:space="0" w:color="FFFFFF"/>
            </w:tcBorders>
            <w:shd w:val="clear" w:color="000000" w:fill="49723B"/>
            <w:noWrap/>
            <w:vAlign w:val="bottom"/>
            <w:hideMark/>
          </w:tcPr>
          <w:p w:rsidR="00177A6A" w:rsidRPr="00177A6A" w:rsidRDefault="00177A6A" w:rsidP="00177A6A">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Female</w:t>
            </w:r>
          </w:p>
        </w:tc>
        <w:tc>
          <w:tcPr>
            <w:tcW w:w="774" w:type="dxa"/>
            <w:tcBorders>
              <w:top w:val="nil"/>
              <w:left w:val="nil"/>
              <w:bottom w:val="nil"/>
              <w:right w:val="single" w:sz="4" w:space="0" w:color="auto"/>
            </w:tcBorders>
            <w:shd w:val="clear" w:color="000000" w:fill="49723B"/>
            <w:noWrap/>
            <w:vAlign w:val="bottom"/>
            <w:hideMark/>
          </w:tcPr>
          <w:p w:rsidR="00177A6A" w:rsidRPr="00177A6A" w:rsidRDefault="00177A6A" w:rsidP="00177A6A">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Male</w:t>
            </w:r>
          </w:p>
        </w:tc>
        <w:tc>
          <w:tcPr>
            <w:tcW w:w="744" w:type="dxa"/>
            <w:tcBorders>
              <w:top w:val="nil"/>
              <w:left w:val="nil"/>
              <w:bottom w:val="nil"/>
              <w:right w:val="single" w:sz="4" w:space="0" w:color="FFFFFF"/>
            </w:tcBorders>
            <w:shd w:val="clear" w:color="000000" w:fill="49723B"/>
            <w:noWrap/>
            <w:vAlign w:val="bottom"/>
            <w:hideMark/>
          </w:tcPr>
          <w:p w:rsidR="00177A6A" w:rsidRPr="00177A6A" w:rsidRDefault="00177A6A" w:rsidP="00177A6A">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LYA</w:t>
            </w:r>
          </w:p>
        </w:tc>
        <w:tc>
          <w:tcPr>
            <w:tcW w:w="1084" w:type="dxa"/>
            <w:tcBorders>
              <w:top w:val="nil"/>
              <w:left w:val="nil"/>
              <w:bottom w:val="nil"/>
              <w:right w:val="single" w:sz="4" w:space="0" w:color="FFFFFF"/>
            </w:tcBorders>
            <w:shd w:val="clear" w:color="000000" w:fill="49723B"/>
            <w:noWrap/>
            <w:vAlign w:val="bottom"/>
            <w:hideMark/>
          </w:tcPr>
          <w:p w:rsidR="00177A6A" w:rsidRPr="00177A6A" w:rsidRDefault="00177A6A" w:rsidP="00177A6A">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Female</w:t>
            </w:r>
          </w:p>
        </w:tc>
        <w:tc>
          <w:tcPr>
            <w:tcW w:w="774" w:type="dxa"/>
            <w:tcBorders>
              <w:top w:val="nil"/>
              <w:left w:val="nil"/>
              <w:bottom w:val="nil"/>
              <w:right w:val="single" w:sz="4" w:space="0" w:color="auto"/>
            </w:tcBorders>
            <w:shd w:val="clear" w:color="000000" w:fill="49723B"/>
            <w:noWrap/>
            <w:vAlign w:val="bottom"/>
            <w:hideMark/>
          </w:tcPr>
          <w:p w:rsidR="00177A6A" w:rsidRPr="00177A6A" w:rsidRDefault="00177A6A" w:rsidP="00177A6A">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Male</w:t>
            </w:r>
          </w:p>
        </w:tc>
        <w:tc>
          <w:tcPr>
            <w:tcW w:w="1084" w:type="dxa"/>
            <w:tcBorders>
              <w:top w:val="nil"/>
              <w:left w:val="nil"/>
              <w:bottom w:val="nil"/>
              <w:right w:val="single" w:sz="4" w:space="0" w:color="FFFFFF"/>
            </w:tcBorders>
            <w:shd w:val="clear" w:color="000000" w:fill="49723B"/>
            <w:noWrap/>
            <w:vAlign w:val="bottom"/>
            <w:hideMark/>
          </w:tcPr>
          <w:p w:rsidR="00177A6A" w:rsidRPr="00177A6A" w:rsidRDefault="00177A6A" w:rsidP="00177A6A">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Female</w:t>
            </w:r>
          </w:p>
        </w:tc>
        <w:tc>
          <w:tcPr>
            <w:tcW w:w="774" w:type="dxa"/>
            <w:tcBorders>
              <w:top w:val="nil"/>
              <w:left w:val="nil"/>
              <w:bottom w:val="nil"/>
              <w:right w:val="single" w:sz="4" w:space="0" w:color="auto"/>
            </w:tcBorders>
            <w:shd w:val="clear" w:color="000000" w:fill="49723B"/>
            <w:noWrap/>
            <w:vAlign w:val="bottom"/>
            <w:hideMark/>
          </w:tcPr>
          <w:p w:rsidR="00177A6A" w:rsidRPr="00177A6A" w:rsidRDefault="00177A6A" w:rsidP="00177A6A">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Male</w:t>
            </w:r>
          </w:p>
        </w:tc>
      </w:tr>
      <w:tr w:rsidR="00177A6A" w:rsidRPr="00177A6A" w:rsidTr="00177A6A">
        <w:trPr>
          <w:trHeight w:val="300"/>
        </w:trPr>
        <w:tc>
          <w:tcPr>
            <w:tcW w:w="2564" w:type="dxa"/>
            <w:tcBorders>
              <w:top w:val="single" w:sz="4" w:space="0" w:color="auto"/>
              <w:left w:val="single" w:sz="4" w:space="0" w:color="auto"/>
              <w:bottom w:val="single" w:sz="4" w:space="0" w:color="FFFFFF"/>
              <w:right w:val="nil"/>
            </w:tcBorders>
            <w:shd w:val="clear" w:color="000000" w:fill="49723B"/>
            <w:noWrap/>
            <w:vAlign w:val="bottom"/>
            <w:hideMark/>
          </w:tcPr>
          <w:p w:rsidR="00177A6A" w:rsidRPr="00177A6A" w:rsidRDefault="00177A6A" w:rsidP="00177A6A">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Western Africa</w:t>
            </w:r>
          </w:p>
        </w:tc>
        <w:tc>
          <w:tcPr>
            <w:tcW w:w="1084" w:type="dxa"/>
            <w:tcBorders>
              <w:top w:val="single" w:sz="4" w:space="0" w:color="auto"/>
              <w:left w:val="single" w:sz="4" w:space="0" w:color="auto"/>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 </w:t>
            </w:r>
          </w:p>
        </w:tc>
        <w:tc>
          <w:tcPr>
            <w:tcW w:w="774" w:type="dxa"/>
            <w:tcBorders>
              <w:top w:val="single" w:sz="4" w:space="0" w:color="auto"/>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 </w:t>
            </w:r>
          </w:p>
        </w:tc>
        <w:tc>
          <w:tcPr>
            <w:tcW w:w="744" w:type="dxa"/>
            <w:tcBorders>
              <w:top w:val="single" w:sz="4" w:space="0" w:color="auto"/>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 </w:t>
            </w:r>
          </w:p>
        </w:tc>
        <w:tc>
          <w:tcPr>
            <w:tcW w:w="1084" w:type="dxa"/>
            <w:tcBorders>
              <w:top w:val="single" w:sz="4" w:space="0" w:color="auto"/>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 </w:t>
            </w:r>
          </w:p>
        </w:tc>
        <w:tc>
          <w:tcPr>
            <w:tcW w:w="774" w:type="dxa"/>
            <w:tcBorders>
              <w:top w:val="single" w:sz="4" w:space="0" w:color="auto"/>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 </w:t>
            </w:r>
          </w:p>
        </w:tc>
        <w:tc>
          <w:tcPr>
            <w:tcW w:w="1084" w:type="dxa"/>
            <w:tcBorders>
              <w:top w:val="single" w:sz="4" w:space="0" w:color="auto"/>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 </w:t>
            </w:r>
          </w:p>
        </w:tc>
        <w:tc>
          <w:tcPr>
            <w:tcW w:w="774" w:type="dxa"/>
            <w:tcBorders>
              <w:top w:val="single" w:sz="4" w:space="0" w:color="auto"/>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 </w:t>
            </w:r>
          </w:p>
        </w:tc>
      </w:tr>
      <w:tr w:rsidR="00177A6A" w:rsidRPr="00177A6A" w:rsidTr="00177A6A">
        <w:trPr>
          <w:trHeight w:val="300"/>
        </w:trPr>
        <w:tc>
          <w:tcPr>
            <w:tcW w:w="2564" w:type="dxa"/>
            <w:tcBorders>
              <w:top w:val="nil"/>
              <w:left w:val="single" w:sz="4" w:space="0" w:color="auto"/>
              <w:bottom w:val="single" w:sz="4" w:space="0" w:color="FFFFFF"/>
              <w:right w:val="nil"/>
            </w:tcBorders>
            <w:shd w:val="clear" w:color="000000" w:fill="49723B"/>
            <w:noWrap/>
            <w:vAlign w:val="bottom"/>
            <w:hideMark/>
          </w:tcPr>
          <w:p w:rsidR="00177A6A" w:rsidRPr="00177A6A" w:rsidRDefault="00177A6A" w:rsidP="00177A6A">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Cote d'Ivoire</w:t>
            </w:r>
          </w:p>
        </w:tc>
        <w:tc>
          <w:tcPr>
            <w:tcW w:w="1084" w:type="dxa"/>
            <w:tcBorders>
              <w:top w:val="nil"/>
              <w:left w:val="single" w:sz="4" w:space="0" w:color="auto"/>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13</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26</w:t>
            </w:r>
          </w:p>
        </w:tc>
        <w:tc>
          <w:tcPr>
            <w:tcW w:w="74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2016</w:t>
            </w:r>
          </w:p>
        </w:tc>
        <w:tc>
          <w:tcPr>
            <w:tcW w:w="108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12</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27</w:t>
            </w:r>
          </w:p>
        </w:tc>
        <w:tc>
          <w:tcPr>
            <w:tcW w:w="108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-1</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1</w:t>
            </w:r>
          </w:p>
        </w:tc>
      </w:tr>
      <w:tr w:rsidR="00177A6A" w:rsidRPr="00177A6A" w:rsidTr="00177A6A">
        <w:trPr>
          <w:trHeight w:val="300"/>
        </w:trPr>
        <w:tc>
          <w:tcPr>
            <w:tcW w:w="2564" w:type="dxa"/>
            <w:tcBorders>
              <w:top w:val="nil"/>
              <w:left w:val="single" w:sz="4" w:space="0" w:color="auto"/>
              <w:bottom w:val="single" w:sz="4" w:space="0" w:color="FFFFFF"/>
              <w:right w:val="nil"/>
            </w:tcBorders>
            <w:shd w:val="clear" w:color="000000" w:fill="49723B"/>
            <w:noWrap/>
            <w:vAlign w:val="bottom"/>
            <w:hideMark/>
          </w:tcPr>
          <w:p w:rsidR="00177A6A" w:rsidRPr="00177A6A" w:rsidRDefault="00177A6A" w:rsidP="00177A6A">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Gambia</w:t>
            </w:r>
          </w:p>
        </w:tc>
        <w:tc>
          <w:tcPr>
            <w:tcW w:w="1084" w:type="dxa"/>
            <w:tcBorders>
              <w:top w:val="nil"/>
              <w:left w:val="single" w:sz="4" w:space="0" w:color="auto"/>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27</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39</w:t>
            </w:r>
          </w:p>
        </w:tc>
        <w:tc>
          <w:tcPr>
            <w:tcW w:w="74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2018</w:t>
            </w:r>
          </w:p>
        </w:tc>
        <w:tc>
          <w:tcPr>
            <w:tcW w:w="108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39</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39</w:t>
            </w:r>
          </w:p>
        </w:tc>
        <w:tc>
          <w:tcPr>
            <w:tcW w:w="108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12</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0</w:t>
            </w:r>
          </w:p>
        </w:tc>
      </w:tr>
      <w:tr w:rsidR="00177A6A" w:rsidRPr="00177A6A" w:rsidTr="00177A6A">
        <w:trPr>
          <w:trHeight w:val="300"/>
        </w:trPr>
        <w:tc>
          <w:tcPr>
            <w:tcW w:w="2564" w:type="dxa"/>
            <w:tcBorders>
              <w:top w:val="nil"/>
              <w:left w:val="single" w:sz="4" w:space="0" w:color="auto"/>
              <w:bottom w:val="single" w:sz="4" w:space="0" w:color="FFFFFF"/>
              <w:right w:val="nil"/>
            </w:tcBorders>
            <w:shd w:val="clear" w:color="000000" w:fill="49723B"/>
            <w:noWrap/>
            <w:vAlign w:val="bottom"/>
            <w:hideMark/>
          </w:tcPr>
          <w:p w:rsidR="00177A6A" w:rsidRPr="00177A6A" w:rsidRDefault="00177A6A" w:rsidP="00177A6A">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Ghana</w:t>
            </w:r>
          </w:p>
        </w:tc>
        <w:tc>
          <w:tcPr>
            <w:tcW w:w="1084" w:type="dxa"/>
            <w:tcBorders>
              <w:top w:val="nil"/>
              <w:left w:val="single" w:sz="4" w:space="0" w:color="auto"/>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37</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45</w:t>
            </w:r>
          </w:p>
        </w:tc>
        <w:tc>
          <w:tcPr>
            <w:tcW w:w="74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2018</w:t>
            </w:r>
          </w:p>
        </w:tc>
        <w:tc>
          <w:tcPr>
            <w:tcW w:w="108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55</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63</w:t>
            </w:r>
          </w:p>
        </w:tc>
        <w:tc>
          <w:tcPr>
            <w:tcW w:w="108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18</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18</w:t>
            </w:r>
          </w:p>
        </w:tc>
      </w:tr>
      <w:tr w:rsidR="00177A6A" w:rsidRPr="00177A6A" w:rsidTr="00177A6A">
        <w:trPr>
          <w:trHeight w:val="300"/>
        </w:trPr>
        <w:tc>
          <w:tcPr>
            <w:tcW w:w="2564" w:type="dxa"/>
            <w:tcBorders>
              <w:top w:val="nil"/>
              <w:left w:val="single" w:sz="4" w:space="0" w:color="auto"/>
              <w:bottom w:val="single" w:sz="4" w:space="0" w:color="FFFFFF"/>
              <w:right w:val="nil"/>
            </w:tcBorders>
            <w:shd w:val="clear" w:color="000000" w:fill="49723B"/>
            <w:noWrap/>
            <w:vAlign w:val="bottom"/>
            <w:hideMark/>
          </w:tcPr>
          <w:p w:rsidR="00177A6A" w:rsidRPr="00177A6A" w:rsidRDefault="00177A6A" w:rsidP="00177A6A">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Guinea</w:t>
            </w:r>
          </w:p>
        </w:tc>
        <w:tc>
          <w:tcPr>
            <w:tcW w:w="1084" w:type="dxa"/>
            <w:tcBorders>
              <w:top w:val="nil"/>
              <w:left w:val="single" w:sz="4" w:space="0" w:color="auto"/>
              <w:bottom w:val="single" w:sz="4" w:space="0" w:color="FFFFFF"/>
              <w:right w:val="single" w:sz="4" w:space="0" w:color="FFFFFF"/>
            </w:tcBorders>
            <w:shd w:val="clear" w:color="000000" w:fill="EFEAE6"/>
            <w:noWrap/>
            <w:vAlign w:val="bottom"/>
            <w:hideMark/>
          </w:tcPr>
          <w:p w:rsidR="00177A6A" w:rsidRPr="00177A6A" w:rsidRDefault="00DF3AA4"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N</w:t>
            </w:r>
            <w:r w:rsidR="00177A6A" w:rsidRPr="00177A6A">
              <w:rPr>
                <w:rFonts w:ascii="Calibri" w:eastAsia="Times New Roman" w:hAnsi="Calibri" w:cs="Calibri"/>
                <w:color w:val="000000"/>
                <w:lang w:eastAsia="en-GB"/>
              </w:rPr>
              <w:t>a</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na</w:t>
            </w:r>
          </w:p>
        </w:tc>
        <w:tc>
          <w:tcPr>
            <w:tcW w:w="74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2018</w:t>
            </w:r>
          </w:p>
        </w:tc>
        <w:tc>
          <w:tcPr>
            <w:tcW w:w="108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8</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31</w:t>
            </w:r>
          </w:p>
        </w:tc>
        <w:tc>
          <w:tcPr>
            <w:tcW w:w="108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C34AC3"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N</w:t>
            </w:r>
            <w:r w:rsidR="00177A6A" w:rsidRPr="00177A6A">
              <w:rPr>
                <w:rFonts w:ascii="Calibri" w:eastAsia="Times New Roman" w:hAnsi="Calibri" w:cs="Calibri"/>
                <w:color w:val="000000"/>
                <w:lang w:eastAsia="en-GB"/>
              </w:rPr>
              <w:t>a</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C64CFF"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N</w:t>
            </w:r>
            <w:r w:rsidR="00177A6A" w:rsidRPr="00177A6A">
              <w:rPr>
                <w:rFonts w:ascii="Calibri" w:eastAsia="Times New Roman" w:hAnsi="Calibri" w:cs="Calibri"/>
                <w:color w:val="000000"/>
                <w:lang w:eastAsia="en-GB"/>
              </w:rPr>
              <w:t>a</w:t>
            </w:r>
          </w:p>
        </w:tc>
      </w:tr>
      <w:tr w:rsidR="00177A6A" w:rsidRPr="00177A6A" w:rsidTr="00177A6A">
        <w:trPr>
          <w:trHeight w:val="300"/>
        </w:trPr>
        <w:tc>
          <w:tcPr>
            <w:tcW w:w="2564" w:type="dxa"/>
            <w:tcBorders>
              <w:top w:val="nil"/>
              <w:left w:val="single" w:sz="4" w:space="0" w:color="auto"/>
              <w:bottom w:val="single" w:sz="4" w:space="0" w:color="FFFFFF"/>
              <w:right w:val="nil"/>
            </w:tcBorders>
            <w:shd w:val="clear" w:color="000000" w:fill="49723B"/>
            <w:noWrap/>
            <w:vAlign w:val="bottom"/>
            <w:hideMark/>
          </w:tcPr>
          <w:p w:rsidR="00177A6A" w:rsidRPr="00177A6A" w:rsidRDefault="00177A6A" w:rsidP="00177A6A">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Guinea Bissau</w:t>
            </w:r>
          </w:p>
        </w:tc>
        <w:tc>
          <w:tcPr>
            <w:tcW w:w="1084" w:type="dxa"/>
            <w:tcBorders>
              <w:top w:val="nil"/>
              <w:left w:val="single" w:sz="4" w:space="0" w:color="auto"/>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4</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22</w:t>
            </w:r>
          </w:p>
        </w:tc>
        <w:tc>
          <w:tcPr>
            <w:tcW w:w="74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2014</w:t>
            </w:r>
          </w:p>
        </w:tc>
        <w:tc>
          <w:tcPr>
            <w:tcW w:w="108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13</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35</w:t>
            </w:r>
          </w:p>
        </w:tc>
        <w:tc>
          <w:tcPr>
            <w:tcW w:w="108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9</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13</w:t>
            </w:r>
          </w:p>
        </w:tc>
      </w:tr>
      <w:tr w:rsidR="00177A6A" w:rsidRPr="00177A6A" w:rsidTr="00177A6A">
        <w:trPr>
          <w:trHeight w:val="300"/>
        </w:trPr>
        <w:tc>
          <w:tcPr>
            <w:tcW w:w="2564" w:type="dxa"/>
            <w:tcBorders>
              <w:top w:val="nil"/>
              <w:left w:val="single" w:sz="4" w:space="0" w:color="auto"/>
              <w:bottom w:val="single" w:sz="4" w:space="0" w:color="FFFFFF"/>
              <w:right w:val="nil"/>
            </w:tcBorders>
            <w:shd w:val="clear" w:color="000000" w:fill="49723B"/>
            <w:noWrap/>
            <w:vAlign w:val="bottom"/>
            <w:hideMark/>
          </w:tcPr>
          <w:p w:rsidR="00177A6A" w:rsidRPr="00177A6A" w:rsidRDefault="00177A6A" w:rsidP="00177A6A">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Mali</w:t>
            </w:r>
          </w:p>
        </w:tc>
        <w:tc>
          <w:tcPr>
            <w:tcW w:w="1084" w:type="dxa"/>
            <w:tcBorders>
              <w:top w:val="nil"/>
              <w:left w:val="single" w:sz="4" w:space="0" w:color="auto"/>
              <w:bottom w:val="single" w:sz="4" w:space="0" w:color="FFFFFF"/>
              <w:right w:val="single" w:sz="4" w:space="0" w:color="FFFFFF"/>
            </w:tcBorders>
            <w:shd w:val="clear" w:color="000000" w:fill="EFEAE6"/>
            <w:noWrap/>
            <w:vAlign w:val="bottom"/>
            <w:hideMark/>
          </w:tcPr>
          <w:p w:rsidR="00177A6A" w:rsidRPr="00177A6A" w:rsidRDefault="00DF3AA4"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N</w:t>
            </w:r>
            <w:r w:rsidR="00177A6A" w:rsidRPr="00177A6A">
              <w:rPr>
                <w:rFonts w:ascii="Calibri" w:eastAsia="Times New Roman" w:hAnsi="Calibri" w:cs="Calibri"/>
                <w:color w:val="000000"/>
                <w:lang w:eastAsia="en-GB"/>
              </w:rPr>
              <w:t>a</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na</w:t>
            </w:r>
          </w:p>
        </w:tc>
        <w:tc>
          <w:tcPr>
            <w:tcW w:w="74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2015</w:t>
            </w:r>
          </w:p>
        </w:tc>
        <w:tc>
          <w:tcPr>
            <w:tcW w:w="108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7</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24</w:t>
            </w:r>
          </w:p>
        </w:tc>
        <w:tc>
          <w:tcPr>
            <w:tcW w:w="108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C34AC3"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N</w:t>
            </w:r>
            <w:r w:rsidR="00177A6A" w:rsidRPr="00177A6A">
              <w:rPr>
                <w:rFonts w:ascii="Calibri" w:eastAsia="Times New Roman" w:hAnsi="Calibri" w:cs="Calibri"/>
                <w:color w:val="000000"/>
                <w:lang w:eastAsia="en-GB"/>
              </w:rPr>
              <w:t>a</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C64CFF"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N</w:t>
            </w:r>
            <w:r w:rsidR="00177A6A" w:rsidRPr="00177A6A">
              <w:rPr>
                <w:rFonts w:ascii="Calibri" w:eastAsia="Times New Roman" w:hAnsi="Calibri" w:cs="Calibri"/>
                <w:color w:val="000000"/>
                <w:lang w:eastAsia="en-GB"/>
              </w:rPr>
              <w:t>a</w:t>
            </w:r>
          </w:p>
        </w:tc>
      </w:tr>
      <w:tr w:rsidR="00177A6A" w:rsidRPr="00177A6A" w:rsidTr="00177A6A">
        <w:trPr>
          <w:trHeight w:val="300"/>
        </w:trPr>
        <w:tc>
          <w:tcPr>
            <w:tcW w:w="2564" w:type="dxa"/>
            <w:tcBorders>
              <w:top w:val="nil"/>
              <w:left w:val="single" w:sz="4" w:space="0" w:color="auto"/>
              <w:bottom w:val="single" w:sz="4" w:space="0" w:color="auto"/>
              <w:right w:val="nil"/>
            </w:tcBorders>
            <w:shd w:val="clear" w:color="000000" w:fill="49723B"/>
            <w:noWrap/>
            <w:vAlign w:val="bottom"/>
            <w:hideMark/>
          </w:tcPr>
          <w:p w:rsidR="00177A6A" w:rsidRPr="00177A6A" w:rsidRDefault="00177A6A" w:rsidP="00177A6A">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Sierra Leone</w:t>
            </w:r>
          </w:p>
        </w:tc>
        <w:tc>
          <w:tcPr>
            <w:tcW w:w="1084" w:type="dxa"/>
            <w:tcBorders>
              <w:top w:val="nil"/>
              <w:left w:val="single" w:sz="4" w:space="0" w:color="auto"/>
              <w:bottom w:val="single" w:sz="4" w:space="0" w:color="auto"/>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5</w:t>
            </w:r>
          </w:p>
        </w:tc>
        <w:tc>
          <w:tcPr>
            <w:tcW w:w="774" w:type="dxa"/>
            <w:tcBorders>
              <w:top w:val="nil"/>
              <w:left w:val="nil"/>
              <w:bottom w:val="single" w:sz="4" w:space="0" w:color="auto"/>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19</w:t>
            </w:r>
          </w:p>
        </w:tc>
        <w:tc>
          <w:tcPr>
            <w:tcW w:w="744" w:type="dxa"/>
            <w:tcBorders>
              <w:top w:val="nil"/>
              <w:left w:val="nil"/>
              <w:bottom w:val="single" w:sz="4" w:space="0" w:color="auto"/>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2017</w:t>
            </w:r>
          </w:p>
        </w:tc>
        <w:tc>
          <w:tcPr>
            <w:tcW w:w="1084" w:type="dxa"/>
            <w:tcBorders>
              <w:top w:val="nil"/>
              <w:left w:val="nil"/>
              <w:bottom w:val="single" w:sz="4" w:space="0" w:color="auto"/>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36</w:t>
            </w:r>
          </w:p>
        </w:tc>
        <w:tc>
          <w:tcPr>
            <w:tcW w:w="774" w:type="dxa"/>
            <w:tcBorders>
              <w:top w:val="nil"/>
              <w:left w:val="nil"/>
              <w:bottom w:val="single" w:sz="4" w:space="0" w:color="auto"/>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44</w:t>
            </w:r>
          </w:p>
        </w:tc>
        <w:tc>
          <w:tcPr>
            <w:tcW w:w="1084" w:type="dxa"/>
            <w:tcBorders>
              <w:top w:val="nil"/>
              <w:left w:val="nil"/>
              <w:bottom w:val="single" w:sz="4" w:space="0" w:color="auto"/>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31</w:t>
            </w:r>
          </w:p>
        </w:tc>
        <w:tc>
          <w:tcPr>
            <w:tcW w:w="774" w:type="dxa"/>
            <w:tcBorders>
              <w:top w:val="nil"/>
              <w:left w:val="nil"/>
              <w:bottom w:val="single" w:sz="4" w:space="0" w:color="auto"/>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25</w:t>
            </w:r>
          </w:p>
        </w:tc>
      </w:tr>
      <w:tr w:rsidR="00177A6A" w:rsidRPr="00177A6A" w:rsidTr="00177A6A">
        <w:trPr>
          <w:trHeight w:val="300"/>
        </w:trPr>
        <w:tc>
          <w:tcPr>
            <w:tcW w:w="2564" w:type="dxa"/>
            <w:tcBorders>
              <w:top w:val="nil"/>
              <w:left w:val="single" w:sz="4" w:space="0" w:color="FFFFFF"/>
              <w:bottom w:val="single" w:sz="4" w:space="0" w:color="FFFFFF"/>
              <w:right w:val="nil"/>
            </w:tcBorders>
            <w:shd w:val="clear" w:color="000000" w:fill="49723B"/>
            <w:noWrap/>
            <w:vAlign w:val="bottom"/>
            <w:hideMark/>
          </w:tcPr>
          <w:p w:rsidR="00177A6A" w:rsidRPr="00177A6A" w:rsidRDefault="00177A6A" w:rsidP="00177A6A">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Central Africa</w:t>
            </w:r>
          </w:p>
        </w:tc>
        <w:tc>
          <w:tcPr>
            <w:tcW w:w="1084" w:type="dxa"/>
            <w:tcBorders>
              <w:top w:val="nil"/>
              <w:left w:val="single" w:sz="4" w:space="0" w:color="auto"/>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 </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 </w:t>
            </w:r>
          </w:p>
        </w:tc>
        <w:tc>
          <w:tcPr>
            <w:tcW w:w="74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 </w:t>
            </w:r>
          </w:p>
        </w:tc>
        <w:tc>
          <w:tcPr>
            <w:tcW w:w="108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 </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 </w:t>
            </w:r>
          </w:p>
        </w:tc>
        <w:tc>
          <w:tcPr>
            <w:tcW w:w="108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 </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 </w:t>
            </w:r>
          </w:p>
        </w:tc>
      </w:tr>
      <w:tr w:rsidR="00177A6A" w:rsidRPr="00177A6A" w:rsidTr="00177A6A">
        <w:trPr>
          <w:trHeight w:val="300"/>
        </w:trPr>
        <w:tc>
          <w:tcPr>
            <w:tcW w:w="2564" w:type="dxa"/>
            <w:tcBorders>
              <w:top w:val="nil"/>
              <w:left w:val="single" w:sz="4" w:space="0" w:color="FFFFFF"/>
              <w:bottom w:val="single" w:sz="4" w:space="0" w:color="FFFFFF"/>
              <w:right w:val="nil"/>
            </w:tcBorders>
            <w:shd w:val="clear" w:color="000000" w:fill="49723B"/>
            <w:noWrap/>
            <w:vAlign w:val="bottom"/>
            <w:hideMark/>
          </w:tcPr>
          <w:p w:rsidR="00177A6A" w:rsidRPr="00177A6A" w:rsidRDefault="00177A6A" w:rsidP="00177A6A">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Congo</w:t>
            </w:r>
          </w:p>
        </w:tc>
        <w:tc>
          <w:tcPr>
            <w:tcW w:w="1084" w:type="dxa"/>
            <w:tcBorders>
              <w:top w:val="nil"/>
              <w:left w:val="single" w:sz="4" w:space="0" w:color="auto"/>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23</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45</w:t>
            </w:r>
          </w:p>
        </w:tc>
        <w:tc>
          <w:tcPr>
            <w:tcW w:w="74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2018</w:t>
            </w:r>
          </w:p>
        </w:tc>
        <w:tc>
          <w:tcPr>
            <w:tcW w:w="108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62</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79</w:t>
            </w:r>
          </w:p>
        </w:tc>
        <w:tc>
          <w:tcPr>
            <w:tcW w:w="108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39</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34</w:t>
            </w:r>
          </w:p>
        </w:tc>
      </w:tr>
      <w:tr w:rsidR="00177A6A" w:rsidRPr="00177A6A" w:rsidTr="00177A6A">
        <w:trPr>
          <w:trHeight w:val="300"/>
        </w:trPr>
        <w:tc>
          <w:tcPr>
            <w:tcW w:w="2564" w:type="dxa"/>
            <w:tcBorders>
              <w:top w:val="nil"/>
              <w:left w:val="single" w:sz="4" w:space="0" w:color="FFFFFF"/>
              <w:bottom w:val="single" w:sz="4" w:space="0" w:color="FFFFFF"/>
              <w:right w:val="nil"/>
            </w:tcBorders>
            <w:shd w:val="clear" w:color="000000" w:fill="49723B"/>
            <w:noWrap/>
            <w:vAlign w:val="bottom"/>
            <w:hideMark/>
          </w:tcPr>
          <w:p w:rsidR="00177A6A" w:rsidRPr="00177A6A" w:rsidRDefault="00177A6A" w:rsidP="00177A6A">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Congo-Brazzaville</w:t>
            </w:r>
          </w:p>
        </w:tc>
        <w:tc>
          <w:tcPr>
            <w:tcW w:w="1084" w:type="dxa"/>
            <w:tcBorders>
              <w:top w:val="nil"/>
              <w:left w:val="single" w:sz="4" w:space="0" w:color="auto"/>
              <w:bottom w:val="single" w:sz="4" w:space="0" w:color="FFFFFF"/>
              <w:right w:val="single" w:sz="4" w:space="0" w:color="FFFFFF"/>
            </w:tcBorders>
            <w:shd w:val="clear" w:color="000000" w:fill="EFEAE6"/>
            <w:noWrap/>
            <w:vAlign w:val="bottom"/>
            <w:hideMark/>
          </w:tcPr>
          <w:p w:rsidR="00177A6A" w:rsidRPr="00177A6A" w:rsidRDefault="00DF3AA4"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N</w:t>
            </w:r>
            <w:r w:rsidR="00177A6A" w:rsidRPr="00177A6A">
              <w:rPr>
                <w:rFonts w:ascii="Calibri" w:eastAsia="Times New Roman" w:hAnsi="Calibri" w:cs="Calibri"/>
                <w:color w:val="000000"/>
                <w:lang w:eastAsia="en-GB"/>
              </w:rPr>
              <w:t>a</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na</w:t>
            </w:r>
          </w:p>
        </w:tc>
        <w:tc>
          <w:tcPr>
            <w:tcW w:w="74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2015</w:t>
            </w:r>
          </w:p>
        </w:tc>
        <w:tc>
          <w:tcPr>
            <w:tcW w:w="108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49</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62</w:t>
            </w:r>
          </w:p>
        </w:tc>
        <w:tc>
          <w:tcPr>
            <w:tcW w:w="108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C34AC3"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N</w:t>
            </w:r>
            <w:r w:rsidR="00177A6A" w:rsidRPr="00177A6A">
              <w:rPr>
                <w:rFonts w:ascii="Calibri" w:eastAsia="Times New Roman" w:hAnsi="Calibri" w:cs="Calibri"/>
                <w:color w:val="000000"/>
                <w:lang w:eastAsia="en-GB"/>
              </w:rPr>
              <w:t>a</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C64CFF"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N</w:t>
            </w:r>
            <w:r w:rsidR="00177A6A" w:rsidRPr="00177A6A">
              <w:rPr>
                <w:rFonts w:ascii="Calibri" w:eastAsia="Times New Roman" w:hAnsi="Calibri" w:cs="Calibri"/>
                <w:color w:val="000000"/>
                <w:lang w:eastAsia="en-GB"/>
              </w:rPr>
              <w:t>a</w:t>
            </w:r>
          </w:p>
        </w:tc>
      </w:tr>
      <w:tr w:rsidR="00177A6A" w:rsidRPr="00177A6A" w:rsidTr="00177A6A">
        <w:trPr>
          <w:trHeight w:val="300"/>
        </w:trPr>
        <w:tc>
          <w:tcPr>
            <w:tcW w:w="2564" w:type="dxa"/>
            <w:tcBorders>
              <w:top w:val="nil"/>
              <w:left w:val="single" w:sz="4" w:space="0" w:color="FFFFFF"/>
              <w:bottom w:val="single" w:sz="4" w:space="0" w:color="FFFFFF"/>
              <w:right w:val="nil"/>
            </w:tcBorders>
            <w:shd w:val="clear" w:color="000000" w:fill="49723B"/>
            <w:noWrap/>
            <w:vAlign w:val="bottom"/>
            <w:hideMark/>
          </w:tcPr>
          <w:p w:rsidR="00177A6A" w:rsidRPr="00177A6A" w:rsidRDefault="00177A6A" w:rsidP="00177A6A">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Malawi</w:t>
            </w:r>
          </w:p>
        </w:tc>
        <w:tc>
          <w:tcPr>
            <w:tcW w:w="1084" w:type="dxa"/>
            <w:tcBorders>
              <w:top w:val="nil"/>
              <w:left w:val="single" w:sz="4" w:space="0" w:color="auto"/>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31</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28</w:t>
            </w:r>
          </w:p>
        </w:tc>
        <w:tc>
          <w:tcPr>
            <w:tcW w:w="74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2014</w:t>
            </w:r>
          </w:p>
        </w:tc>
        <w:tc>
          <w:tcPr>
            <w:tcW w:w="108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14</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25</w:t>
            </w:r>
          </w:p>
        </w:tc>
        <w:tc>
          <w:tcPr>
            <w:tcW w:w="108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-17</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-3</w:t>
            </w:r>
          </w:p>
        </w:tc>
      </w:tr>
      <w:tr w:rsidR="00177A6A" w:rsidRPr="00177A6A" w:rsidTr="00177A6A">
        <w:trPr>
          <w:trHeight w:val="300"/>
        </w:trPr>
        <w:tc>
          <w:tcPr>
            <w:tcW w:w="2564" w:type="dxa"/>
            <w:tcBorders>
              <w:top w:val="nil"/>
              <w:left w:val="single" w:sz="4" w:space="0" w:color="FFFFFF"/>
              <w:bottom w:val="single" w:sz="4" w:space="0" w:color="FFFFFF"/>
              <w:right w:val="nil"/>
            </w:tcBorders>
            <w:shd w:val="clear" w:color="000000" w:fill="49723B"/>
            <w:noWrap/>
            <w:vAlign w:val="bottom"/>
            <w:hideMark/>
          </w:tcPr>
          <w:p w:rsidR="00177A6A" w:rsidRPr="00177A6A" w:rsidRDefault="00177A6A" w:rsidP="00177A6A">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Eastern Africa</w:t>
            </w:r>
          </w:p>
        </w:tc>
        <w:tc>
          <w:tcPr>
            <w:tcW w:w="1084" w:type="dxa"/>
            <w:tcBorders>
              <w:top w:val="nil"/>
              <w:left w:val="single" w:sz="4" w:space="0" w:color="auto"/>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 </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 </w:t>
            </w:r>
          </w:p>
        </w:tc>
        <w:tc>
          <w:tcPr>
            <w:tcW w:w="74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 </w:t>
            </w:r>
          </w:p>
        </w:tc>
        <w:tc>
          <w:tcPr>
            <w:tcW w:w="108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 </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 </w:t>
            </w:r>
          </w:p>
        </w:tc>
        <w:tc>
          <w:tcPr>
            <w:tcW w:w="108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 </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 </w:t>
            </w:r>
          </w:p>
        </w:tc>
      </w:tr>
      <w:tr w:rsidR="00177A6A" w:rsidRPr="00177A6A" w:rsidTr="00177A6A">
        <w:trPr>
          <w:trHeight w:val="300"/>
        </w:trPr>
        <w:tc>
          <w:tcPr>
            <w:tcW w:w="2564" w:type="dxa"/>
            <w:tcBorders>
              <w:top w:val="nil"/>
              <w:left w:val="single" w:sz="4" w:space="0" w:color="FFFFFF"/>
              <w:bottom w:val="single" w:sz="4" w:space="0" w:color="FFFFFF"/>
              <w:right w:val="nil"/>
            </w:tcBorders>
            <w:shd w:val="clear" w:color="000000" w:fill="49723B"/>
            <w:noWrap/>
            <w:vAlign w:val="bottom"/>
            <w:hideMark/>
          </w:tcPr>
          <w:p w:rsidR="00177A6A" w:rsidRPr="00177A6A" w:rsidRDefault="00177A6A" w:rsidP="00177A6A">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Kenya</w:t>
            </w:r>
          </w:p>
        </w:tc>
        <w:tc>
          <w:tcPr>
            <w:tcW w:w="1084" w:type="dxa"/>
            <w:tcBorders>
              <w:top w:val="nil"/>
              <w:left w:val="single" w:sz="4" w:space="0" w:color="auto"/>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27</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30</w:t>
            </w:r>
          </w:p>
        </w:tc>
        <w:tc>
          <w:tcPr>
            <w:tcW w:w="74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2014</w:t>
            </w:r>
          </w:p>
        </w:tc>
        <w:tc>
          <w:tcPr>
            <w:tcW w:w="108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30</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48</w:t>
            </w:r>
          </w:p>
        </w:tc>
        <w:tc>
          <w:tcPr>
            <w:tcW w:w="108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3</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18</w:t>
            </w:r>
          </w:p>
        </w:tc>
      </w:tr>
      <w:tr w:rsidR="00177A6A" w:rsidRPr="00177A6A" w:rsidTr="00177A6A">
        <w:trPr>
          <w:trHeight w:val="300"/>
        </w:trPr>
        <w:tc>
          <w:tcPr>
            <w:tcW w:w="2564" w:type="dxa"/>
            <w:tcBorders>
              <w:top w:val="nil"/>
              <w:left w:val="single" w:sz="4" w:space="0" w:color="FFFFFF"/>
              <w:bottom w:val="single" w:sz="4" w:space="0" w:color="FFFFFF"/>
              <w:right w:val="nil"/>
            </w:tcBorders>
            <w:shd w:val="clear" w:color="000000" w:fill="49723B"/>
            <w:noWrap/>
            <w:vAlign w:val="bottom"/>
            <w:hideMark/>
          </w:tcPr>
          <w:p w:rsidR="00177A6A" w:rsidRPr="00177A6A" w:rsidRDefault="00177A6A" w:rsidP="00177A6A">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Madagascar</w:t>
            </w:r>
          </w:p>
        </w:tc>
        <w:tc>
          <w:tcPr>
            <w:tcW w:w="1084" w:type="dxa"/>
            <w:tcBorders>
              <w:top w:val="nil"/>
              <w:left w:val="single" w:sz="4" w:space="0" w:color="auto"/>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10</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13</w:t>
            </w:r>
          </w:p>
        </w:tc>
        <w:tc>
          <w:tcPr>
            <w:tcW w:w="74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2018</w:t>
            </w:r>
          </w:p>
        </w:tc>
        <w:tc>
          <w:tcPr>
            <w:tcW w:w="108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22</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26</w:t>
            </w:r>
          </w:p>
        </w:tc>
        <w:tc>
          <w:tcPr>
            <w:tcW w:w="108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12</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13</w:t>
            </w:r>
          </w:p>
        </w:tc>
      </w:tr>
      <w:tr w:rsidR="00177A6A" w:rsidRPr="00177A6A" w:rsidTr="00177A6A">
        <w:trPr>
          <w:trHeight w:val="300"/>
        </w:trPr>
        <w:tc>
          <w:tcPr>
            <w:tcW w:w="2564" w:type="dxa"/>
            <w:tcBorders>
              <w:top w:val="nil"/>
              <w:left w:val="single" w:sz="4" w:space="0" w:color="FFFFFF"/>
              <w:bottom w:val="single" w:sz="4" w:space="0" w:color="FFFFFF"/>
              <w:right w:val="nil"/>
            </w:tcBorders>
            <w:shd w:val="clear" w:color="000000" w:fill="49723B"/>
            <w:noWrap/>
            <w:vAlign w:val="bottom"/>
            <w:hideMark/>
          </w:tcPr>
          <w:p w:rsidR="00177A6A" w:rsidRPr="00177A6A" w:rsidRDefault="00177A6A" w:rsidP="00177A6A">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Mozambique</w:t>
            </w:r>
          </w:p>
        </w:tc>
        <w:tc>
          <w:tcPr>
            <w:tcW w:w="1084" w:type="dxa"/>
            <w:tcBorders>
              <w:top w:val="nil"/>
              <w:left w:val="single" w:sz="4" w:space="0" w:color="auto"/>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2</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4</w:t>
            </w:r>
          </w:p>
        </w:tc>
        <w:tc>
          <w:tcPr>
            <w:tcW w:w="74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2016</w:t>
            </w:r>
          </w:p>
        </w:tc>
        <w:tc>
          <w:tcPr>
            <w:tcW w:w="108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12</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20</w:t>
            </w:r>
          </w:p>
        </w:tc>
        <w:tc>
          <w:tcPr>
            <w:tcW w:w="108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10</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16</w:t>
            </w:r>
          </w:p>
        </w:tc>
      </w:tr>
      <w:tr w:rsidR="00177A6A" w:rsidRPr="00177A6A" w:rsidTr="00177A6A">
        <w:trPr>
          <w:trHeight w:val="300"/>
        </w:trPr>
        <w:tc>
          <w:tcPr>
            <w:tcW w:w="2564" w:type="dxa"/>
            <w:tcBorders>
              <w:top w:val="nil"/>
              <w:left w:val="single" w:sz="4" w:space="0" w:color="FFFFFF"/>
              <w:bottom w:val="nil"/>
              <w:right w:val="nil"/>
            </w:tcBorders>
            <w:shd w:val="clear" w:color="000000" w:fill="49723B"/>
            <w:noWrap/>
            <w:vAlign w:val="bottom"/>
            <w:hideMark/>
          </w:tcPr>
          <w:p w:rsidR="00177A6A" w:rsidRPr="00177A6A" w:rsidRDefault="00177A6A" w:rsidP="00177A6A">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Uganda</w:t>
            </w:r>
          </w:p>
        </w:tc>
        <w:tc>
          <w:tcPr>
            <w:tcW w:w="1084" w:type="dxa"/>
            <w:tcBorders>
              <w:top w:val="nil"/>
              <w:left w:val="single" w:sz="4" w:space="0" w:color="auto"/>
              <w:bottom w:val="nil"/>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15</w:t>
            </w:r>
          </w:p>
        </w:tc>
        <w:tc>
          <w:tcPr>
            <w:tcW w:w="774" w:type="dxa"/>
            <w:tcBorders>
              <w:top w:val="nil"/>
              <w:left w:val="nil"/>
              <w:bottom w:val="nil"/>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33</w:t>
            </w:r>
          </w:p>
        </w:tc>
        <w:tc>
          <w:tcPr>
            <w:tcW w:w="744" w:type="dxa"/>
            <w:tcBorders>
              <w:top w:val="nil"/>
              <w:left w:val="nil"/>
              <w:bottom w:val="nil"/>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2016</w:t>
            </w:r>
          </w:p>
        </w:tc>
        <w:tc>
          <w:tcPr>
            <w:tcW w:w="1084" w:type="dxa"/>
            <w:tcBorders>
              <w:top w:val="nil"/>
              <w:left w:val="nil"/>
              <w:bottom w:val="nil"/>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24</w:t>
            </w:r>
          </w:p>
        </w:tc>
        <w:tc>
          <w:tcPr>
            <w:tcW w:w="774" w:type="dxa"/>
            <w:tcBorders>
              <w:top w:val="nil"/>
              <w:left w:val="nil"/>
              <w:bottom w:val="nil"/>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37</w:t>
            </w:r>
          </w:p>
        </w:tc>
        <w:tc>
          <w:tcPr>
            <w:tcW w:w="1084" w:type="dxa"/>
            <w:tcBorders>
              <w:top w:val="nil"/>
              <w:left w:val="nil"/>
              <w:bottom w:val="nil"/>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9</w:t>
            </w:r>
          </w:p>
        </w:tc>
        <w:tc>
          <w:tcPr>
            <w:tcW w:w="774" w:type="dxa"/>
            <w:tcBorders>
              <w:top w:val="nil"/>
              <w:left w:val="nil"/>
              <w:bottom w:val="nil"/>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4</w:t>
            </w:r>
          </w:p>
        </w:tc>
      </w:tr>
      <w:tr w:rsidR="00177A6A" w:rsidRPr="00177A6A" w:rsidTr="00177A6A">
        <w:trPr>
          <w:trHeight w:val="300"/>
        </w:trPr>
        <w:tc>
          <w:tcPr>
            <w:tcW w:w="2564" w:type="dxa"/>
            <w:tcBorders>
              <w:top w:val="single" w:sz="4" w:space="0" w:color="auto"/>
              <w:left w:val="single" w:sz="4" w:space="0" w:color="auto"/>
              <w:bottom w:val="single" w:sz="4" w:space="0" w:color="FFFFFF"/>
              <w:right w:val="nil"/>
            </w:tcBorders>
            <w:shd w:val="clear" w:color="000000" w:fill="49723B"/>
            <w:noWrap/>
            <w:vAlign w:val="bottom"/>
            <w:hideMark/>
          </w:tcPr>
          <w:p w:rsidR="00177A6A" w:rsidRPr="00177A6A" w:rsidRDefault="00177A6A" w:rsidP="00177A6A">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Southern Africa</w:t>
            </w:r>
          </w:p>
        </w:tc>
        <w:tc>
          <w:tcPr>
            <w:tcW w:w="1084" w:type="dxa"/>
            <w:tcBorders>
              <w:top w:val="single" w:sz="4" w:space="0" w:color="auto"/>
              <w:left w:val="single" w:sz="4" w:space="0" w:color="auto"/>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 </w:t>
            </w:r>
          </w:p>
        </w:tc>
        <w:tc>
          <w:tcPr>
            <w:tcW w:w="774" w:type="dxa"/>
            <w:tcBorders>
              <w:top w:val="single" w:sz="4" w:space="0" w:color="auto"/>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 </w:t>
            </w:r>
          </w:p>
        </w:tc>
        <w:tc>
          <w:tcPr>
            <w:tcW w:w="744" w:type="dxa"/>
            <w:tcBorders>
              <w:top w:val="single" w:sz="4" w:space="0" w:color="auto"/>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 </w:t>
            </w:r>
          </w:p>
        </w:tc>
        <w:tc>
          <w:tcPr>
            <w:tcW w:w="1084" w:type="dxa"/>
            <w:tcBorders>
              <w:top w:val="single" w:sz="4" w:space="0" w:color="auto"/>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 </w:t>
            </w:r>
          </w:p>
        </w:tc>
        <w:tc>
          <w:tcPr>
            <w:tcW w:w="774" w:type="dxa"/>
            <w:tcBorders>
              <w:top w:val="single" w:sz="4" w:space="0" w:color="auto"/>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 </w:t>
            </w:r>
          </w:p>
        </w:tc>
        <w:tc>
          <w:tcPr>
            <w:tcW w:w="1084" w:type="dxa"/>
            <w:tcBorders>
              <w:top w:val="single" w:sz="4" w:space="0" w:color="auto"/>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 </w:t>
            </w:r>
          </w:p>
        </w:tc>
        <w:tc>
          <w:tcPr>
            <w:tcW w:w="774" w:type="dxa"/>
            <w:tcBorders>
              <w:top w:val="single" w:sz="4" w:space="0" w:color="auto"/>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 </w:t>
            </w:r>
          </w:p>
        </w:tc>
      </w:tr>
      <w:tr w:rsidR="00177A6A" w:rsidRPr="00177A6A" w:rsidTr="00177A6A">
        <w:trPr>
          <w:trHeight w:val="300"/>
        </w:trPr>
        <w:tc>
          <w:tcPr>
            <w:tcW w:w="2564" w:type="dxa"/>
            <w:tcBorders>
              <w:top w:val="nil"/>
              <w:left w:val="single" w:sz="4" w:space="0" w:color="auto"/>
              <w:bottom w:val="single" w:sz="4" w:space="0" w:color="FFFFFF"/>
              <w:right w:val="nil"/>
            </w:tcBorders>
            <w:shd w:val="clear" w:color="000000" w:fill="49723B"/>
            <w:noWrap/>
            <w:vAlign w:val="bottom"/>
            <w:hideMark/>
          </w:tcPr>
          <w:p w:rsidR="00177A6A" w:rsidRPr="00177A6A" w:rsidRDefault="00177A6A" w:rsidP="00177A6A">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Lesotho</w:t>
            </w:r>
          </w:p>
        </w:tc>
        <w:tc>
          <w:tcPr>
            <w:tcW w:w="1084" w:type="dxa"/>
            <w:tcBorders>
              <w:top w:val="nil"/>
              <w:left w:val="single" w:sz="4" w:space="0" w:color="auto"/>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50</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24</w:t>
            </w:r>
          </w:p>
        </w:tc>
        <w:tc>
          <w:tcPr>
            <w:tcW w:w="74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2018</w:t>
            </w:r>
          </w:p>
        </w:tc>
        <w:tc>
          <w:tcPr>
            <w:tcW w:w="108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83</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42</w:t>
            </w:r>
          </w:p>
        </w:tc>
        <w:tc>
          <w:tcPr>
            <w:tcW w:w="108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33</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18</w:t>
            </w:r>
          </w:p>
        </w:tc>
      </w:tr>
      <w:tr w:rsidR="00177A6A" w:rsidRPr="00177A6A" w:rsidTr="00462DBF">
        <w:trPr>
          <w:trHeight w:val="167"/>
        </w:trPr>
        <w:tc>
          <w:tcPr>
            <w:tcW w:w="2564" w:type="dxa"/>
            <w:tcBorders>
              <w:top w:val="nil"/>
              <w:left w:val="single" w:sz="4" w:space="0" w:color="auto"/>
              <w:bottom w:val="single" w:sz="4" w:space="0" w:color="FFFFFF"/>
              <w:right w:val="nil"/>
            </w:tcBorders>
            <w:shd w:val="clear" w:color="000000" w:fill="49723B"/>
            <w:noWrap/>
            <w:vAlign w:val="bottom"/>
            <w:hideMark/>
          </w:tcPr>
          <w:p w:rsidR="00177A6A" w:rsidRPr="00177A6A" w:rsidRDefault="00177A6A" w:rsidP="00177A6A">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Swaziland</w:t>
            </w:r>
          </w:p>
        </w:tc>
        <w:tc>
          <w:tcPr>
            <w:tcW w:w="1084" w:type="dxa"/>
            <w:tcBorders>
              <w:top w:val="nil"/>
              <w:left w:val="single" w:sz="4" w:space="0" w:color="auto"/>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59</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47</w:t>
            </w:r>
          </w:p>
        </w:tc>
        <w:tc>
          <w:tcPr>
            <w:tcW w:w="74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2016</w:t>
            </w:r>
          </w:p>
        </w:tc>
        <w:tc>
          <w:tcPr>
            <w:tcW w:w="108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71</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66</w:t>
            </w:r>
          </w:p>
        </w:tc>
        <w:tc>
          <w:tcPr>
            <w:tcW w:w="108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12</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19</w:t>
            </w:r>
          </w:p>
        </w:tc>
      </w:tr>
      <w:tr w:rsidR="00177A6A" w:rsidRPr="00177A6A" w:rsidTr="00177A6A">
        <w:trPr>
          <w:trHeight w:val="300"/>
        </w:trPr>
        <w:tc>
          <w:tcPr>
            <w:tcW w:w="2564" w:type="dxa"/>
            <w:tcBorders>
              <w:top w:val="nil"/>
              <w:left w:val="single" w:sz="4" w:space="0" w:color="auto"/>
              <w:bottom w:val="single" w:sz="4" w:space="0" w:color="FFFFFF"/>
              <w:right w:val="nil"/>
            </w:tcBorders>
            <w:shd w:val="clear" w:color="000000" w:fill="49723B"/>
            <w:noWrap/>
            <w:vAlign w:val="bottom"/>
            <w:hideMark/>
          </w:tcPr>
          <w:p w:rsidR="00177A6A" w:rsidRPr="00177A6A" w:rsidRDefault="00177A6A" w:rsidP="00177A6A">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Zambia</w:t>
            </w:r>
          </w:p>
        </w:tc>
        <w:tc>
          <w:tcPr>
            <w:tcW w:w="1084" w:type="dxa"/>
            <w:tcBorders>
              <w:top w:val="nil"/>
              <w:left w:val="single" w:sz="4" w:space="0" w:color="auto"/>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37</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65</w:t>
            </w:r>
          </w:p>
        </w:tc>
        <w:tc>
          <w:tcPr>
            <w:tcW w:w="74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2016</w:t>
            </w:r>
          </w:p>
        </w:tc>
        <w:tc>
          <w:tcPr>
            <w:tcW w:w="108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38</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50</w:t>
            </w:r>
          </w:p>
        </w:tc>
        <w:tc>
          <w:tcPr>
            <w:tcW w:w="1084" w:type="dxa"/>
            <w:tcBorders>
              <w:top w:val="nil"/>
              <w:left w:val="nil"/>
              <w:bottom w:val="single" w:sz="4" w:space="0" w:color="FFFFFF"/>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1</w:t>
            </w:r>
          </w:p>
        </w:tc>
        <w:tc>
          <w:tcPr>
            <w:tcW w:w="774" w:type="dxa"/>
            <w:tcBorders>
              <w:top w:val="nil"/>
              <w:left w:val="nil"/>
              <w:bottom w:val="single" w:sz="4" w:space="0" w:color="FFFFFF"/>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-15</w:t>
            </w:r>
          </w:p>
        </w:tc>
      </w:tr>
      <w:tr w:rsidR="00177A6A" w:rsidRPr="00177A6A" w:rsidTr="00177A6A">
        <w:trPr>
          <w:trHeight w:val="300"/>
        </w:trPr>
        <w:tc>
          <w:tcPr>
            <w:tcW w:w="2564" w:type="dxa"/>
            <w:tcBorders>
              <w:top w:val="nil"/>
              <w:left w:val="single" w:sz="4" w:space="0" w:color="auto"/>
              <w:bottom w:val="single" w:sz="4" w:space="0" w:color="auto"/>
              <w:right w:val="nil"/>
            </w:tcBorders>
            <w:shd w:val="clear" w:color="000000" w:fill="49723B"/>
            <w:noWrap/>
            <w:vAlign w:val="bottom"/>
            <w:hideMark/>
          </w:tcPr>
          <w:p w:rsidR="00177A6A" w:rsidRPr="00177A6A" w:rsidRDefault="00177A6A" w:rsidP="00177A6A">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Zimbabwe</w:t>
            </w:r>
          </w:p>
        </w:tc>
        <w:tc>
          <w:tcPr>
            <w:tcW w:w="1084" w:type="dxa"/>
            <w:tcBorders>
              <w:top w:val="nil"/>
              <w:left w:val="single" w:sz="4" w:space="0" w:color="auto"/>
              <w:bottom w:val="single" w:sz="4" w:space="0" w:color="auto"/>
              <w:right w:val="single" w:sz="4" w:space="0" w:color="FFFFFF"/>
            </w:tcBorders>
            <w:shd w:val="clear" w:color="000000" w:fill="EFEAE6"/>
            <w:noWrap/>
            <w:vAlign w:val="bottom"/>
            <w:hideMark/>
          </w:tcPr>
          <w:p w:rsidR="00177A6A" w:rsidRPr="00177A6A" w:rsidRDefault="00DF3AA4"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N</w:t>
            </w:r>
            <w:r w:rsidR="00177A6A" w:rsidRPr="00177A6A">
              <w:rPr>
                <w:rFonts w:ascii="Calibri" w:eastAsia="Times New Roman" w:hAnsi="Calibri" w:cs="Calibri"/>
                <w:color w:val="000000"/>
                <w:lang w:eastAsia="en-GB"/>
              </w:rPr>
              <w:t>a</w:t>
            </w:r>
          </w:p>
        </w:tc>
        <w:tc>
          <w:tcPr>
            <w:tcW w:w="774" w:type="dxa"/>
            <w:tcBorders>
              <w:top w:val="nil"/>
              <w:left w:val="nil"/>
              <w:bottom w:val="single" w:sz="4" w:space="0" w:color="auto"/>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na</w:t>
            </w:r>
          </w:p>
        </w:tc>
        <w:tc>
          <w:tcPr>
            <w:tcW w:w="744" w:type="dxa"/>
            <w:tcBorders>
              <w:top w:val="nil"/>
              <w:left w:val="nil"/>
              <w:bottom w:val="single" w:sz="4" w:space="0" w:color="auto"/>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2019</w:t>
            </w:r>
          </w:p>
        </w:tc>
        <w:tc>
          <w:tcPr>
            <w:tcW w:w="1084" w:type="dxa"/>
            <w:tcBorders>
              <w:top w:val="nil"/>
              <w:left w:val="nil"/>
              <w:bottom w:val="single" w:sz="4" w:space="0" w:color="auto"/>
              <w:right w:val="single" w:sz="4" w:space="0" w:color="FFFFFF"/>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83</w:t>
            </w:r>
          </w:p>
        </w:tc>
        <w:tc>
          <w:tcPr>
            <w:tcW w:w="774" w:type="dxa"/>
            <w:tcBorders>
              <w:top w:val="nil"/>
              <w:left w:val="nil"/>
              <w:bottom w:val="single" w:sz="4" w:space="0" w:color="auto"/>
              <w:right w:val="single" w:sz="4" w:space="0" w:color="auto"/>
            </w:tcBorders>
            <w:shd w:val="clear" w:color="000000" w:fill="EFEAE6"/>
            <w:noWrap/>
            <w:vAlign w:val="bottom"/>
            <w:hideMark/>
          </w:tcPr>
          <w:p w:rsidR="00177A6A" w:rsidRPr="00177A6A" w:rsidRDefault="00177A6A"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84</w:t>
            </w:r>
          </w:p>
        </w:tc>
        <w:tc>
          <w:tcPr>
            <w:tcW w:w="1084" w:type="dxa"/>
            <w:tcBorders>
              <w:top w:val="nil"/>
              <w:left w:val="nil"/>
              <w:bottom w:val="single" w:sz="4" w:space="0" w:color="auto"/>
              <w:right w:val="single" w:sz="4" w:space="0" w:color="FFFFFF"/>
            </w:tcBorders>
            <w:shd w:val="clear" w:color="000000" w:fill="EFEAE6"/>
            <w:noWrap/>
            <w:vAlign w:val="bottom"/>
            <w:hideMark/>
          </w:tcPr>
          <w:p w:rsidR="00177A6A" w:rsidRPr="00177A6A" w:rsidRDefault="00C34AC3"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N</w:t>
            </w:r>
            <w:r w:rsidR="00177A6A" w:rsidRPr="00177A6A">
              <w:rPr>
                <w:rFonts w:ascii="Calibri" w:eastAsia="Times New Roman" w:hAnsi="Calibri" w:cs="Calibri"/>
                <w:color w:val="000000"/>
                <w:lang w:eastAsia="en-GB"/>
              </w:rPr>
              <w:t>a</w:t>
            </w:r>
          </w:p>
        </w:tc>
        <w:tc>
          <w:tcPr>
            <w:tcW w:w="774" w:type="dxa"/>
            <w:tcBorders>
              <w:top w:val="nil"/>
              <w:left w:val="nil"/>
              <w:bottom w:val="single" w:sz="4" w:space="0" w:color="auto"/>
              <w:right w:val="single" w:sz="4" w:space="0" w:color="auto"/>
            </w:tcBorders>
            <w:shd w:val="clear" w:color="000000" w:fill="EFEAE6"/>
            <w:noWrap/>
            <w:vAlign w:val="bottom"/>
            <w:hideMark/>
          </w:tcPr>
          <w:p w:rsidR="00177A6A" w:rsidRPr="00177A6A" w:rsidRDefault="00C64CFF" w:rsidP="00177A6A">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N</w:t>
            </w:r>
            <w:r w:rsidR="00177A6A" w:rsidRPr="00177A6A">
              <w:rPr>
                <w:rFonts w:ascii="Calibri" w:eastAsia="Times New Roman" w:hAnsi="Calibri" w:cs="Calibri"/>
                <w:color w:val="000000"/>
                <w:lang w:eastAsia="en-GB"/>
              </w:rPr>
              <w:t>a</w:t>
            </w:r>
          </w:p>
        </w:tc>
      </w:tr>
    </w:tbl>
    <w:p w:rsidR="00177A6A" w:rsidRPr="00352169" w:rsidRDefault="00352169" w:rsidP="00AB5D66">
      <w:pPr>
        <w:jc w:val="both"/>
        <w:rPr>
          <w:rFonts w:ascii="Times New Roman" w:hAnsi="Times New Roman" w:cs="Times New Roman"/>
          <w:sz w:val="24"/>
          <w:szCs w:val="24"/>
        </w:rPr>
      </w:pPr>
      <w:r w:rsidRPr="00352169">
        <w:rPr>
          <w:rFonts w:ascii="Times New Roman" w:hAnsi="Times New Roman" w:cs="Times New Roman"/>
          <w:sz w:val="24"/>
          <w:szCs w:val="24"/>
        </w:rPr>
        <w:t>Notes: LYA</w:t>
      </w:r>
      <w:r w:rsidR="00444B29">
        <w:rPr>
          <w:rFonts w:ascii="Times New Roman" w:hAnsi="Times New Roman" w:cs="Times New Roman"/>
          <w:sz w:val="24"/>
          <w:szCs w:val="24"/>
        </w:rPr>
        <w:t xml:space="preserve"> is latest year available</w:t>
      </w:r>
      <w:r w:rsidRPr="00352169">
        <w:rPr>
          <w:rFonts w:ascii="Times New Roman" w:hAnsi="Times New Roman" w:cs="Times New Roman"/>
          <w:sz w:val="24"/>
          <w:szCs w:val="24"/>
        </w:rPr>
        <w:t xml:space="preserve"> and NYA is nearest year availab</w:t>
      </w:r>
      <w:r w:rsidR="00444B29">
        <w:rPr>
          <w:rFonts w:ascii="Times New Roman" w:hAnsi="Times New Roman" w:cs="Times New Roman"/>
          <w:sz w:val="24"/>
          <w:szCs w:val="24"/>
        </w:rPr>
        <w:t>l</w:t>
      </w:r>
      <w:r w:rsidRPr="00352169">
        <w:rPr>
          <w:rFonts w:ascii="Times New Roman" w:hAnsi="Times New Roman" w:cs="Times New Roman"/>
          <w:sz w:val="24"/>
          <w:szCs w:val="24"/>
        </w:rPr>
        <w:t>e</w:t>
      </w:r>
    </w:p>
    <w:p w:rsidR="00AB5D66" w:rsidRPr="00EC3441" w:rsidRDefault="005D14D0" w:rsidP="003133DF">
      <w:pPr>
        <w:spacing w:line="360" w:lineRule="auto"/>
        <w:jc w:val="both"/>
        <w:rPr>
          <w:rFonts w:ascii="Times New Roman" w:hAnsi="Times New Roman" w:cs="Times New Roman"/>
          <w:i/>
          <w:sz w:val="28"/>
          <w:szCs w:val="28"/>
        </w:rPr>
      </w:pPr>
      <w:r w:rsidRPr="00EC3441">
        <w:rPr>
          <w:rFonts w:ascii="Times New Roman" w:hAnsi="Times New Roman" w:cs="Times New Roman"/>
          <w:i/>
          <w:sz w:val="28"/>
          <w:szCs w:val="28"/>
        </w:rPr>
        <w:t>3.3</w:t>
      </w:r>
      <w:r w:rsidR="00AB5D66" w:rsidRPr="00EC3441">
        <w:rPr>
          <w:rFonts w:ascii="Times New Roman" w:hAnsi="Times New Roman" w:cs="Times New Roman"/>
          <w:i/>
          <w:sz w:val="28"/>
          <w:szCs w:val="28"/>
        </w:rPr>
        <w:t xml:space="preserve"> Educational inequality and resource allocation</w:t>
      </w:r>
    </w:p>
    <w:p w:rsidR="00AB5D66" w:rsidRPr="003B3EF6" w:rsidRDefault="00AB5D66" w:rsidP="003133DF">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The implementation of UPE was widely expected to lead to a decrease in educational inequality as a result of a more equal distribution of human capital in each country. However, the limited evidence available indicates that only in a minority of countries in SSA has educational equality improved. The gap between </w:t>
      </w:r>
      <w:r w:rsidRPr="003B3EF6">
        <w:rPr>
          <w:rFonts w:ascii="Times New Roman" w:hAnsi="Times New Roman" w:cs="Times New Roman"/>
          <w:sz w:val="28"/>
          <w:szCs w:val="28"/>
        </w:rPr>
        <w:lastRenderedPageBreak/>
        <w:t xml:space="preserve">the average number of years of education between the richest and poorest </w:t>
      </w:r>
      <w:r w:rsidR="005D14D0" w:rsidRPr="003B3EF6">
        <w:rPr>
          <w:rFonts w:ascii="Times New Roman" w:hAnsi="Times New Roman" w:cs="Times New Roman"/>
          <w:sz w:val="28"/>
          <w:szCs w:val="28"/>
        </w:rPr>
        <w:t xml:space="preserve">wealth </w:t>
      </w:r>
      <w:r w:rsidRPr="003B3EF6">
        <w:rPr>
          <w:rFonts w:ascii="Times New Roman" w:hAnsi="Times New Roman" w:cs="Times New Roman"/>
          <w:sz w:val="28"/>
          <w:szCs w:val="28"/>
        </w:rPr>
        <w:t xml:space="preserve">quintiles has increased in </w:t>
      </w:r>
      <w:r w:rsidR="00A77073" w:rsidRPr="003B3EF6">
        <w:rPr>
          <w:rFonts w:ascii="Times New Roman" w:hAnsi="Times New Roman" w:cs="Times New Roman"/>
          <w:sz w:val="28"/>
          <w:szCs w:val="28"/>
        </w:rPr>
        <w:t xml:space="preserve">13 </w:t>
      </w:r>
      <w:r w:rsidRPr="003B3EF6">
        <w:rPr>
          <w:rFonts w:ascii="Times New Roman" w:hAnsi="Times New Roman" w:cs="Times New Roman"/>
          <w:sz w:val="28"/>
          <w:szCs w:val="28"/>
        </w:rPr>
        <w:t>out of 18 countries for which survey data is available</w:t>
      </w:r>
      <w:r w:rsidRPr="003B3EF6">
        <w:rPr>
          <w:rStyle w:val="FootnoteReference"/>
          <w:rFonts w:ascii="Times New Roman" w:hAnsi="Times New Roman" w:cs="Times New Roman"/>
          <w:sz w:val="28"/>
          <w:szCs w:val="28"/>
        </w:rPr>
        <w:footnoteReference w:id="12"/>
      </w:r>
      <w:r w:rsidRPr="003B3EF6">
        <w:rPr>
          <w:rFonts w:ascii="Times New Roman" w:hAnsi="Times New Roman" w:cs="Times New Roman"/>
          <w:sz w:val="28"/>
          <w:szCs w:val="28"/>
        </w:rPr>
        <w:t>. As will be discussed below, this is not surprising given the increasing levels of educational competition which are closely linked to economic liberalisation and ‘jobless growth’.</w:t>
      </w:r>
    </w:p>
    <w:p w:rsidR="00AB5D66" w:rsidRPr="003B3EF6" w:rsidRDefault="00AB5D66" w:rsidP="003133DF">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Schooling systems in SSA are ultra-competitive especially in urban areas where parents can </w:t>
      </w:r>
      <w:r w:rsidR="0087784B">
        <w:rPr>
          <w:rFonts w:ascii="Times New Roman" w:hAnsi="Times New Roman" w:cs="Times New Roman"/>
          <w:sz w:val="28"/>
          <w:szCs w:val="28"/>
        </w:rPr>
        <w:t xml:space="preserve">freely </w:t>
      </w:r>
      <w:r w:rsidRPr="003B3EF6">
        <w:rPr>
          <w:rFonts w:ascii="Times New Roman" w:hAnsi="Times New Roman" w:cs="Times New Roman"/>
          <w:sz w:val="28"/>
          <w:szCs w:val="28"/>
        </w:rPr>
        <w:t xml:space="preserve">shop around for the best performing </w:t>
      </w:r>
      <w:r w:rsidR="00F65AD8" w:rsidRPr="003B3EF6">
        <w:rPr>
          <w:rFonts w:ascii="Times New Roman" w:hAnsi="Times New Roman" w:cs="Times New Roman"/>
          <w:sz w:val="28"/>
          <w:szCs w:val="28"/>
        </w:rPr>
        <w:t>public and private schools</w:t>
      </w:r>
      <w:r w:rsidRPr="003B3EF6">
        <w:rPr>
          <w:rFonts w:ascii="Times New Roman" w:hAnsi="Times New Roman" w:cs="Times New Roman"/>
          <w:sz w:val="28"/>
          <w:szCs w:val="28"/>
        </w:rPr>
        <w:t xml:space="preserve">. National assessment systems at both the primary and secondary schooling school levels are also highly elitist since ‘they focus on and reward the few candidates who perform well in high stakes national examinations while ignoring the rest’ </w:t>
      </w:r>
      <w:r w:rsidR="00A77073" w:rsidRPr="003B3EF6">
        <w:rPr>
          <w:rFonts w:ascii="Times New Roman" w:hAnsi="Times New Roman" w:cs="Times New Roman"/>
          <w:sz w:val="28"/>
          <w:szCs w:val="28"/>
        </w:rPr>
        <w:t>(</w:t>
      </w:r>
      <w:r w:rsidRPr="003B3EF6">
        <w:rPr>
          <w:rFonts w:ascii="Times New Roman" w:hAnsi="Times New Roman" w:cs="Times New Roman"/>
          <w:sz w:val="28"/>
          <w:szCs w:val="28"/>
        </w:rPr>
        <w:t>Fox</w:t>
      </w:r>
      <w:r w:rsidR="00A77073" w:rsidRPr="003B3EF6">
        <w:rPr>
          <w:rFonts w:ascii="Times New Roman" w:hAnsi="Times New Roman" w:cs="Times New Roman"/>
          <w:sz w:val="28"/>
          <w:szCs w:val="28"/>
        </w:rPr>
        <w:t>,</w:t>
      </w:r>
      <w:r w:rsidR="00F14D7A">
        <w:rPr>
          <w:rFonts w:ascii="Times New Roman" w:hAnsi="Times New Roman" w:cs="Times New Roman"/>
          <w:sz w:val="28"/>
          <w:szCs w:val="28"/>
        </w:rPr>
        <w:t xml:space="preserve"> 2016:34</w:t>
      </w:r>
      <w:r w:rsidR="00A77073" w:rsidRPr="003B3EF6">
        <w:rPr>
          <w:rFonts w:ascii="Times New Roman" w:hAnsi="Times New Roman" w:cs="Times New Roman"/>
          <w:sz w:val="28"/>
          <w:szCs w:val="28"/>
        </w:rPr>
        <w:t>)</w:t>
      </w:r>
      <w:r w:rsidR="00BB4122">
        <w:rPr>
          <w:rStyle w:val="FootnoteReference"/>
          <w:rFonts w:ascii="Times New Roman" w:hAnsi="Times New Roman" w:cs="Times New Roman"/>
          <w:sz w:val="28"/>
          <w:szCs w:val="28"/>
        </w:rPr>
        <w:footnoteReference w:id="13"/>
      </w:r>
      <w:r w:rsidR="00A77073" w:rsidRPr="003B3EF6">
        <w:rPr>
          <w:rFonts w:ascii="Times New Roman" w:hAnsi="Times New Roman" w:cs="Times New Roman"/>
          <w:sz w:val="28"/>
          <w:szCs w:val="28"/>
        </w:rPr>
        <w:t xml:space="preserve">. </w:t>
      </w:r>
      <w:r w:rsidRPr="003B3EF6">
        <w:rPr>
          <w:rFonts w:ascii="Times New Roman" w:hAnsi="Times New Roman" w:cs="Times New Roman"/>
          <w:sz w:val="28"/>
          <w:szCs w:val="28"/>
        </w:rPr>
        <w:t xml:space="preserve">   </w:t>
      </w:r>
    </w:p>
    <w:p w:rsidR="00AB5D66" w:rsidRPr="003B3EF6" w:rsidRDefault="00AB5D66" w:rsidP="003133DF">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Rural-urban educational inequality is likely to be increasing quite rapidly for two main reasons. Firstly, the poorest rural households especially in remoter areas are usually </w:t>
      </w:r>
      <w:r w:rsidR="00A77073" w:rsidRPr="003B3EF6">
        <w:rPr>
          <w:rFonts w:ascii="Times New Roman" w:hAnsi="Times New Roman" w:cs="Times New Roman"/>
          <w:sz w:val="28"/>
          <w:szCs w:val="28"/>
        </w:rPr>
        <w:t xml:space="preserve">only able to access </w:t>
      </w:r>
      <w:r w:rsidRPr="003B3EF6">
        <w:rPr>
          <w:rFonts w:ascii="Times New Roman" w:hAnsi="Times New Roman" w:cs="Times New Roman"/>
          <w:sz w:val="28"/>
          <w:szCs w:val="28"/>
        </w:rPr>
        <w:t>poor quality primary schools. The unequal resourcing of primary schools is a direct</w:t>
      </w:r>
      <w:r w:rsidR="00F65AD8" w:rsidRPr="003B3EF6">
        <w:rPr>
          <w:rFonts w:ascii="Times New Roman" w:hAnsi="Times New Roman" w:cs="Times New Roman"/>
          <w:sz w:val="28"/>
          <w:szCs w:val="28"/>
        </w:rPr>
        <w:t xml:space="preserve"> conse</w:t>
      </w:r>
      <w:r w:rsidRPr="003B3EF6">
        <w:rPr>
          <w:rFonts w:ascii="Times New Roman" w:hAnsi="Times New Roman" w:cs="Times New Roman"/>
          <w:sz w:val="28"/>
          <w:szCs w:val="28"/>
        </w:rPr>
        <w:t xml:space="preserve">quence of the wider political economy along with the </w:t>
      </w:r>
      <w:r w:rsidR="00BB4122">
        <w:rPr>
          <w:rFonts w:ascii="Times New Roman" w:hAnsi="Times New Roman" w:cs="Times New Roman"/>
          <w:sz w:val="28"/>
          <w:szCs w:val="28"/>
        </w:rPr>
        <w:t xml:space="preserve">major </w:t>
      </w:r>
      <w:r w:rsidRPr="003B3EF6">
        <w:rPr>
          <w:rFonts w:ascii="Times New Roman" w:hAnsi="Times New Roman" w:cs="Times New Roman"/>
          <w:sz w:val="28"/>
          <w:szCs w:val="28"/>
        </w:rPr>
        <w:t xml:space="preserve">(intrinsic) challenges of staffing these schools. </w:t>
      </w:r>
      <w:r w:rsidR="00A77073" w:rsidRPr="003B3EF6">
        <w:rPr>
          <w:rFonts w:ascii="Times New Roman" w:hAnsi="Times New Roman" w:cs="Times New Roman"/>
          <w:sz w:val="28"/>
          <w:szCs w:val="28"/>
        </w:rPr>
        <w:t>Th</w:t>
      </w:r>
      <w:r w:rsidRPr="003B3EF6">
        <w:rPr>
          <w:rFonts w:ascii="Times New Roman" w:hAnsi="Times New Roman" w:cs="Times New Roman"/>
          <w:sz w:val="28"/>
          <w:szCs w:val="28"/>
        </w:rPr>
        <w:t>e poorest regions generally have the lowest educational expenditure</w:t>
      </w:r>
      <w:r w:rsidR="00A77073" w:rsidRPr="003B3EF6">
        <w:rPr>
          <w:rFonts w:ascii="Times New Roman" w:hAnsi="Times New Roman" w:cs="Times New Roman"/>
          <w:sz w:val="28"/>
          <w:szCs w:val="28"/>
        </w:rPr>
        <w:t>s</w:t>
      </w:r>
      <w:r w:rsidRPr="003B3EF6">
        <w:rPr>
          <w:rFonts w:ascii="Times New Roman" w:hAnsi="Times New Roman" w:cs="Times New Roman"/>
          <w:sz w:val="28"/>
          <w:szCs w:val="28"/>
        </w:rPr>
        <w:t xml:space="preserve"> per pupil.  </w:t>
      </w:r>
    </w:p>
    <w:p w:rsidR="00AB5D66" w:rsidRPr="003B3EF6" w:rsidRDefault="00AB5D66" w:rsidP="003133DF">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And secondly, the examination performance of urban schools is fast out pacing that of rural schools. This spatial inequality in examination results is being driven by the explosive growth in private schools which have generally better examination results. Uganda is a good example of the </w:t>
      </w:r>
      <w:r w:rsidR="00A77073" w:rsidRPr="003B3EF6">
        <w:rPr>
          <w:rFonts w:ascii="Times New Roman" w:hAnsi="Times New Roman" w:cs="Times New Roman"/>
          <w:sz w:val="28"/>
          <w:szCs w:val="28"/>
        </w:rPr>
        <w:t xml:space="preserve">very sizeable </w:t>
      </w:r>
      <w:r w:rsidRPr="003B3EF6">
        <w:rPr>
          <w:rFonts w:ascii="Times New Roman" w:hAnsi="Times New Roman" w:cs="Times New Roman"/>
          <w:sz w:val="28"/>
          <w:szCs w:val="28"/>
        </w:rPr>
        <w:t xml:space="preserve">examination performance differences across the country. In nearly half of all districts and </w:t>
      </w:r>
      <w:r w:rsidR="00C33527" w:rsidRPr="003B3EF6">
        <w:rPr>
          <w:rFonts w:ascii="Times New Roman" w:hAnsi="Times New Roman" w:cs="Times New Roman"/>
          <w:sz w:val="28"/>
          <w:szCs w:val="28"/>
        </w:rPr>
        <w:lastRenderedPageBreak/>
        <w:t>municipalities</w:t>
      </w:r>
      <w:r w:rsidRPr="003B3EF6">
        <w:rPr>
          <w:rFonts w:ascii="Times New Roman" w:hAnsi="Times New Roman" w:cs="Times New Roman"/>
          <w:sz w:val="28"/>
          <w:szCs w:val="28"/>
        </w:rPr>
        <w:t xml:space="preserve">, most of which are predominantly rural, fewer than five percent of pupils gained a Division One pass in the primary school leaving examination in 2018. By contrast, in the seven percent of predominantly urban municipalities (equivalent to districts), over 30% of students </w:t>
      </w:r>
      <w:r w:rsidR="00A77073" w:rsidRPr="003B3EF6">
        <w:rPr>
          <w:rFonts w:ascii="Times New Roman" w:hAnsi="Times New Roman" w:cs="Times New Roman"/>
          <w:sz w:val="28"/>
          <w:szCs w:val="28"/>
        </w:rPr>
        <w:t xml:space="preserve">in each municipality </w:t>
      </w:r>
      <w:r w:rsidRPr="003B3EF6">
        <w:rPr>
          <w:rFonts w:ascii="Times New Roman" w:hAnsi="Times New Roman" w:cs="Times New Roman"/>
          <w:sz w:val="28"/>
          <w:szCs w:val="28"/>
        </w:rPr>
        <w:t>passed at this level</w:t>
      </w:r>
      <w:r w:rsidRPr="003B3EF6">
        <w:rPr>
          <w:rStyle w:val="FootnoteReference"/>
          <w:rFonts w:ascii="Times New Roman" w:hAnsi="Times New Roman" w:cs="Times New Roman"/>
          <w:sz w:val="28"/>
          <w:szCs w:val="28"/>
        </w:rPr>
        <w:footnoteReference w:id="14"/>
      </w:r>
      <w:r w:rsidRPr="003B3EF6">
        <w:rPr>
          <w:rFonts w:ascii="Times New Roman" w:hAnsi="Times New Roman" w:cs="Times New Roman"/>
          <w:sz w:val="28"/>
          <w:szCs w:val="28"/>
        </w:rPr>
        <w:t xml:space="preserve">.  </w:t>
      </w:r>
    </w:p>
    <w:p w:rsidR="00D22F22" w:rsidRPr="00EC3441" w:rsidRDefault="00EC3441" w:rsidP="003133DF">
      <w:pPr>
        <w:spacing w:line="360" w:lineRule="auto"/>
        <w:rPr>
          <w:rFonts w:ascii="Times New Roman" w:hAnsi="Times New Roman" w:cs="Times New Roman"/>
          <w:b/>
          <w:sz w:val="28"/>
          <w:szCs w:val="28"/>
        </w:rPr>
      </w:pPr>
      <w:r w:rsidRPr="00EC3441">
        <w:rPr>
          <w:rFonts w:ascii="Times New Roman" w:hAnsi="Times New Roman" w:cs="Times New Roman"/>
          <w:b/>
          <w:sz w:val="28"/>
          <w:szCs w:val="28"/>
        </w:rPr>
        <w:t>4</w:t>
      </w:r>
      <w:r w:rsidR="00AB5D66" w:rsidRPr="00EC3441">
        <w:rPr>
          <w:rFonts w:ascii="Times New Roman" w:hAnsi="Times New Roman" w:cs="Times New Roman"/>
          <w:b/>
          <w:sz w:val="28"/>
          <w:szCs w:val="28"/>
        </w:rPr>
        <w:t xml:space="preserve">. </w:t>
      </w:r>
      <w:r w:rsidRPr="00EC3441">
        <w:rPr>
          <w:rFonts w:ascii="Times New Roman" w:hAnsi="Times New Roman" w:cs="Times New Roman"/>
          <w:b/>
          <w:sz w:val="28"/>
          <w:szCs w:val="28"/>
        </w:rPr>
        <w:t xml:space="preserve">Social class competition </w:t>
      </w:r>
    </w:p>
    <w:p w:rsidR="001330FC" w:rsidRPr="00EC3441" w:rsidRDefault="00EC3441" w:rsidP="003133DF">
      <w:pPr>
        <w:spacing w:line="360" w:lineRule="auto"/>
        <w:jc w:val="both"/>
        <w:rPr>
          <w:rFonts w:ascii="Times New Roman" w:hAnsi="Times New Roman" w:cs="Times New Roman"/>
          <w:i/>
          <w:sz w:val="28"/>
          <w:szCs w:val="28"/>
        </w:rPr>
      </w:pPr>
      <w:r w:rsidRPr="00EC3441">
        <w:rPr>
          <w:rFonts w:ascii="Times New Roman" w:hAnsi="Times New Roman" w:cs="Times New Roman"/>
          <w:i/>
          <w:sz w:val="28"/>
          <w:szCs w:val="28"/>
        </w:rPr>
        <w:t>4</w:t>
      </w:r>
      <w:r w:rsidR="006F1739" w:rsidRPr="00EC3441">
        <w:rPr>
          <w:rFonts w:ascii="Times New Roman" w:hAnsi="Times New Roman" w:cs="Times New Roman"/>
          <w:i/>
          <w:sz w:val="28"/>
          <w:szCs w:val="28"/>
        </w:rPr>
        <w:t>.1.</w:t>
      </w:r>
      <w:r w:rsidR="001330FC" w:rsidRPr="00EC3441">
        <w:rPr>
          <w:rFonts w:ascii="Times New Roman" w:hAnsi="Times New Roman" w:cs="Times New Roman"/>
          <w:i/>
          <w:sz w:val="28"/>
          <w:szCs w:val="28"/>
        </w:rPr>
        <w:t xml:space="preserve"> Capitalist</w:t>
      </w:r>
      <w:r w:rsidR="004107C7" w:rsidRPr="00EC3441">
        <w:rPr>
          <w:rFonts w:ascii="Times New Roman" w:hAnsi="Times New Roman" w:cs="Times New Roman"/>
          <w:i/>
          <w:sz w:val="28"/>
          <w:szCs w:val="28"/>
        </w:rPr>
        <w:t>, private sector-</w:t>
      </w:r>
      <w:r w:rsidR="00206BFC" w:rsidRPr="00EC3441">
        <w:rPr>
          <w:rFonts w:ascii="Times New Roman" w:hAnsi="Times New Roman" w:cs="Times New Roman"/>
          <w:i/>
          <w:sz w:val="28"/>
          <w:szCs w:val="28"/>
        </w:rPr>
        <w:t>led</w:t>
      </w:r>
      <w:r w:rsidR="001330FC" w:rsidRPr="00EC3441">
        <w:rPr>
          <w:rFonts w:ascii="Times New Roman" w:hAnsi="Times New Roman" w:cs="Times New Roman"/>
          <w:i/>
          <w:sz w:val="28"/>
          <w:szCs w:val="28"/>
        </w:rPr>
        <w:t xml:space="preserve"> development</w:t>
      </w:r>
    </w:p>
    <w:p w:rsidR="00206BFC" w:rsidRPr="003B3EF6" w:rsidRDefault="00B43689" w:rsidP="003133DF">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UPE </w:t>
      </w:r>
      <w:r w:rsidR="006F1739" w:rsidRPr="003B3EF6">
        <w:rPr>
          <w:rFonts w:ascii="Times New Roman" w:hAnsi="Times New Roman" w:cs="Times New Roman"/>
          <w:sz w:val="28"/>
          <w:szCs w:val="28"/>
        </w:rPr>
        <w:t xml:space="preserve">was </w:t>
      </w:r>
      <w:r w:rsidRPr="003B3EF6">
        <w:rPr>
          <w:rFonts w:ascii="Times New Roman" w:hAnsi="Times New Roman" w:cs="Times New Roman"/>
          <w:sz w:val="28"/>
          <w:szCs w:val="28"/>
        </w:rPr>
        <w:t xml:space="preserve">introduced in most countries </w:t>
      </w:r>
      <w:r w:rsidR="00195C77" w:rsidRPr="003B3EF6">
        <w:rPr>
          <w:rFonts w:ascii="Times New Roman" w:hAnsi="Times New Roman" w:cs="Times New Roman"/>
          <w:sz w:val="28"/>
          <w:szCs w:val="28"/>
        </w:rPr>
        <w:t xml:space="preserve">in SSA </w:t>
      </w:r>
      <w:r w:rsidRPr="003B3EF6">
        <w:rPr>
          <w:rFonts w:ascii="Times New Roman" w:hAnsi="Times New Roman" w:cs="Times New Roman"/>
          <w:sz w:val="28"/>
          <w:szCs w:val="28"/>
        </w:rPr>
        <w:t>at the same time as far reaching economic</w:t>
      </w:r>
      <w:r w:rsidR="006F1739" w:rsidRPr="003B3EF6">
        <w:rPr>
          <w:rFonts w:ascii="Times New Roman" w:hAnsi="Times New Roman" w:cs="Times New Roman"/>
          <w:sz w:val="28"/>
          <w:szCs w:val="28"/>
        </w:rPr>
        <w:t xml:space="preserve"> and political transformation</w:t>
      </w:r>
      <w:r w:rsidR="00195C77" w:rsidRPr="003B3EF6">
        <w:rPr>
          <w:rFonts w:ascii="Times New Roman" w:hAnsi="Times New Roman" w:cs="Times New Roman"/>
          <w:sz w:val="28"/>
          <w:szCs w:val="28"/>
        </w:rPr>
        <w:t xml:space="preserve">. The </w:t>
      </w:r>
      <w:r w:rsidR="00EF45F4" w:rsidRPr="003B3EF6">
        <w:rPr>
          <w:rFonts w:ascii="Times New Roman" w:hAnsi="Times New Roman" w:cs="Times New Roman"/>
          <w:sz w:val="28"/>
          <w:szCs w:val="28"/>
        </w:rPr>
        <w:t xml:space="preserve">superordinate </w:t>
      </w:r>
      <w:r w:rsidR="00195C77" w:rsidRPr="003B3EF6">
        <w:rPr>
          <w:rFonts w:ascii="Times New Roman" w:hAnsi="Times New Roman" w:cs="Times New Roman"/>
          <w:sz w:val="28"/>
          <w:szCs w:val="28"/>
        </w:rPr>
        <w:t>economic</w:t>
      </w:r>
      <w:r w:rsidR="006F1739" w:rsidRPr="003B3EF6">
        <w:rPr>
          <w:rFonts w:ascii="Times New Roman" w:hAnsi="Times New Roman" w:cs="Times New Roman"/>
          <w:sz w:val="28"/>
          <w:szCs w:val="28"/>
        </w:rPr>
        <w:t xml:space="preserve"> reform </w:t>
      </w:r>
      <w:r w:rsidR="00195C77" w:rsidRPr="003B3EF6">
        <w:rPr>
          <w:rFonts w:ascii="Times New Roman" w:hAnsi="Times New Roman" w:cs="Times New Roman"/>
          <w:sz w:val="28"/>
          <w:szCs w:val="28"/>
        </w:rPr>
        <w:t xml:space="preserve">goal </w:t>
      </w:r>
      <w:r w:rsidR="006F1739" w:rsidRPr="003B3EF6">
        <w:rPr>
          <w:rFonts w:ascii="Times New Roman" w:hAnsi="Times New Roman" w:cs="Times New Roman"/>
          <w:sz w:val="28"/>
          <w:szCs w:val="28"/>
        </w:rPr>
        <w:t xml:space="preserve">was </w:t>
      </w:r>
      <w:r w:rsidRPr="003B3EF6">
        <w:rPr>
          <w:rFonts w:ascii="Times New Roman" w:hAnsi="Times New Roman" w:cs="Times New Roman"/>
          <w:sz w:val="28"/>
          <w:szCs w:val="28"/>
        </w:rPr>
        <w:t xml:space="preserve">to </w:t>
      </w:r>
      <w:r w:rsidR="00195C77" w:rsidRPr="003B3EF6">
        <w:rPr>
          <w:rFonts w:ascii="Times New Roman" w:hAnsi="Times New Roman" w:cs="Times New Roman"/>
          <w:sz w:val="28"/>
          <w:szCs w:val="28"/>
        </w:rPr>
        <w:t xml:space="preserve">replace the previous </w:t>
      </w:r>
      <w:r w:rsidR="006F1739" w:rsidRPr="003B3EF6">
        <w:rPr>
          <w:rFonts w:ascii="Times New Roman" w:hAnsi="Times New Roman" w:cs="Times New Roman"/>
          <w:sz w:val="28"/>
          <w:szCs w:val="28"/>
        </w:rPr>
        <w:t xml:space="preserve">model of </w:t>
      </w:r>
      <w:r w:rsidRPr="003B3EF6">
        <w:rPr>
          <w:rFonts w:ascii="Times New Roman" w:hAnsi="Times New Roman" w:cs="Times New Roman"/>
          <w:sz w:val="28"/>
          <w:szCs w:val="28"/>
        </w:rPr>
        <w:t>quasi-socialist</w:t>
      </w:r>
      <w:r w:rsidR="00195C77" w:rsidRPr="003B3EF6">
        <w:rPr>
          <w:rFonts w:ascii="Times New Roman" w:hAnsi="Times New Roman" w:cs="Times New Roman"/>
          <w:sz w:val="28"/>
          <w:szCs w:val="28"/>
        </w:rPr>
        <w:t>,</w:t>
      </w:r>
      <w:r w:rsidRPr="003B3EF6">
        <w:rPr>
          <w:rFonts w:ascii="Times New Roman" w:hAnsi="Times New Roman" w:cs="Times New Roman"/>
          <w:sz w:val="28"/>
          <w:szCs w:val="28"/>
        </w:rPr>
        <w:t xml:space="preserve"> state-led development with </w:t>
      </w:r>
      <w:r w:rsidR="006F1739" w:rsidRPr="003B3EF6">
        <w:rPr>
          <w:rFonts w:ascii="Times New Roman" w:hAnsi="Times New Roman" w:cs="Times New Roman"/>
          <w:sz w:val="28"/>
          <w:szCs w:val="28"/>
        </w:rPr>
        <w:t xml:space="preserve">a </w:t>
      </w:r>
      <w:r w:rsidRPr="003B3EF6">
        <w:rPr>
          <w:rFonts w:ascii="Times New Roman" w:hAnsi="Times New Roman" w:cs="Times New Roman"/>
          <w:sz w:val="28"/>
          <w:szCs w:val="28"/>
        </w:rPr>
        <w:t>neo-liberal, market-driven development strategy</w:t>
      </w:r>
      <w:r w:rsidR="001E7FA2" w:rsidRPr="003B3EF6">
        <w:rPr>
          <w:rFonts w:ascii="Times New Roman" w:hAnsi="Times New Roman" w:cs="Times New Roman"/>
          <w:sz w:val="28"/>
          <w:szCs w:val="28"/>
        </w:rPr>
        <w:t xml:space="preserve"> with the private sector taking the leading role</w:t>
      </w:r>
      <w:r w:rsidRPr="003B3EF6">
        <w:rPr>
          <w:rFonts w:ascii="Times New Roman" w:hAnsi="Times New Roman" w:cs="Times New Roman"/>
          <w:sz w:val="28"/>
          <w:szCs w:val="28"/>
        </w:rPr>
        <w:t xml:space="preserve">. The key elements of this reform model have been widespread </w:t>
      </w:r>
      <w:r w:rsidR="00220974">
        <w:rPr>
          <w:rFonts w:ascii="Times New Roman" w:hAnsi="Times New Roman" w:cs="Times New Roman"/>
          <w:sz w:val="28"/>
          <w:szCs w:val="28"/>
        </w:rPr>
        <w:t xml:space="preserve">economic </w:t>
      </w:r>
      <w:r w:rsidR="001E7FA2" w:rsidRPr="003B3EF6">
        <w:rPr>
          <w:rFonts w:ascii="Times New Roman" w:hAnsi="Times New Roman" w:cs="Times New Roman"/>
          <w:sz w:val="28"/>
          <w:szCs w:val="28"/>
        </w:rPr>
        <w:t xml:space="preserve">restructuring </w:t>
      </w:r>
      <w:r w:rsidR="00220974">
        <w:rPr>
          <w:rFonts w:ascii="Times New Roman" w:hAnsi="Times New Roman" w:cs="Times New Roman"/>
          <w:sz w:val="28"/>
          <w:szCs w:val="28"/>
        </w:rPr>
        <w:t xml:space="preserve">(commonly termed </w:t>
      </w:r>
      <w:r w:rsidR="00220974" w:rsidRPr="003B3EF6">
        <w:rPr>
          <w:rFonts w:ascii="Times New Roman" w:hAnsi="Times New Roman" w:cs="Times New Roman"/>
          <w:sz w:val="28"/>
          <w:szCs w:val="28"/>
        </w:rPr>
        <w:t>‘structural adjustment’</w:t>
      </w:r>
      <w:r w:rsidR="00220974">
        <w:rPr>
          <w:rFonts w:ascii="Times New Roman" w:hAnsi="Times New Roman" w:cs="Times New Roman"/>
          <w:sz w:val="28"/>
          <w:szCs w:val="28"/>
        </w:rPr>
        <w:t>)</w:t>
      </w:r>
      <w:r w:rsidR="00220974" w:rsidRPr="003B3EF6">
        <w:rPr>
          <w:rFonts w:ascii="Times New Roman" w:hAnsi="Times New Roman" w:cs="Times New Roman"/>
          <w:sz w:val="28"/>
          <w:szCs w:val="28"/>
        </w:rPr>
        <w:t xml:space="preserve"> </w:t>
      </w:r>
      <w:r w:rsidRPr="003B3EF6">
        <w:rPr>
          <w:rFonts w:ascii="Times New Roman" w:hAnsi="Times New Roman" w:cs="Times New Roman"/>
          <w:sz w:val="28"/>
          <w:szCs w:val="28"/>
        </w:rPr>
        <w:t xml:space="preserve">entailing </w:t>
      </w:r>
      <w:r w:rsidR="006F1739" w:rsidRPr="003B3EF6">
        <w:rPr>
          <w:rFonts w:ascii="Times New Roman" w:hAnsi="Times New Roman" w:cs="Times New Roman"/>
          <w:sz w:val="28"/>
          <w:szCs w:val="28"/>
        </w:rPr>
        <w:t xml:space="preserve">comprehensive </w:t>
      </w:r>
      <w:r w:rsidRPr="003B3EF6">
        <w:rPr>
          <w:rFonts w:ascii="Times New Roman" w:hAnsi="Times New Roman" w:cs="Times New Roman"/>
          <w:sz w:val="28"/>
          <w:szCs w:val="28"/>
        </w:rPr>
        <w:t>privatisation</w:t>
      </w:r>
      <w:r w:rsidR="006F1739" w:rsidRPr="003B3EF6">
        <w:rPr>
          <w:rFonts w:ascii="Times New Roman" w:hAnsi="Times New Roman" w:cs="Times New Roman"/>
          <w:sz w:val="28"/>
          <w:szCs w:val="28"/>
        </w:rPr>
        <w:t xml:space="preserve"> of state enterprises</w:t>
      </w:r>
      <w:r w:rsidRPr="003B3EF6">
        <w:rPr>
          <w:rFonts w:ascii="Times New Roman" w:hAnsi="Times New Roman" w:cs="Times New Roman"/>
          <w:sz w:val="28"/>
          <w:szCs w:val="28"/>
        </w:rPr>
        <w:t xml:space="preserve">, the opening of the economy to </w:t>
      </w:r>
      <w:r w:rsidR="0079398C" w:rsidRPr="003B3EF6">
        <w:rPr>
          <w:rFonts w:ascii="Times New Roman" w:hAnsi="Times New Roman" w:cs="Times New Roman"/>
          <w:sz w:val="28"/>
          <w:szCs w:val="28"/>
        </w:rPr>
        <w:t xml:space="preserve">national and </w:t>
      </w:r>
      <w:r w:rsidRPr="003B3EF6">
        <w:rPr>
          <w:rFonts w:ascii="Times New Roman" w:hAnsi="Times New Roman" w:cs="Times New Roman"/>
          <w:sz w:val="28"/>
          <w:szCs w:val="28"/>
        </w:rPr>
        <w:t xml:space="preserve">international competition, </w:t>
      </w:r>
      <w:r w:rsidR="008303F1" w:rsidRPr="003B3EF6">
        <w:rPr>
          <w:rFonts w:ascii="Times New Roman" w:hAnsi="Times New Roman" w:cs="Times New Roman"/>
          <w:sz w:val="28"/>
          <w:szCs w:val="28"/>
        </w:rPr>
        <w:t xml:space="preserve">encouragement of foreign investment, </w:t>
      </w:r>
      <w:r w:rsidR="001E7FA2" w:rsidRPr="003B3EF6">
        <w:rPr>
          <w:rFonts w:ascii="Times New Roman" w:hAnsi="Times New Roman" w:cs="Times New Roman"/>
          <w:sz w:val="28"/>
          <w:szCs w:val="28"/>
        </w:rPr>
        <w:t xml:space="preserve">and the liberalisation of key product and factor markets. </w:t>
      </w:r>
      <w:r w:rsidR="008303F1" w:rsidRPr="003B3EF6">
        <w:rPr>
          <w:rFonts w:ascii="Times New Roman" w:hAnsi="Times New Roman" w:cs="Times New Roman"/>
          <w:sz w:val="28"/>
          <w:szCs w:val="28"/>
        </w:rPr>
        <w:t>In order to maximise economic growth</w:t>
      </w:r>
      <w:r w:rsidR="001E7FA2" w:rsidRPr="003B3EF6">
        <w:rPr>
          <w:rFonts w:ascii="Times New Roman" w:hAnsi="Times New Roman" w:cs="Times New Roman"/>
          <w:sz w:val="28"/>
          <w:szCs w:val="28"/>
        </w:rPr>
        <w:t xml:space="preserve">, national development strategies have increasingly </w:t>
      </w:r>
      <w:r w:rsidR="008303F1" w:rsidRPr="003B3EF6">
        <w:rPr>
          <w:rFonts w:ascii="Times New Roman" w:hAnsi="Times New Roman" w:cs="Times New Roman"/>
          <w:sz w:val="28"/>
          <w:szCs w:val="28"/>
        </w:rPr>
        <w:t xml:space="preserve">focused on </w:t>
      </w:r>
      <w:r w:rsidR="001E7FA2" w:rsidRPr="003B3EF6">
        <w:rPr>
          <w:rFonts w:ascii="Times New Roman" w:hAnsi="Times New Roman" w:cs="Times New Roman"/>
          <w:sz w:val="28"/>
          <w:szCs w:val="28"/>
        </w:rPr>
        <w:t xml:space="preserve">promoting growth sectors which have </w:t>
      </w:r>
      <w:r w:rsidR="00C33527" w:rsidRPr="003B3EF6">
        <w:rPr>
          <w:rFonts w:ascii="Times New Roman" w:hAnsi="Times New Roman" w:cs="Times New Roman"/>
          <w:sz w:val="28"/>
          <w:szCs w:val="28"/>
        </w:rPr>
        <w:t>a clear</w:t>
      </w:r>
      <w:r w:rsidR="008303F1" w:rsidRPr="003B3EF6">
        <w:rPr>
          <w:rFonts w:ascii="Times New Roman" w:hAnsi="Times New Roman" w:cs="Times New Roman"/>
          <w:sz w:val="28"/>
          <w:szCs w:val="28"/>
        </w:rPr>
        <w:t xml:space="preserve"> comparative a</w:t>
      </w:r>
      <w:r w:rsidR="001E7FA2" w:rsidRPr="003B3EF6">
        <w:rPr>
          <w:rFonts w:ascii="Times New Roman" w:hAnsi="Times New Roman" w:cs="Times New Roman"/>
          <w:sz w:val="28"/>
          <w:szCs w:val="28"/>
        </w:rPr>
        <w:t>dvantage especially in natural resource-</w:t>
      </w:r>
      <w:r w:rsidR="008303F1" w:rsidRPr="003B3EF6">
        <w:rPr>
          <w:rFonts w:ascii="Times New Roman" w:hAnsi="Times New Roman" w:cs="Times New Roman"/>
          <w:sz w:val="28"/>
          <w:szCs w:val="28"/>
        </w:rPr>
        <w:t>based activities such as agriculture, mining</w:t>
      </w:r>
      <w:r w:rsidR="001E7FA2" w:rsidRPr="003B3EF6">
        <w:rPr>
          <w:rFonts w:ascii="Times New Roman" w:hAnsi="Times New Roman" w:cs="Times New Roman"/>
          <w:sz w:val="28"/>
          <w:szCs w:val="28"/>
        </w:rPr>
        <w:t xml:space="preserve"> and tourism</w:t>
      </w:r>
      <w:r w:rsidR="008303F1" w:rsidRPr="003B3EF6">
        <w:rPr>
          <w:rFonts w:ascii="Times New Roman" w:hAnsi="Times New Roman" w:cs="Times New Roman"/>
          <w:sz w:val="28"/>
          <w:szCs w:val="28"/>
        </w:rPr>
        <w:t xml:space="preserve">. Deindustrialisation from an already low base </w:t>
      </w:r>
      <w:r w:rsidR="001B1238">
        <w:rPr>
          <w:rFonts w:ascii="Times New Roman" w:hAnsi="Times New Roman" w:cs="Times New Roman"/>
          <w:sz w:val="28"/>
          <w:szCs w:val="28"/>
        </w:rPr>
        <w:t xml:space="preserve">generally </w:t>
      </w:r>
      <w:r w:rsidR="008303F1" w:rsidRPr="003B3EF6">
        <w:rPr>
          <w:rFonts w:ascii="Times New Roman" w:hAnsi="Times New Roman" w:cs="Times New Roman"/>
          <w:sz w:val="28"/>
          <w:szCs w:val="28"/>
        </w:rPr>
        <w:t>ensued.</w:t>
      </w:r>
    </w:p>
    <w:p w:rsidR="008303F1" w:rsidRPr="003B3EF6" w:rsidRDefault="001E7FA2" w:rsidP="003133DF">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More recently, there has been a r</w:t>
      </w:r>
      <w:r w:rsidR="00206BFC" w:rsidRPr="003B3EF6">
        <w:rPr>
          <w:rFonts w:ascii="Times New Roman" w:hAnsi="Times New Roman" w:cs="Times New Roman"/>
          <w:sz w:val="28"/>
          <w:szCs w:val="28"/>
        </w:rPr>
        <w:t>esur</w:t>
      </w:r>
      <w:r w:rsidR="00C77269" w:rsidRPr="003B3EF6">
        <w:rPr>
          <w:rFonts w:ascii="Times New Roman" w:hAnsi="Times New Roman" w:cs="Times New Roman"/>
          <w:sz w:val="28"/>
          <w:szCs w:val="28"/>
        </w:rPr>
        <w:t xml:space="preserve">gence of interest in </w:t>
      </w:r>
      <w:r w:rsidRPr="003B3EF6">
        <w:rPr>
          <w:rFonts w:ascii="Times New Roman" w:hAnsi="Times New Roman" w:cs="Times New Roman"/>
          <w:sz w:val="28"/>
          <w:szCs w:val="28"/>
        </w:rPr>
        <w:t>more traditional ‘</w:t>
      </w:r>
      <w:r w:rsidR="00206BFC" w:rsidRPr="003B3EF6">
        <w:rPr>
          <w:rFonts w:ascii="Times New Roman" w:hAnsi="Times New Roman" w:cs="Times New Roman"/>
          <w:sz w:val="28"/>
          <w:szCs w:val="28"/>
        </w:rPr>
        <w:t>modernisation</w:t>
      </w:r>
      <w:r w:rsidRPr="003B3EF6">
        <w:rPr>
          <w:rFonts w:ascii="Times New Roman" w:hAnsi="Times New Roman" w:cs="Times New Roman"/>
          <w:sz w:val="28"/>
          <w:szCs w:val="28"/>
        </w:rPr>
        <w:t>’</w:t>
      </w:r>
      <w:r w:rsidR="00206BFC" w:rsidRPr="003B3EF6">
        <w:rPr>
          <w:rFonts w:ascii="Times New Roman" w:hAnsi="Times New Roman" w:cs="Times New Roman"/>
          <w:sz w:val="28"/>
          <w:szCs w:val="28"/>
        </w:rPr>
        <w:t xml:space="preserve"> </w:t>
      </w:r>
      <w:r w:rsidR="006F7308" w:rsidRPr="003B3EF6">
        <w:rPr>
          <w:rFonts w:ascii="Times New Roman" w:hAnsi="Times New Roman" w:cs="Times New Roman"/>
          <w:sz w:val="28"/>
          <w:szCs w:val="28"/>
        </w:rPr>
        <w:t xml:space="preserve">theory </w:t>
      </w:r>
      <w:r w:rsidR="00206BFC" w:rsidRPr="003B3EF6">
        <w:rPr>
          <w:rFonts w:ascii="Times New Roman" w:hAnsi="Times New Roman" w:cs="Times New Roman"/>
          <w:sz w:val="28"/>
          <w:szCs w:val="28"/>
        </w:rPr>
        <w:t>w</w:t>
      </w:r>
      <w:r w:rsidRPr="003B3EF6">
        <w:rPr>
          <w:rFonts w:ascii="Times New Roman" w:hAnsi="Times New Roman" w:cs="Times New Roman"/>
          <w:sz w:val="28"/>
          <w:szCs w:val="28"/>
        </w:rPr>
        <w:t>hich highlight</w:t>
      </w:r>
      <w:r w:rsidR="006F7308" w:rsidRPr="003B3EF6">
        <w:rPr>
          <w:rFonts w:ascii="Times New Roman" w:hAnsi="Times New Roman" w:cs="Times New Roman"/>
          <w:sz w:val="28"/>
          <w:szCs w:val="28"/>
        </w:rPr>
        <w:t>s</w:t>
      </w:r>
      <w:r w:rsidRPr="003B3EF6">
        <w:rPr>
          <w:rFonts w:ascii="Times New Roman" w:hAnsi="Times New Roman" w:cs="Times New Roman"/>
          <w:sz w:val="28"/>
          <w:szCs w:val="28"/>
        </w:rPr>
        <w:t xml:space="preserve"> the </w:t>
      </w:r>
      <w:r w:rsidR="006F7308" w:rsidRPr="003B3EF6">
        <w:rPr>
          <w:rFonts w:ascii="Times New Roman" w:hAnsi="Times New Roman" w:cs="Times New Roman"/>
          <w:sz w:val="28"/>
          <w:szCs w:val="28"/>
        </w:rPr>
        <w:t xml:space="preserve">critical </w:t>
      </w:r>
      <w:r w:rsidRPr="003B3EF6">
        <w:rPr>
          <w:rFonts w:ascii="Times New Roman" w:hAnsi="Times New Roman" w:cs="Times New Roman"/>
          <w:sz w:val="28"/>
          <w:szCs w:val="28"/>
        </w:rPr>
        <w:t xml:space="preserve">importance </w:t>
      </w:r>
      <w:r w:rsidR="00C33527" w:rsidRPr="003B3EF6">
        <w:rPr>
          <w:rFonts w:ascii="Times New Roman" w:hAnsi="Times New Roman" w:cs="Times New Roman"/>
          <w:sz w:val="28"/>
          <w:szCs w:val="28"/>
        </w:rPr>
        <w:t>of implementing</w:t>
      </w:r>
      <w:r w:rsidR="006F7308" w:rsidRPr="003B3EF6">
        <w:rPr>
          <w:rFonts w:ascii="Times New Roman" w:hAnsi="Times New Roman" w:cs="Times New Roman"/>
          <w:sz w:val="28"/>
          <w:szCs w:val="28"/>
        </w:rPr>
        <w:t xml:space="preserve"> comprehensive national </w:t>
      </w:r>
      <w:r w:rsidR="00206BFC" w:rsidRPr="003B3EF6">
        <w:rPr>
          <w:rFonts w:ascii="Times New Roman" w:hAnsi="Times New Roman" w:cs="Times New Roman"/>
          <w:sz w:val="28"/>
          <w:szCs w:val="28"/>
        </w:rPr>
        <w:t>human resource development strateg</w:t>
      </w:r>
      <w:r w:rsidR="006F7308" w:rsidRPr="003B3EF6">
        <w:rPr>
          <w:rFonts w:ascii="Times New Roman" w:hAnsi="Times New Roman" w:cs="Times New Roman"/>
          <w:sz w:val="28"/>
          <w:szCs w:val="28"/>
        </w:rPr>
        <w:t xml:space="preserve">ies </w:t>
      </w:r>
      <w:r w:rsidR="00206BFC" w:rsidRPr="003B3EF6">
        <w:rPr>
          <w:rFonts w:ascii="Times New Roman" w:hAnsi="Times New Roman" w:cs="Times New Roman"/>
          <w:sz w:val="28"/>
          <w:szCs w:val="28"/>
        </w:rPr>
        <w:t xml:space="preserve">which </w:t>
      </w:r>
      <w:r w:rsidRPr="003B3EF6">
        <w:rPr>
          <w:rFonts w:ascii="Times New Roman" w:hAnsi="Times New Roman" w:cs="Times New Roman"/>
          <w:sz w:val="28"/>
          <w:szCs w:val="28"/>
        </w:rPr>
        <w:t xml:space="preserve">directly </w:t>
      </w:r>
      <w:r w:rsidR="00206BFC" w:rsidRPr="003B3EF6">
        <w:rPr>
          <w:rFonts w:ascii="Times New Roman" w:hAnsi="Times New Roman" w:cs="Times New Roman"/>
          <w:sz w:val="28"/>
          <w:szCs w:val="28"/>
        </w:rPr>
        <w:t>facilitate skills formation for the new growth sectors including services.</w:t>
      </w:r>
      <w:r w:rsidR="00F070B1" w:rsidRPr="003B3EF6">
        <w:rPr>
          <w:rFonts w:ascii="Times New Roman" w:hAnsi="Times New Roman" w:cs="Times New Roman"/>
          <w:sz w:val="28"/>
          <w:szCs w:val="28"/>
        </w:rPr>
        <w:t xml:space="preserve"> </w:t>
      </w:r>
      <w:r w:rsidR="003F5250" w:rsidRPr="003B3EF6">
        <w:rPr>
          <w:rFonts w:ascii="Times New Roman" w:hAnsi="Times New Roman" w:cs="Times New Roman"/>
          <w:sz w:val="28"/>
          <w:szCs w:val="28"/>
        </w:rPr>
        <w:t>Plugging</w:t>
      </w:r>
      <w:r w:rsidR="006F7308" w:rsidRPr="003B3EF6">
        <w:rPr>
          <w:rFonts w:ascii="Times New Roman" w:hAnsi="Times New Roman" w:cs="Times New Roman"/>
          <w:sz w:val="28"/>
          <w:szCs w:val="28"/>
        </w:rPr>
        <w:t xml:space="preserve"> these ‘s</w:t>
      </w:r>
      <w:r w:rsidR="00F070B1" w:rsidRPr="003B3EF6">
        <w:rPr>
          <w:rFonts w:ascii="Times New Roman" w:hAnsi="Times New Roman" w:cs="Times New Roman"/>
          <w:sz w:val="28"/>
          <w:szCs w:val="28"/>
        </w:rPr>
        <w:t>kills gap</w:t>
      </w:r>
      <w:r w:rsidR="006F7308" w:rsidRPr="003B3EF6">
        <w:rPr>
          <w:rFonts w:ascii="Times New Roman" w:hAnsi="Times New Roman" w:cs="Times New Roman"/>
          <w:sz w:val="28"/>
          <w:szCs w:val="28"/>
        </w:rPr>
        <w:t xml:space="preserve">s’ has become a top priority. </w:t>
      </w:r>
      <w:r w:rsidR="008303F1" w:rsidRPr="003B3EF6">
        <w:rPr>
          <w:rFonts w:ascii="Times New Roman" w:hAnsi="Times New Roman" w:cs="Times New Roman"/>
          <w:sz w:val="28"/>
          <w:szCs w:val="28"/>
        </w:rPr>
        <w:t xml:space="preserve"> </w:t>
      </w:r>
    </w:p>
    <w:p w:rsidR="006F7308" w:rsidRPr="00EC3441" w:rsidRDefault="00333B43" w:rsidP="0010647C">
      <w:pPr>
        <w:rPr>
          <w:rFonts w:ascii="Times New Roman" w:hAnsi="Times New Roman" w:cs="Times New Roman"/>
          <w:i/>
          <w:sz w:val="28"/>
          <w:szCs w:val="28"/>
        </w:rPr>
      </w:pPr>
      <w:r>
        <w:rPr>
          <w:rFonts w:ascii="Times New Roman" w:hAnsi="Times New Roman" w:cs="Times New Roman"/>
          <w:i/>
          <w:sz w:val="28"/>
          <w:szCs w:val="28"/>
        </w:rPr>
        <w:br w:type="page"/>
      </w:r>
      <w:r w:rsidR="00EC3441" w:rsidRPr="00EC3441">
        <w:rPr>
          <w:rFonts w:ascii="Times New Roman" w:hAnsi="Times New Roman" w:cs="Times New Roman"/>
          <w:i/>
          <w:sz w:val="28"/>
          <w:szCs w:val="28"/>
        </w:rPr>
        <w:lastRenderedPageBreak/>
        <w:t>4</w:t>
      </w:r>
      <w:r w:rsidR="006F7308" w:rsidRPr="00EC3441">
        <w:rPr>
          <w:rFonts w:ascii="Times New Roman" w:hAnsi="Times New Roman" w:cs="Times New Roman"/>
          <w:i/>
          <w:sz w:val="28"/>
          <w:szCs w:val="28"/>
        </w:rPr>
        <w:t xml:space="preserve">.2 </w:t>
      </w:r>
      <w:r w:rsidR="00BB6EE8" w:rsidRPr="00EC3441">
        <w:rPr>
          <w:rFonts w:ascii="Times New Roman" w:hAnsi="Times New Roman" w:cs="Times New Roman"/>
          <w:i/>
          <w:sz w:val="28"/>
          <w:szCs w:val="28"/>
        </w:rPr>
        <w:t>Class restructuring: t</w:t>
      </w:r>
      <w:r w:rsidR="006F7308" w:rsidRPr="00EC3441">
        <w:rPr>
          <w:rFonts w:ascii="Times New Roman" w:hAnsi="Times New Roman" w:cs="Times New Roman"/>
          <w:i/>
          <w:sz w:val="28"/>
          <w:szCs w:val="28"/>
        </w:rPr>
        <w:t xml:space="preserve">he </w:t>
      </w:r>
      <w:r w:rsidR="003C795F">
        <w:rPr>
          <w:rFonts w:ascii="Times New Roman" w:hAnsi="Times New Roman" w:cs="Times New Roman"/>
          <w:i/>
          <w:sz w:val="28"/>
          <w:szCs w:val="28"/>
        </w:rPr>
        <w:t xml:space="preserve">expansion </w:t>
      </w:r>
      <w:r w:rsidR="006F7308" w:rsidRPr="00EC3441">
        <w:rPr>
          <w:rFonts w:ascii="Times New Roman" w:hAnsi="Times New Roman" w:cs="Times New Roman"/>
          <w:i/>
          <w:sz w:val="28"/>
          <w:szCs w:val="28"/>
        </w:rPr>
        <w:t xml:space="preserve">of a </w:t>
      </w:r>
      <w:r w:rsidR="00FC0D97">
        <w:rPr>
          <w:rFonts w:ascii="Times New Roman" w:hAnsi="Times New Roman" w:cs="Times New Roman"/>
          <w:i/>
          <w:sz w:val="28"/>
          <w:szCs w:val="28"/>
        </w:rPr>
        <w:t xml:space="preserve">reconstituted </w:t>
      </w:r>
      <w:r w:rsidR="006F7308" w:rsidRPr="00EC3441">
        <w:rPr>
          <w:rFonts w:ascii="Times New Roman" w:hAnsi="Times New Roman" w:cs="Times New Roman"/>
          <w:i/>
          <w:sz w:val="28"/>
          <w:szCs w:val="28"/>
        </w:rPr>
        <w:t>middle class</w:t>
      </w:r>
    </w:p>
    <w:p w:rsidR="005810C3" w:rsidRDefault="00C77269" w:rsidP="003456A0">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Successful private </w:t>
      </w:r>
      <w:r w:rsidR="006F7308" w:rsidRPr="003B3EF6">
        <w:rPr>
          <w:rFonts w:ascii="Times New Roman" w:hAnsi="Times New Roman" w:cs="Times New Roman"/>
          <w:sz w:val="28"/>
          <w:szCs w:val="28"/>
        </w:rPr>
        <w:t xml:space="preserve">sector development </w:t>
      </w:r>
      <w:r w:rsidR="001B1238">
        <w:rPr>
          <w:rFonts w:ascii="Times New Roman" w:hAnsi="Times New Roman" w:cs="Times New Roman"/>
          <w:sz w:val="28"/>
          <w:szCs w:val="28"/>
        </w:rPr>
        <w:t xml:space="preserve">in SSA </w:t>
      </w:r>
      <w:r w:rsidR="006F7308" w:rsidRPr="003B3EF6">
        <w:rPr>
          <w:rFonts w:ascii="Times New Roman" w:hAnsi="Times New Roman" w:cs="Times New Roman"/>
          <w:sz w:val="28"/>
          <w:szCs w:val="28"/>
        </w:rPr>
        <w:t xml:space="preserve">hinges </w:t>
      </w:r>
      <w:r w:rsidR="00A27DA8">
        <w:rPr>
          <w:rFonts w:ascii="Times New Roman" w:hAnsi="Times New Roman" w:cs="Times New Roman"/>
          <w:sz w:val="28"/>
          <w:szCs w:val="28"/>
        </w:rPr>
        <w:t xml:space="preserve">on a </w:t>
      </w:r>
      <w:r w:rsidR="00FC0D97">
        <w:rPr>
          <w:rFonts w:ascii="Times New Roman" w:hAnsi="Times New Roman" w:cs="Times New Roman"/>
          <w:sz w:val="28"/>
          <w:szCs w:val="28"/>
        </w:rPr>
        <w:t xml:space="preserve">historically decisive </w:t>
      </w:r>
      <w:r w:rsidR="00A27DA8">
        <w:rPr>
          <w:rFonts w:ascii="Times New Roman" w:hAnsi="Times New Roman" w:cs="Times New Roman"/>
          <w:sz w:val="28"/>
          <w:szCs w:val="28"/>
        </w:rPr>
        <w:t>realignment</w:t>
      </w:r>
      <w:r w:rsidR="003C795F">
        <w:rPr>
          <w:rFonts w:ascii="Times New Roman" w:hAnsi="Times New Roman" w:cs="Times New Roman"/>
          <w:sz w:val="28"/>
          <w:szCs w:val="28"/>
        </w:rPr>
        <w:t xml:space="preserve"> of economic, social and polit</w:t>
      </w:r>
      <w:r w:rsidR="00A27DA8">
        <w:rPr>
          <w:rFonts w:ascii="Times New Roman" w:hAnsi="Times New Roman" w:cs="Times New Roman"/>
          <w:sz w:val="28"/>
          <w:szCs w:val="28"/>
        </w:rPr>
        <w:t>ical structures and proces</w:t>
      </w:r>
      <w:r w:rsidR="00FC0D97">
        <w:rPr>
          <w:rFonts w:ascii="Times New Roman" w:hAnsi="Times New Roman" w:cs="Times New Roman"/>
          <w:sz w:val="28"/>
          <w:szCs w:val="28"/>
        </w:rPr>
        <w:t>s</w:t>
      </w:r>
      <w:r w:rsidR="00A27DA8">
        <w:rPr>
          <w:rFonts w:ascii="Times New Roman" w:hAnsi="Times New Roman" w:cs="Times New Roman"/>
          <w:sz w:val="28"/>
          <w:szCs w:val="28"/>
        </w:rPr>
        <w:t>es which, in a variety of ways, facilitates the rapid development/strengthening of a</w:t>
      </w:r>
      <w:r w:rsidR="00CB1A0B">
        <w:rPr>
          <w:rFonts w:ascii="Times New Roman" w:hAnsi="Times New Roman" w:cs="Times New Roman"/>
          <w:sz w:val="28"/>
          <w:szCs w:val="28"/>
        </w:rPr>
        <w:t>n</w:t>
      </w:r>
      <w:r w:rsidR="00A27DA8">
        <w:rPr>
          <w:rFonts w:ascii="Times New Roman" w:hAnsi="Times New Roman" w:cs="Times New Roman"/>
          <w:sz w:val="28"/>
          <w:szCs w:val="28"/>
        </w:rPr>
        <w:t xml:space="preserve"> indigenous business class of capitalists and entrepreneurs </w:t>
      </w:r>
      <w:r w:rsidR="000828E2">
        <w:rPr>
          <w:rFonts w:ascii="Times New Roman" w:hAnsi="Times New Roman" w:cs="Times New Roman"/>
          <w:sz w:val="28"/>
          <w:szCs w:val="28"/>
        </w:rPr>
        <w:t xml:space="preserve">usually </w:t>
      </w:r>
      <w:r w:rsidR="00A27DA8">
        <w:rPr>
          <w:rFonts w:ascii="Times New Roman" w:hAnsi="Times New Roman" w:cs="Times New Roman"/>
          <w:sz w:val="28"/>
          <w:szCs w:val="28"/>
        </w:rPr>
        <w:t xml:space="preserve">coupled with </w:t>
      </w:r>
      <w:r w:rsidR="003C795F">
        <w:rPr>
          <w:rFonts w:ascii="Times New Roman" w:hAnsi="Times New Roman" w:cs="Times New Roman"/>
          <w:sz w:val="28"/>
          <w:szCs w:val="28"/>
        </w:rPr>
        <w:t xml:space="preserve">significant </w:t>
      </w:r>
      <w:r w:rsidR="00A27DA8">
        <w:rPr>
          <w:rFonts w:ascii="Times New Roman" w:hAnsi="Times New Roman" w:cs="Times New Roman"/>
          <w:sz w:val="28"/>
          <w:szCs w:val="28"/>
        </w:rPr>
        <w:t xml:space="preserve">increases in foreign direct investment </w:t>
      </w:r>
      <w:r w:rsidR="003456A0">
        <w:rPr>
          <w:rFonts w:ascii="Times New Roman" w:hAnsi="Times New Roman" w:cs="Times New Roman"/>
          <w:sz w:val="28"/>
          <w:szCs w:val="28"/>
        </w:rPr>
        <w:t>(</w:t>
      </w:r>
      <w:r w:rsidR="00A27DA8">
        <w:rPr>
          <w:rFonts w:ascii="Times New Roman" w:hAnsi="Times New Roman" w:cs="Times New Roman"/>
          <w:sz w:val="28"/>
          <w:szCs w:val="28"/>
        </w:rPr>
        <w:t>especially targeted at key growth sectors</w:t>
      </w:r>
      <w:r w:rsidR="00CB1A0B">
        <w:rPr>
          <w:rFonts w:ascii="Times New Roman" w:hAnsi="Times New Roman" w:cs="Times New Roman"/>
          <w:sz w:val="28"/>
          <w:szCs w:val="28"/>
        </w:rPr>
        <w:t xml:space="preserve"> on greenfield sites</w:t>
      </w:r>
      <w:r w:rsidR="003456A0">
        <w:rPr>
          <w:rFonts w:ascii="Times New Roman" w:hAnsi="Times New Roman" w:cs="Times New Roman"/>
          <w:sz w:val="28"/>
          <w:szCs w:val="28"/>
        </w:rPr>
        <w:t>)</w:t>
      </w:r>
      <w:r w:rsidR="00970E16">
        <w:rPr>
          <w:rStyle w:val="FootnoteReference"/>
          <w:rFonts w:ascii="Times New Roman" w:hAnsi="Times New Roman" w:cs="Times New Roman"/>
          <w:sz w:val="28"/>
          <w:szCs w:val="28"/>
        </w:rPr>
        <w:footnoteReference w:id="15"/>
      </w:r>
      <w:r w:rsidR="00A27DA8">
        <w:rPr>
          <w:rFonts w:ascii="Times New Roman" w:hAnsi="Times New Roman" w:cs="Times New Roman"/>
          <w:sz w:val="28"/>
          <w:szCs w:val="28"/>
        </w:rPr>
        <w:t xml:space="preserve">. New and rejuvenated national and foreign enterprises must also </w:t>
      </w:r>
      <w:r w:rsidR="00052B69">
        <w:rPr>
          <w:rFonts w:ascii="Times New Roman" w:hAnsi="Times New Roman" w:cs="Times New Roman"/>
          <w:sz w:val="28"/>
          <w:szCs w:val="28"/>
        </w:rPr>
        <w:t>be staffed by a growing cadre of managers and other skilled personnel</w:t>
      </w:r>
      <w:r w:rsidR="00CB1A0B">
        <w:rPr>
          <w:rFonts w:ascii="Times New Roman" w:hAnsi="Times New Roman" w:cs="Times New Roman"/>
          <w:sz w:val="28"/>
          <w:szCs w:val="28"/>
        </w:rPr>
        <w:t xml:space="preserve"> with the appropriate </w:t>
      </w:r>
      <w:r w:rsidR="003456A0">
        <w:rPr>
          <w:rFonts w:ascii="Times New Roman" w:hAnsi="Times New Roman" w:cs="Times New Roman"/>
          <w:sz w:val="28"/>
          <w:szCs w:val="28"/>
        </w:rPr>
        <w:t>skills and attit</w:t>
      </w:r>
      <w:r w:rsidR="00CB1A0B">
        <w:rPr>
          <w:rFonts w:ascii="Times New Roman" w:hAnsi="Times New Roman" w:cs="Times New Roman"/>
          <w:sz w:val="28"/>
          <w:szCs w:val="28"/>
        </w:rPr>
        <w:t>udes</w:t>
      </w:r>
      <w:r w:rsidR="00052B69">
        <w:rPr>
          <w:rFonts w:ascii="Times New Roman" w:hAnsi="Times New Roman" w:cs="Times New Roman"/>
          <w:sz w:val="28"/>
          <w:szCs w:val="28"/>
        </w:rPr>
        <w:t>. In those countries where economic liberalisation ha</w:t>
      </w:r>
      <w:r w:rsidR="00FC0D97">
        <w:rPr>
          <w:rFonts w:ascii="Times New Roman" w:hAnsi="Times New Roman" w:cs="Times New Roman"/>
          <w:sz w:val="28"/>
          <w:szCs w:val="28"/>
        </w:rPr>
        <w:t xml:space="preserve">s been most far </w:t>
      </w:r>
      <w:r w:rsidR="00052B69">
        <w:rPr>
          <w:rFonts w:ascii="Times New Roman" w:hAnsi="Times New Roman" w:cs="Times New Roman"/>
          <w:sz w:val="28"/>
          <w:szCs w:val="28"/>
        </w:rPr>
        <w:t>reaching (especially in Anglophone Africa), t</w:t>
      </w:r>
      <w:r w:rsidR="006F7308" w:rsidRPr="003B3EF6">
        <w:rPr>
          <w:rFonts w:ascii="Times New Roman" w:hAnsi="Times New Roman" w:cs="Times New Roman"/>
          <w:sz w:val="28"/>
          <w:szCs w:val="28"/>
        </w:rPr>
        <w:t xml:space="preserve">his amounts to nothing less than </w:t>
      </w:r>
      <w:r w:rsidR="00BB6EE8" w:rsidRPr="003B3EF6">
        <w:rPr>
          <w:rFonts w:ascii="Times New Roman" w:hAnsi="Times New Roman" w:cs="Times New Roman"/>
          <w:sz w:val="28"/>
          <w:szCs w:val="28"/>
        </w:rPr>
        <w:t xml:space="preserve">a </w:t>
      </w:r>
      <w:r w:rsidR="00070F18" w:rsidRPr="003B3EF6">
        <w:rPr>
          <w:rFonts w:ascii="Times New Roman" w:hAnsi="Times New Roman" w:cs="Times New Roman"/>
          <w:sz w:val="28"/>
          <w:szCs w:val="28"/>
        </w:rPr>
        <w:t>major r</w:t>
      </w:r>
      <w:r w:rsidR="006F7308" w:rsidRPr="003B3EF6">
        <w:rPr>
          <w:rFonts w:ascii="Times New Roman" w:hAnsi="Times New Roman" w:cs="Times New Roman"/>
          <w:sz w:val="28"/>
          <w:szCs w:val="28"/>
        </w:rPr>
        <w:t xml:space="preserve">estructuring of the </w:t>
      </w:r>
      <w:r w:rsidR="005F06CD" w:rsidRPr="003B3EF6">
        <w:rPr>
          <w:rFonts w:ascii="Times New Roman" w:hAnsi="Times New Roman" w:cs="Times New Roman"/>
          <w:sz w:val="28"/>
          <w:szCs w:val="28"/>
        </w:rPr>
        <w:t xml:space="preserve">national </w:t>
      </w:r>
      <w:r w:rsidR="006F7308" w:rsidRPr="003B3EF6">
        <w:rPr>
          <w:rFonts w:ascii="Times New Roman" w:hAnsi="Times New Roman" w:cs="Times New Roman"/>
          <w:sz w:val="28"/>
          <w:szCs w:val="28"/>
        </w:rPr>
        <w:t>class s</w:t>
      </w:r>
      <w:r w:rsidR="003456A0">
        <w:rPr>
          <w:rFonts w:ascii="Times New Roman" w:hAnsi="Times New Roman" w:cs="Times New Roman"/>
          <w:sz w:val="28"/>
          <w:szCs w:val="28"/>
        </w:rPr>
        <w:t xml:space="preserve">ystem </w:t>
      </w:r>
      <w:r w:rsidR="00BB6EE8" w:rsidRPr="003B3EF6">
        <w:rPr>
          <w:rFonts w:ascii="Times New Roman" w:hAnsi="Times New Roman" w:cs="Times New Roman"/>
          <w:sz w:val="28"/>
          <w:szCs w:val="28"/>
        </w:rPr>
        <w:t xml:space="preserve"> with economic and political power shifting </w:t>
      </w:r>
      <w:r w:rsidR="00C33527" w:rsidRPr="003B3EF6">
        <w:rPr>
          <w:rFonts w:ascii="Times New Roman" w:hAnsi="Times New Roman" w:cs="Times New Roman"/>
          <w:sz w:val="28"/>
          <w:szCs w:val="28"/>
        </w:rPr>
        <w:t>decisively</w:t>
      </w:r>
      <w:r w:rsidR="00BB6EE8" w:rsidRPr="003B3EF6">
        <w:rPr>
          <w:rFonts w:ascii="Times New Roman" w:hAnsi="Times New Roman" w:cs="Times New Roman"/>
          <w:sz w:val="28"/>
          <w:szCs w:val="28"/>
        </w:rPr>
        <w:t xml:space="preserve"> awa</w:t>
      </w:r>
      <w:r w:rsidR="00052B69">
        <w:rPr>
          <w:rFonts w:ascii="Times New Roman" w:hAnsi="Times New Roman" w:cs="Times New Roman"/>
          <w:sz w:val="28"/>
          <w:szCs w:val="28"/>
        </w:rPr>
        <w:t xml:space="preserve">y from the previously dominant bureaucratic middle </w:t>
      </w:r>
      <w:r w:rsidR="007A7948">
        <w:rPr>
          <w:rFonts w:ascii="Times New Roman" w:hAnsi="Times New Roman" w:cs="Times New Roman"/>
          <w:sz w:val="28"/>
          <w:szCs w:val="28"/>
        </w:rPr>
        <w:t xml:space="preserve">class </w:t>
      </w:r>
      <w:r w:rsidR="00FC0D97">
        <w:rPr>
          <w:rFonts w:ascii="Times New Roman" w:hAnsi="Times New Roman" w:cs="Times New Roman"/>
          <w:sz w:val="28"/>
          <w:szCs w:val="28"/>
        </w:rPr>
        <w:t>which</w:t>
      </w:r>
      <w:r w:rsidR="000828E2">
        <w:rPr>
          <w:rFonts w:ascii="Times New Roman" w:hAnsi="Times New Roman" w:cs="Times New Roman"/>
          <w:sz w:val="28"/>
          <w:szCs w:val="28"/>
        </w:rPr>
        <w:t>, since political independence</w:t>
      </w:r>
      <w:r w:rsidR="003C795F">
        <w:rPr>
          <w:rStyle w:val="FootnoteReference"/>
          <w:rFonts w:ascii="Times New Roman" w:hAnsi="Times New Roman" w:cs="Times New Roman"/>
          <w:sz w:val="28"/>
          <w:szCs w:val="28"/>
        </w:rPr>
        <w:footnoteReference w:id="16"/>
      </w:r>
      <w:r w:rsidR="000828E2">
        <w:rPr>
          <w:rFonts w:ascii="Times New Roman" w:hAnsi="Times New Roman" w:cs="Times New Roman"/>
          <w:sz w:val="28"/>
          <w:szCs w:val="28"/>
        </w:rPr>
        <w:t xml:space="preserve">, </w:t>
      </w:r>
      <w:r w:rsidR="00FC0D97">
        <w:rPr>
          <w:rFonts w:ascii="Times New Roman" w:hAnsi="Times New Roman" w:cs="Times New Roman"/>
          <w:sz w:val="28"/>
          <w:szCs w:val="28"/>
        </w:rPr>
        <w:t xml:space="preserve"> had controlled the </w:t>
      </w:r>
      <w:r w:rsidR="00371E25">
        <w:rPr>
          <w:rFonts w:ascii="Times New Roman" w:hAnsi="Times New Roman" w:cs="Times New Roman"/>
          <w:sz w:val="28"/>
          <w:szCs w:val="28"/>
        </w:rPr>
        <w:t xml:space="preserve">central </w:t>
      </w:r>
      <w:r w:rsidR="00FC0D97">
        <w:rPr>
          <w:rFonts w:ascii="Times New Roman" w:hAnsi="Times New Roman" w:cs="Times New Roman"/>
          <w:sz w:val="28"/>
          <w:szCs w:val="28"/>
        </w:rPr>
        <w:t>state apparatus and the public sector</w:t>
      </w:r>
      <w:r w:rsidR="003456A0">
        <w:rPr>
          <w:rFonts w:ascii="Times New Roman" w:hAnsi="Times New Roman" w:cs="Times New Roman"/>
          <w:sz w:val="28"/>
          <w:szCs w:val="28"/>
        </w:rPr>
        <w:t xml:space="preserve"> as a whole</w:t>
      </w:r>
      <w:r w:rsidR="00FC0D97">
        <w:rPr>
          <w:rFonts w:ascii="Times New Roman" w:hAnsi="Times New Roman" w:cs="Times New Roman"/>
          <w:sz w:val="28"/>
          <w:szCs w:val="28"/>
        </w:rPr>
        <w:t xml:space="preserve"> (which included large swathes of the formal economy) </w:t>
      </w:r>
      <w:r w:rsidR="00052B69">
        <w:rPr>
          <w:rFonts w:ascii="Times New Roman" w:hAnsi="Times New Roman" w:cs="Times New Roman"/>
          <w:sz w:val="28"/>
          <w:szCs w:val="28"/>
        </w:rPr>
        <w:t>towards a newly empowered</w:t>
      </w:r>
      <w:r w:rsidR="00BB6EE8" w:rsidRPr="003B3EF6">
        <w:rPr>
          <w:rFonts w:ascii="Times New Roman" w:hAnsi="Times New Roman" w:cs="Times New Roman"/>
          <w:sz w:val="28"/>
          <w:szCs w:val="28"/>
        </w:rPr>
        <w:t xml:space="preserve"> </w:t>
      </w:r>
      <w:r w:rsidR="00206BFC" w:rsidRPr="003B3EF6">
        <w:rPr>
          <w:rFonts w:ascii="Times New Roman" w:hAnsi="Times New Roman" w:cs="Times New Roman"/>
          <w:sz w:val="28"/>
          <w:szCs w:val="28"/>
        </w:rPr>
        <w:t>business</w:t>
      </w:r>
      <w:r w:rsidR="005810C3">
        <w:rPr>
          <w:rFonts w:ascii="Times New Roman" w:hAnsi="Times New Roman" w:cs="Times New Roman"/>
          <w:sz w:val="28"/>
          <w:szCs w:val="28"/>
        </w:rPr>
        <w:t>/private sector based</w:t>
      </w:r>
      <w:r w:rsidR="008303F1" w:rsidRPr="003B3EF6">
        <w:rPr>
          <w:rFonts w:ascii="Times New Roman" w:hAnsi="Times New Roman" w:cs="Times New Roman"/>
          <w:sz w:val="28"/>
          <w:szCs w:val="28"/>
        </w:rPr>
        <w:t xml:space="preserve"> </w:t>
      </w:r>
      <w:r w:rsidR="000828E2">
        <w:rPr>
          <w:rFonts w:ascii="Times New Roman" w:hAnsi="Times New Roman" w:cs="Times New Roman"/>
          <w:sz w:val="28"/>
          <w:szCs w:val="28"/>
        </w:rPr>
        <w:t xml:space="preserve">middle </w:t>
      </w:r>
      <w:r w:rsidR="008303F1" w:rsidRPr="003B3EF6">
        <w:rPr>
          <w:rFonts w:ascii="Times New Roman" w:hAnsi="Times New Roman" w:cs="Times New Roman"/>
          <w:sz w:val="28"/>
          <w:szCs w:val="28"/>
        </w:rPr>
        <w:t>class</w:t>
      </w:r>
      <w:r w:rsidR="00CB1A0B">
        <w:rPr>
          <w:rFonts w:ascii="Times New Roman" w:hAnsi="Times New Roman" w:cs="Times New Roman"/>
          <w:sz w:val="28"/>
          <w:szCs w:val="28"/>
        </w:rPr>
        <w:t xml:space="preserve"> spearheading </w:t>
      </w:r>
      <w:r w:rsidR="003456A0">
        <w:rPr>
          <w:rFonts w:ascii="Times New Roman" w:hAnsi="Times New Roman" w:cs="Times New Roman"/>
          <w:sz w:val="28"/>
          <w:szCs w:val="28"/>
        </w:rPr>
        <w:t xml:space="preserve">a process of </w:t>
      </w:r>
      <w:r w:rsidR="00CB1A0B">
        <w:rPr>
          <w:rFonts w:ascii="Times New Roman" w:hAnsi="Times New Roman" w:cs="Times New Roman"/>
          <w:sz w:val="28"/>
          <w:szCs w:val="28"/>
        </w:rPr>
        <w:t xml:space="preserve">national capitalist </w:t>
      </w:r>
      <w:r w:rsidR="005810C3">
        <w:rPr>
          <w:rFonts w:ascii="Times New Roman" w:hAnsi="Times New Roman" w:cs="Times New Roman"/>
          <w:sz w:val="28"/>
          <w:szCs w:val="28"/>
        </w:rPr>
        <w:t>development</w:t>
      </w:r>
      <w:r w:rsidR="00BB6EE8" w:rsidRPr="003B3EF6">
        <w:rPr>
          <w:rFonts w:ascii="Times New Roman" w:hAnsi="Times New Roman" w:cs="Times New Roman"/>
          <w:sz w:val="28"/>
          <w:szCs w:val="28"/>
        </w:rPr>
        <w:t>.</w:t>
      </w:r>
      <w:r w:rsidR="00CB1A0B">
        <w:rPr>
          <w:rFonts w:ascii="Times New Roman" w:hAnsi="Times New Roman" w:cs="Times New Roman"/>
          <w:sz w:val="28"/>
          <w:szCs w:val="28"/>
        </w:rPr>
        <w:t xml:space="preserve"> </w:t>
      </w:r>
    </w:p>
    <w:p w:rsidR="00970E16" w:rsidRDefault="000828E2" w:rsidP="00970E16">
      <w:pPr>
        <w:pStyle w:val="FootnoteText"/>
        <w:spacing w:line="360" w:lineRule="auto"/>
        <w:jc w:val="both"/>
        <w:rPr>
          <w:rFonts w:ascii="Times New Roman" w:hAnsi="Times New Roman" w:cs="Times New Roman"/>
          <w:sz w:val="28"/>
          <w:szCs w:val="28"/>
        </w:rPr>
      </w:pPr>
      <w:r>
        <w:rPr>
          <w:rFonts w:ascii="Times New Roman" w:hAnsi="Times New Roman" w:cs="Times New Roman"/>
          <w:sz w:val="28"/>
          <w:szCs w:val="28"/>
        </w:rPr>
        <w:t>W</w:t>
      </w:r>
      <w:r w:rsidR="00970E16">
        <w:rPr>
          <w:rFonts w:ascii="Times New Roman" w:hAnsi="Times New Roman" w:cs="Times New Roman"/>
          <w:sz w:val="28"/>
          <w:szCs w:val="28"/>
        </w:rPr>
        <w:t>hile there is wide</w:t>
      </w:r>
      <w:r>
        <w:rPr>
          <w:rFonts w:ascii="Times New Roman" w:hAnsi="Times New Roman" w:cs="Times New Roman"/>
          <w:sz w:val="28"/>
          <w:szCs w:val="28"/>
        </w:rPr>
        <w:t>spread acknowledgement of the significan</w:t>
      </w:r>
      <w:r w:rsidR="0010647C">
        <w:rPr>
          <w:rFonts w:ascii="Times New Roman" w:hAnsi="Times New Roman" w:cs="Times New Roman"/>
          <w:sz w:val="28"/>
          <w:szCs w:val="28"/>
        </w:rPr>
        <w:t>t growth in size and overall influence</w:t>
      </w:r>
      <w:r>
        <w:rPr>
          <w:rFonts w:ascii="Times New Roman" w:hAnsi="Times New Roman" w:cs="Times New Roman"/>
          <w:sz w:val="28"/>
          <w:szCs w:val="28"/>
        </w:rPr>
        <w:t xml:space="preserve"> of the middle class as a whole</w:t>
      </w:r>
      <w:r w:rsidR="00970E16">
        <w:rPr>
          <w:rFonts w:ascii="Times New Roman" w:hAnsi="Times New Roman" w:cs="Times New Roman"/>
          <w:sz w:val="28"/>
          <w:szCs w:val="28"/>
        </w:rPr>
        <w:t xml:space="preserve"> in SSA</w:t>
      </w:r>
      <w:r w:rsidR="009B4BA1">
        <w:rPr>
          <w:rFonts w:ascii="Times New Roman" w:hAnsi="Times New Roman" w:cs="Times New Roman"/>
          <w:sz w:val="28"/>
          <w:szCs w:val="28"/>
        </w:rPr>
        <w:t xml:space="preserve"> d</w:t>
      </w:r>
      <w:r w:rsidR="001B1238">
        <w:rPr>
          <w:rFonts w:ascii="Times New Roman" w:hAnsi="Times New Roman" w:cs="Times New Roman"/>
          <w:sz w:val="28"/>
          <w:szCs w:val="28"/>
        </w:rPr>
        <w:t>uring the last two-three decades</w:t>
      </w:r>
      <w:r>
        <w:rPr>
          <w:rFonts w:ascii="Times New Roman" w:hAnsi="Times New Roman" w:cs="Times New Roman"/>
          <w:sz w:val="28"/>
          <w:szCs w:val="28"/>
        </w:rPr>
        <w:t xml:space="preserve">, surprisingly little detailed research has been undertaken on </w:t>
      </w:r>
      <w:r w:rsidR="009B4BA1">
        <w:rPr>
          <w:rFonts w:ascii="Times New Roman" w:hAnsi="Times New Roman" w:cs="Times New Roman"/>
          <w:sz w:val="28"/>
          <w:szCs w:val="28"/>
        </w:rPr>
        <w:t>this phenomenon</w:t>
      </w:r>
      <w:r>
        <w:rPr>
          <w:rStyle w:val="FootnoteReference"/>
          <w:rFonts w:ascii="Times New Roman" w:hAnsi="Times New Roman" w:cs="Times New Roman"/>
          <w:sz w:val="28"/>
          <w:szCs w:val="28"/>
        </w:rPr>
        <w:footnoteReference w:id="17"/>
      </w:r>
      <w:r>
        <w:rPr>
          <w:rFonts w:ascii="Times New Roman" w:hAnsi="Times New Roman" w:cs="Times New Roman"/>
          <w:sz w:val="28"/>
          <w:szCs w:val="28"/>
        </w:rPr>
        <w:t>.</w:t>
      </w:r>
      <w:r w:rsidR="00970E16">
        <w:rPr>
          <w:rFonts w:ascii="Times New Roman" w:hAnsi="Times New Roman" w:cs="Times New Roman"/>
          <w:sz w:val="28"/>
          <w:szCs w:val="28"/>
        </w:rPr>
        <w:t xml:space="preserve"> With marked reductions in poverty rates in many countries, t</w:t>
      </w:r>
      <w:r w:rsidR="00970E16" w:rsidRPr="00970E16">
        <w:rPr>
          <w:rFonts w:ascii="Times New Roman" w:hAnsi="Times New Roman" w:cs="Times New Roman"/>
          <w:sz w:val="28"/>
          <w:szCs w:val="28"/>
        </w:rPr>
        <w:t xml:space="preserve">here has been a rather sterile </w:t>
      </w:r>
      <w:r w:rsidR="00970E16">
        <w:rPr>
          <w:rFonts w:ascii="Times New Roman" w:hAnsi="Times New Roman" w:cs="Times New Roman"/>
          <w:sz w:val="28"/>
          <w:szCs w:val="28"/>
        </w:rPr>
        <w:t xml:space="preserve">and misconceived </w:t>
      </w:r>
      <w:r w:rsidR="00970E16" w:rsidRPr="00970E16">
        <w:rPr>
          <w:rFonts w:ascii="Times New Roman" w:hAnsi="Times New Roman" w:cs="Times New Roman"/>
          <w:sz w:val="28"/>
          <w:szCs w:val="28"/>
        </w:rPr>
        <w:t xml:space="preserve">debate </w:t>
      </w:r>
      <w:r w:rsidR="00970E16">
        <w:rPr>
          <w:rFonts w:ascii="Times New Roman" w:hAnsi="Times New Roman" w:cs="Times New Roman"/>
          <w:sz w:val="28"/>
          <w:szCs w:val="28"/>
        </w:rPr>
        <w:t xml:space="preserve">about </w:t>
      </w:r>
      <w:r w:rsidR="00970E16" w:rsidRPr="00970E16">
        <w:rPr>
          <w:rFonts w:ascii="Times New Roman" w:hAnsi="Times New Roman" w:cs="Times New Roman"/>
          <w:sz w:val="28"/>
          <w:szCs w:val="28"/>
        </w:rPr>
        <w:t xml:space="preserve">the key </w:t>
      </w:r>
      <w:r w:rsidR="009B4BA1">
        <w:rPr>
          <w:rFonts w:ascii="Times New Roman" w:hAnsi="Times New Roman" w:cs="Times New Roman"/>
          <w:sz w:val="28"/>
          <w:szCs w:val="28"/>
        </w:rPr>
        <w:t xml:space="preserve">features </w:t>
      </w:r>
      <w:r w:rsidR="00970E16" w:rsidRPr="00970E16">
        <w:rPr>
          <w:rFonts w:ascii="Times New Roman" w:hAnsi="Times New Roman" w:cs="Times New Roman"/>
          <w:sz w:val="28"/>
          <w:szCs w:val="28"/>
        </w:rPr>
        <w:t xml:space="preserve">of this </w:t>
      </w:r>
      <w:r w:rsidR="009B4BA1">
        <w:rPr>
          <w:rFonts w:ascii="Times New Roman" w:hAnsi="Times New Roman" w:cs="Times New Roman"/>
          <w:sz w:val="28"/>
          <w:szCs w:val="28"/>
        </w:rPr>
        <w:t xml:space="preserve">expanding </w:t>
      </w:r>
      <w:r w:rsidR="00970E16" w:rsidRPr="00970E16">
        <w:rPr>
          <w:rFonts w:ascii="Times New Roman" w:hAnsi="Times New Roman" w:cs="Times New Roman"/>
          <w:sz w:val="28"/>
          <w:szCs w:val="28"/>
        </w:rPr>
        <w:t xml:space="preserve">middle class in the academic literature much of which has revolved around delimiting the income levels at which an individual can be considered </w:t>
      </w:r>
      <w:r w:rsidR="00970E16" w:rsidRPr="00970E16">
        <w:rPr>
          <w:rFonts w:ascii="Times New Roman" w:hAnsi="Times New Roman" w:cs="Times New Roman"/>
          <w:sz w:val="28"/>
          <w:szCs w:val="28"/>
        </w:rPr>
        <w:lastRenderedPageBreak/>
        <w:t>‘middle class’ (see, for example, Visagie and Posel, 2011).</w:t>
      </w:r>
      <w:r w:rsidR="00970E16" w:rsidRPr="00A90866">
        <w:rPr>
          <w:rFonts w:ascii="Times New Roman" w:hAnsi="Times New Roman" w:cs="Times New Roman"/>
          <w:sz w:val="24"/>
          <w:szCs w:val="24"/>
        </w:rPr>
        <w:t xml:space="preserve"> </w:t>
      </w:r>
      <w:r w:rsidR="00970E16" w:rsidRPr="00970E16">
        <w:rPr>
          <w:rFonts w:ascii="Times New Roman" w:hAnsi="Times New Roman" w:cs="Times New Roman"/>
          <w:sz w:val="28"/>
          <w:szCs w:val="28"/>
        </w:rPr>
        <w:t>However, a</w:t>
      </w:r>
      <w:r w:rsidR="00206BFC" w:rsidRPr="00970E16">
        <w:rPr>
          <w:rFonts w:ascii="Times New Roman" w:hAnsi="Times New Roman" w:cs="Times New Roman"/>
          <w:sz w:val="28"/>
          <w:szCs w:val="28"/>
        </w:rPr>
        <w:t>s elsewhere</w:t>
      </w:r>
      <w:r w:rsidR="00206BFC" w:rsidRPr="003B3EF6">
        <w:rPr>
          <w:rFonts w:ascii="Times New Roman" w:hAnsi="Times New Roman" w:cs="Times New Roman"/>
          <w:sz w:val="28"/>
          <w:szCs w:val="28"/>
        </w:rPr>
        <w:t xml:space="preserve">, the </w:t>
      </w:r>
      <w:r w:rsidR="009B4BA1">
        <w:rPr>
          <w:rFonts w:ascii="Times New Roman" w:hAnsi="Times New Roman" w:cs="Times New Roman"/>
          <w:sz w:val="28"/>
          <w:szCs w:val="28"/>
        </w:rPr>
        <w:t xml:space="preserve">two </w:t>
      </w:r>
      <w:r w:rsidR="00206BFC" w:rsidRPr="003B3EF6">
        <w:rPr>
          <w:rFonts w:ascii="Times New Roman" w:hAnsi="Times New Roman" w:cs="Times New Roman"/>
          <w:sz w:val="28"/>
          <w:szCs w:val="28"/>
        </w:rPr>
        <w:t>key defining characteristics of th</w:t>
      </w:r>
      <w:r w:rsidR="00BB6EE8" w:rsidRPr="003B3EF6">
        <w:rPr>
          <w:rFonts w:ascii="Times New Roman" w:hAnsi="Times New Roman" w:cs="Times New Roman"/>
          <w:sz w:val="28"/>
          <w:szCs w:val="28"/>
        </w:rPr>
        <w:t xml:space="preserve">e </w:t>
      </w:r>
      <w:r w:rsidR="00970E16">
        <w:rPr>
          <w:rFonts w:ascii="Times New Roman" w:hAnsi="Times New Roman" w:cs="Times New Roman"/>
          <w:sz w:val="28"/>
          <w:szCs w:val="28"/>
        </w:rPr>
        <w:t xml:space="preserve">middle class </w:t>
      </w:r>
      <w:r w:rsidR="00A55E08" w:rsidRPr="003B3EF6">
        <w:rPr>
          <w:rFonts w:ascii="Times New Roman" w:hAnsi="Times New Roman" w:cs="Times New Roman"/>
          <w:sz w:val="28"/>
          <w:szCs w:val="28"/>
        </w:rPr>
        <w:t xml:space="preserve">are </w:t>
      </w:r>
      <w:r w:rsidR="00206BFC" w:rsidRPr="003B3EF6">
        <w:rPr>
          <w:rFonts w:ascii="Times New Roman" w:hAnsi="Times New Roman" w:cs="Times New Roman"/>
          <w:sz w:val="28"/>
          <w:szCs w:val="28"/>
        </w:rPr>
        <w:t xml:space="preserve">occupational and educational status. </w:t>
      </w:r>
      <w:r w:rsidR="00B7341C" w:rsidRPr="003B3EF6">
        <w:rPr>
          <w:rFonts w:ascii="Times New Roman" w:hAnsi="Times New Roman" w:cs="Times New Roman"/>
          <w:sz w:val="28"/>
          <w:szCs w:val="28"/>
        </w:rPr>
        <w:t xml:space="preserve">The </w:t>
      </w:r>
      <w:r w:rsidR="00970E16">
        <w:rPr>
          <w:rFonts w:ascii="Times New Roman" w:hAnsi="Times New Roman" w:cs="Times New Roman"/>
          <w:sz w:val="28"/>
          <w:szCs w:val="28"/>
        </w:rPr>
        <w:t xml:space="preserve">middle class </w:t>
      </w:r>
      <w:r w:rsidR="00B7341C" w:rsidRPr="003B3EF6">
        <w:rPr>
          <w:rFonts w:ascii="Times New Roman" w:hAnsi="Times New Roman" w:cs="Times New Roman"/>
          <w:sz w:val="28"/>
          <w:szCs w:val="28"/>
        </w:rPr>
        <w:t>is comprised mainly of p</w:t>
      </w:r>
      <w:r w:rsidR="00206BFC" w:rsidRPr="003B3EF6">
        <w:rPr>
          <w:rFonts w:ascii="Times New Roman" w:hAnsi="Times New Roman" w:cs="Times New Roman"/>
          <w:sz w:val="28"/>
          <w:szCs w:val="28"/>
        </w:rPr>
        <w:t>rofessional</w:t>
      </w:r>
      <w:r w:rsidR="00B7341C" w:rsidRPr="003B3EF6">
        <w:rPr>
          <w:rFonts w:ascii="Times New Roman" w:hAnsi="Times New Roman" w:cs="Times New Roman"/>
          <w:sz w:val="28"/>
          <w:szCs w:val="28"/>
        </w:rPr>
        <w:t xml:space="preserve"> and semi-professional</w:t>
      </w:r>
      <w:r w:rsidR="00206BFC" w:rsidRPr="003B3EF6">
        <w:rPr>
          <w:rFonts w:ascii="Times New Roman" w:hAnsi="Times New Roman" w:cs="Times New Roman"/>
          <w:sz w:val="28"/>
          <w:szCs w:val="28"/>
        </w:rPr>
        <w:t xml:space="preserve"> occupations </w:t>
      </w:r>
      <w:r w:rsidR="00B7341C" w:rsidRPr="003B3EF6">
        <w:rPr>
          <w:rFonts w:ascii="Times New Roman" w:hAnsi="Times New Roman" w:cs="Times New Roman"/>
          <w:sz w:val="28"/>
          <w:szCs w:val="28"/>
        </w:rPr>
        <w:t xml:space="preserve">entry to which </w:t>
      </w:r>
      <w:r w:rsidR="005F06CD" w:rsidRPr="003B3EF6">
        <w:rPr>
          <w:rFonts w:ascii="Times New Roman" w:hAnsi="Times New Roman" w:cs="Times New Roman"/>
          <w:sz w:val="28"/>
          <w:szCs w:val="28"/>
        </w:rPr>
        <w:t xml:space="preserve">normally </w:t>
      </w:r>
      <w:r w:rsidR="00B7341C" w:rsidRPr="003B3EF6">
        <w:rPr>
          <w:rFonts w:ascii="Times New Roman" w:hAnsi="Times New Roman" w:cs="Times New Roman"/>
          <w:sz w:val="28"/>
          <w:szCs w:val="28"/>
        </w:rPr>
        <w:t>require</w:t>
      </w:r>
      <w:r w:rsidR="00DE4CBB">
        <w:rPr>
          <w:rFonts w:ascii="Times New Roman" w:hAnsi="Times New Roman" w:cs="Times New Roman"/>
          <w:sz w:val="28"/>
          <w:szCs w:val="28"/>
        </w:rPr>
        <w:t>s</w:t>
      </w:r>
      <w:r w:rsidR="00B7341C" w:rsidRPr="003B3EF6">
        <w:rPr>
          <w:rFonts w:ascii="Times New Roman" w:hAnsi="Times New Roman" w:cs="Times New Roman"/>
          <w:sz w:val="28"/>
          <w:szCs w:val="28"/>
        </w:rPr>
        <w:t xml:space="preserve"> the acquisition of </w:t>
      </w:r>
      <w:r w:rsidR="00206BFC" w:rsidRPr="003B3EF6">
        <w:rPr>
          <w:rFonts w:ascii="Times New Roman" w:hAnsi="Times New Roman" w:cs="Times New Roman"/>
          <w:sz w:val="28"/>
          <w:szCs w:val="28"/>
        </w:rPr>
        <w:t>university</w:t>
      </w:r>
      <w:r w:rsidR="00B7341C" w:rsidRPr="003B3EF6">
        <w:rPr>
          <w:rFonts w:ascii="Times New Roman" w:hAnsi="Times New Roman" w:cs="Times New Roman"/>
          <w:sz w:val="28"/>
          <w:szCs w:val="28"/>
        </w:rPr>
        <w:t xml:space="preserve"> and other higher-level</w:t>
      </w:r>
      <w:r w:rsidR="00206BFC" w:rsidRPr="003B3EF6">
        <w:rPr>
          <w:rFonts w:ascii="Times New Roman" w:hAnsi="Times New Roman" w:cs="Times New Roman"/>
          <w:sz w:val="28"/>
          <w:szCs w:val="28"/>
        </w:rPr>
        <w:t xml:space="preserve"> qualifications.</w:t>
      </w:r>
      <w:r w:rsidR="00A55E08" w:rsidRPr="003B3EF6">
        <w:rPr>
          <w:rFonts w:ascii="Times New Roman" w:hAnsi="Times New Roman" w:cs="Times New Roman"/>
          <w:sz w:val="28"/>
          <w:szCs w:val="28"/>
        </w:rPr>
        <w:t xml:space="preserve"> </w:t>
      </w:r>
    </w:p>
    <w:p w:rsidR="00970E16" w:rsidRDefault="00970E16" w:rsidP="00970E16">
      <w:pPr>
        <w:pStyle w:val="FootnoteText"/>
        <w:spacing w:line="360" w:lineRule="auto"/>
        <w:jc w:val="both"/>
        <w:rPr>
          <w:rFonts w:ascii="Times New Roman" w:hAnsi="Times New Roman" w:cs="Times New Roman"/>
          <w:sz w:val="28"/>
          <w:szCs w:val="28"/>
        </w:rPr>
      </w:pPr>
    </w:p>
    <w:p w:rsidR="009B4BA1" w:rsidRDefault="009B4BA1" w:rsidP="009B4BA1">
      <w:pPr>
        <w:pStyle w:val="FootnoteText"/>
        <w:spacing w:line="360" w:lineRule="auto"/>
        <w:jc w:val="both"/>
        <w:rPr>
          <w:rFonts w:ascii="Times New Roman" w:hAnsi="Times New Roman" w:cs="Times New Roman"/>
          <w:sz w:val="28"/>
          <w:szCs w:val="28"/>
        </w:rPr>
      </w:pPr>
      <w:r w:rsidRPr="009B4BA1">
        <w:rPr>
          <w:rFonts w:ascii="Times New Roman" w:hAnsi="Times New Roman" w:cs="Times New Roman"/>
          <w:sz w:val="28"/>
          <w:szCs w:val="28"/>
        </w:rPr>
        <w:t xml:space="preserve">In the absence of large surveys where individuals are categorised by socio-economic status (e.g. A, B, C1, C2, D, E), it is difficult to gauge the overall size of the middle class in </w:t>
      </w:r>
      <w:r>
        <w:rPr>
          <w:rFonts w:ascii="Times New Roman" w:hAnsi="Times New Roman" w:cs="Times New Roman"/>
          <w:sz w:val="28"/>
          <w:szCs w:val="28"/>
        </w:rPr>
        <w:t xml:space="preserve">most </w:t>
      </w:r>
      <w:r w:rsidRPr="009B4BA1">
        <w:rPr>
          <w:rFonts w:ascii="Times New Roman" w:hAnsi="Times New Roman" w:cs="Times New Roman"/>
          <w:sz w:val="28"/>
          <w:szCs w:val="28"/>
        </w:rPr>
        <w:t xml:space="preserve">countries in SSA. However, a rough proxy indicator is the percentage/number of adults with post-secondary education. This is </w:t>
      </w:r>
      <w:r>
        <w:rPr>
          <w:rFonts w:ascii="Times New Roman" w:hAnsi="Times New Roman" w:cs="Times New Roman"/>
          <w:sz w:val="28"/>
          <w:szCs w:val="28"/>
        </w:rPr>
        <w:t xml:space="preserve">now </w:t>
      </w:r>
      <w:r w:rsidRPr="009B4BA1">
        <w:rPr>
          <w:rFonts w:ascii="Times New Roman" w:hAnsi="Times New Roman" w:cs="Times New Roman"/>
          <w:sz w:val="28"/>
          <w:szCs w:val="28"/>
        </w:rPr>
        <w:t xml:space="preserve">between 5-10% in the majority of countries in SSA. While the numerical size of the middle class is </w:t>
      </w:r>
      <w:r>
        <w:rPr>
          <w:rFonts w:ascii="Times New Roman" w:hAnsi="Times New Roman" w:cs="Times New Roman"/>
          <w:sz w:val="28"/>
          <w:szCs w:val="28"/>
        </w:rPr>
        <w:t xml:space="preserve">clearly </w:t>
      </w:r>
      <w:r w:rsidRPr="009B4BA1">
        <w:rPr>
          <w:rFonts w:ascii="Times New Roman" w:hAnsi="Times New Roman" w:cs="Times New Roman"/>
          <w:sz w:val="28"/>
          <w:szCs w:val="28"/>
        </w:rPr>
        <w:t xml:space="preserve">important, it is </w:t>
      </w:r>
      <w:r w:rsidR="003C795F">
        <w:rPr>
          <w:rFonts w:ascii="Times New Roman" w:hAnsi="Times New Roman" w:cs="Times New Roman"/>
          <w:sz w:val="28"/>
          <w:szCs w:val="28"/>
        </w:rPr>
        <w:t xml:space="preserve">its </w:t>
      </w:r>
      <w:r w:rsidRPr="009B4BA1">
        <w:rPr>
          <w:rFonts w:ascii="Times New Roman" w:hAnsi="Times New Roman" w:cs="Times New Roman"/>
          <w:sz w:val="28"/>
          <w:szCs w:val="28"/>
        </w:rPr>
        <w:t>overall economic and political power (which is not necessarily directly correlated with its demographic size) which is most crucial.</w:t>
      </w:r>
    </w:p>
    <w:p w:rsidR="001B1238" w:rsidRDefault="001B1238" w:rsidP="00371E25">
      <w:pPr>
        <w:spacing w:line="360" w:lineRule="auto"/>
        <w:jc w:val="both"/>
        <w:rPr>
          <w:rFonts w:ascii="Times New Roman" w:hAnsi="Times New Roman" w:cs="Times New Roman"/>
          <w:sz w:val="28"/>
          <w:szCs w:val="28"/>
        </w:rPr>
      </w:pPr>
    </w:p>
    <w:p w:rsidR="00371E25" w:rsidRDefault="00371E25" w:rsidP="00371E2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As will be discussed in more detail in the second article, while political elites in SSA continue to protect their own interests, in those countries where economic and political liberalisation is most advanced, these interests have become increasingly </w:t>
      </w:r>
      <w:r w:rsidR="008B7C79">
        <w:rPr>
          <w:rFonts w:ascii="Times New Roman" w:hAnsi="Times New Roman" w:cs="Times New Roman"/>
          <w:sz w:val="28"/>
          <w:szCs w:val="28"/>
        </w:rPr>
        <w:t>intertwined</w:t>
      </w:r>
      <w:r>
        <w:rPr>
          <w:rFonts w:ascii="Times New Roman" w:hAnsi="Times New Roman" w:cs="Times New Roman"/>
          <w:sz w:val="28"/>
          <w:szCs w:val="28"/>
        </w:rPr>
        <w:t xml:space="preserve"> with those of the newly reconstituted middle class</w:t>
      </w:r>
      <w:r>
        <w:rPr>
          <w:rStyle w:val="FootnoteReference"/>
          <w:rFonts w:ascii="Times New Roman" w:hAnsi="Times New Roman" w:cs="Times New Roman"/>
          <w:sz w:val="28"/>
          <w:szCs w:val="28"/>
        </w:rPr>
        <w:footnoteReference w:id="18"/>
      </w:r>
      <w:r>
        <w:rPr>
          <w:rFonts w:ascii="Times New Roman" w:hAnsi="Times New Roman" w:cs="Times New Roman"/>
          <w:sz w:val="28"/>
          <w:szCs w:val="28"/>
        </w:rPr>
        <w:t xml:space="preserve">. With regard to education, </w:t>
      </w:r>
      <w:r w:rsidR="001B1238">
        <w:rPr>
          <w:rFonts w:ascii="Times New Roman" w:hAnsi="Times New Roman" w:cs="Times New Roman"/>
          <w:sz w:val="28"/>
          <w:szCs w:val="28"/>
        </w:rPr>
        <w:t xml:space="preserve">we argue that </w:t>
      </w:r>
      <w:r>
        <w:rPr>
          <w:rFonts w:ascii="Times New Roman" w:hAnsi="Times New Roman" w:cs="Times New Roman"/>
          <w:sz w:val="28"/>
          <w:szCs w:val="28"/>
        </w:rPr>
        <w:t xml:space="preserve">the growing social, economic and political power of an expanding and increasingly empowered middle class has resulted in the partial </w:t>
      </w:r>
      <w:r w:rsidRPr="003B3EF6">
        <w:rPr>
          <w:rFonts w:ascii="Times New Roman" w:hAnsi="Times New Roman" w:cs="Times New Roman"/>
          <w:sz w:val="28"/>
          <w:szCs w:val="28"/>
        </w:rPr>
        <w:t>restructur</w:t>
      </w:r>
      <w:r>
        <w:rPr>
          <w:rFonts w:ascii="Times New Roman" w:hAnsi="Times New Roman" w:cs="Times New Roman"/>
          <w:sz w:val="28"/>
          <w:szCs w:val="28"/>
        </w:rPr>
        <w:t xml:space="preserve">ing </w:t>
      </w:r>
      <w:r w:rsidRPr="003B3EF6">
        <w:rPr>
          <w:rFonts w:ascii="Times New Roman" w:hAnsi="Times New Roman" w:cs="Times New Roman"/>
          <w:sz w:val="28"/>
          <w:szCs w:val="28"/>
        </w:rPr>
        <w:t>or reconfigur</w:t>
      </w:r>
      <w:r>
        <w:rPr>
          <w:rFonts w:ascii="Times New Roman" w:hAnsi="Times New Roman" w:cs="Times New Roman"/>
          <w:sz w:val="28"/>
          <w:szCs w:val="28"/>
        </w:rPr>
        <w:t xml:space="preserve">ation of the education system </w:t>
      </w:r>
      <w:r w:rsidRPr="003B3EF6">
        <w:rPr>
          <w:rFonts w:ascii="Times New Roman" w:hAnsi="Times New Roman" w:cs="Times New Roman"/>
          <w:sz w:val="28"/>
          <w:szCs w:val="28"/>
        </w:rPr>
        <w:t xml:space="preserve">in ways which </w:t>
      </w:r>
      <w:r>
        <w:rPr>
          <w:rFonts w:ascii="Times New Roman" w:hAnsi="Times New Roman" w:cs="Times New Roman"/>
          <w:sz w:val="28"/>
          <w:szCs w:val="28"/>
        </w:rPr>
        <w:t xml:space="preserve">has </w:t>
      </w:r>
      <w:r w:rsidRPr="003B3EF6">
        <w:rPr>
          <w:rFonts w:ascii="Times New Roman" w:hAnsi="Times New Roman" w:cs="Times New Roman"/>
          <w:sz w:val="28"/>
          <w:szCs w:val="28"/>
        </w:rPr>
        <w:t>facilitate</w:t>
      </w:r>
      <w:r>
        <w:rPr>
          <w:rFonts w:ascii="Times New Roman" w:hAnsi="Times New Roman" w:cs="Times New Roman"/>
          <w:sz w:val="28"/>
          <w:szCs w:val="28"/>
        </w:rPr>
        <w:t>d</w:t>
      </w:r>
      <w:r w:rsidRPr="003B3EF6">
        <w:rPr>
          <w:rFonts w:ascii="Times New Roman" w:hAnsi="Times New Roman" w:cs="Times New Roman"/>
          <w:sz w:val="28"/>
          <w:szCs w:val="28"/>
        </w:rPr>
        <w:t xml:space="preserve"> the consolidation of their new class position</w:t>
      </w:r>
      <w:r>
        <w:rPr>
          <w:rStyle w:val="FootnoteReference"/>
          <w:rFonts w:ascii="Times New Roman" w:hAnsi="Times New Roman" w:cs="Times New Roman"/>
          <w:sz w:val="28"/>
          <w:szCs w:val="28"/>
        </w:rPr>
        <w:footnoteReference w:id="19"/>
      </w:r>
      <w:r w:rsidRPr="003B3EF6">
        <w:rPr>
          <w:rFonts w:ascii="Times New Roman" w:hAnsi="Times New Roman" w:cs="Times New Roman"/>
          <w:sz w:val="28"/>
          <w:szCs w:val="28"/>
        </w:rPr>
        <w:t xml:space="preserve">. </w:t>
      </w:r>
      <w:r>
        <w:rPr>
          <w:rFonts w:ascii="Times New Roman" w:hAnsi="Times New Roman" w:cs="Times New Roman"/>
          <w:sz w:val="28"/>
          <w:szCs w:val="28"/>
        </w:rPr>
        <w:t>T</w:t>
      </w:r>
      <w:r w:rsidRPr="003B3EF6">
        <w:rPr>
          <w:rFonts w:ascii="Times New Roman" w:hAnsi="Times New Roman" w:cs="Times New Roman"/>
          <w:sz w:val="28"/>
          <w:szCs w:val="28"/>
        </w:rPr>
        <w:t xml:space="preserve">he </w:t>
      </w:r>
      <w:r w:rsidRPr="003B3EF6">
        <w:rPr>
          <w:rFonts w:ascii="Times New Roman" w:hAnsi="Times New Roman" w:cs="Times New Roman"/>
          <w:sz w:val="28"/>
          <w:szCs w:val="28"/>
        </w:rPr>
        <w:lastRenderedPageBreak/>
        <w:t>rapid expansion of higher education</w:t>
      </w:r>
      <w:r>
        <w:rPr>
          <w:rFonts w:ascii="Times New Roman" w:hAnsi="Times New Roman" w:cs="Times New Roman"/>
          <w:sz w:val="28"/>
          <w:szCs w:val="28"/>
        </w:rPr>
        <w:t xml:space="preserve"> </w:t>
      </w:r>
      <w:r w:rsidRPr="003B3EF6">
        <w:rPr>
          <w:rFonts w:ascii="Times New Roman" w:hAnsi="Times New Roman" w:cs="Times New Roman"/>
          <w:sz w:val="28"/>
          <w:szCs w:val="28"/>
        </w:rPr>
        <w:t xml:space="preserve">and private education </w:t>
      </w:r>
      <w:r>
        <w:rPr>
          <w:rFonts w:ascii="Times New Roman" w:hAnsi="Times New Roman" w:cs="Times New Roman"/>
          <w:sz w:val="28"/>
          <w:szCs w:val="28"/>
        </w:rPr>
        <w:t xml:space="preserve">provision at all levels are particularly important (see below). </w:t>
      </w:r>
    </w:p>
    <w:p w:rsidR="00175AD5" w:rsidRPr="003B3EF6" w:rsidRDefault="00F21E61" w:rsidP="003133DF">
      <w:pPr>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4.3 </w:t>
      </w:r>
      <w:r w:rsidR="00175AD5" w:rsidRPr="003B3EF6">
        <w:rPr>
          <w:rFonts w:ascii="Times New Roman" w:hAnsi="Times New Roman" w:cs="Times New Roman"/>
          <w:i/>
          <w:sz w:val="28"/>
          <w:szCs w:val="28"/>
        </w:rPr>
        <w:t>Poverty reduction, income inequality, and social mobility</w:t>
      </w:r>
    </w:p>
    <w:p w:rsidR="00175AD5" w:rsidRPr="003B3EF6" w:rsidRDefault="00175AD5" w:rsidP="003133DF">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Capitalist, market-led development has become the dominant economic strategy in SSA at the same time as increasing, predominantly international attention has focused on reducing endemic poverty in SSA. While not necessarily incompatible, historically, income inequality has usually increased during the early stages of capitalism (</w:t>
      </w:r>
      <w:r w:rsidR="00490CE4">
        <w:rPr>
          <w:rFonts w:ascii="Times New Roman" w:hAnsi="Times New Roman" w:cs="Times New Roman"/>
          <w:sz w:val="28"/>
          <w:szCs w:val="28"/>
        </w:rPr>
        <w:t xml:space="preserve">the </w:t>
      </w:r>
      <w:r w:rsidRPr="003B3EF6">
        <w:rPr>
          <w:rFonts w:ascii="Times New Roman" w:hAnsi="Times New Roman" w:cs="Times New Roman"/>
          <w:sz w:val="28"/>
          <w:szCs w:val="28"/>
        </w:rPr>
        <w:t xml:space="preserve">Kuznets Hypothesis). This is likely to generate tensions </w:t>
      </w:r>
      <w:r w:rsidR="00C33527" w:rsidRPr="003B3EF6">
        <w:rPr>
          <w:rFonts w:ascii="Times New Roman" w:hAnsi="Times New Roman" w:cs="Times New Roman"/>
          <w:sz w:val="28"/>
          <w:szCs w:val="28"/>
        </w:rPr>
        <w:t>and contradictions</w:t>
      </w:r>
      <w:r w:rsidRPr="003B3EF6">
        <w:rPr>
          <w:rFonts w:ascii="Times New Roman" w:hAnsi="Times New Roman" w:cs="Times New Roman"/>
          <w:sz w:val="28"/>
          <w:szCs w:val="28"/>
        </w:rPr>
        <w:t xml:space="preserve"> between the dual objectives of rapid economic growth and significant poverty reduction.    </w:t>
      </w:r>
    </w:p>
    <w:p w:rsidR="00175AD5" w:rsidRPr="003B3EF6" w:rsidRDefault="00175AD5" w:rsidP="003133DF">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Certainly, national poverty head count rates have fallen in most countries in SSA since the early-mid 2000s largely as a result of strong, resource-led economic growth, generally higher prices for agricultural products (</w:t>
      </w:r>
      <w:r w:rsidR="001B1238">
        <w:rPr>
          <w:rFonts w:ascii="Times New Roman" w:hAnsi="Times New Roman" w:cs="Times New Roman"/>
          <w:sz w:val="28"/>
          <w:szCs w:val="28"/>
        </w:rPr>
        <w:t xml:space="preserve">improved </w:t>
      </w:r>
      <w:r w:rsidRPr="003B3EF6">
        <w:rPr>
          <w:rFonts w:ascii="Times New Roman" w:hAnsi="Times New Roman" w:cs="Times New Roman"/>
          <w:sz w:val="28"/>
          <w:szCs w:val="28"/>
        </w:rPr>
        <w:t>internal terms of trade), improved basic services especially health and rural infrastructure</w:t>
      </w:r>
      <w:r w:rsidR="001B1238">
        <w:rPr>
          <w:rFonts w:ascii="Times New Roman" w:hAnsi="Times New Roman" w:cs="Times New Roman"/>
          <w:sz w:val="28"/>
          <w:szCs w:val="28"/>
        </w:rPr>
        <w:t>,</w:t>
      </w:r>
      <w:r w:rsidRPr="003B3EF6">
        <w:rPr>
          <w:rFonts w:ascii="Times New Roman" w:hAnsi="Times New Roman" w:cs="Times New Roman"/>
          <w:sz w:val="28"/>
          <w:szCs w:val="28"/>
        </w:rPr>
        <w:t xml:space="preserve"> and high levels of donor support. However, poverty rates are still high in most countries. </w:t>
      </w:r>
    </w:p>
    <w:p w:rsidR="00175AD5" w:rsidRPr="003B3EF6" w:rsidRDefault="00175AD5" w:rsidP="003133DF">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According to World Bank analysis, ‘income inequality in Africa is not moving in a clear direction’ (</w:t>
      </w:r>
      <w:r w:rsidR="003B3EF6" w:rsidRPr="003B3EF6">
        <w:rPr>
          <w:rFonts w:ascii="Times New Roman" w:hAnsi="Times New Roman" w:cs="Times New Roman"/>
          <w:sz w:val="28"/>
          <w:szCs w:val="28"/>
        </w:rPr>
        <w:t>Beegle et al.</w:t>
      </w:r>
      <w:r w:rsidRPr="003B3EF6">
        <w:rPr>
          <w:rFonts w:ascii="Times New Roman" w:hAnsi="Times New Roman" w:cs="Times New Roman"/>
          <w:sz w:val="28"/>
          <w:szCs w:val="28"/>
        </w:rPr>
        <w:t xml:space="preserve"> 2014:126). In global terms, inequality </w:t>
      </w:r>
      <w:r w:rsidR="00DE4CBB">
        <w:rPr>
          <w:rFonts w:ascii="Times New Roman" w:hAnsi="Times New Roman" w:cs="Times New Roman"/>
          <w:sz w:val="28"/>
          <w:szCs w:val="28"/>
        </w:rPr>
        <w:t>(</w:t>
      </w:r>
      <w:r w:rsidRPr="003B3EF6">
        <w:rPr>
          <w:rFonts w:ascii="Times New Roman" w:hAnsi="Times New Roman" w:cs="Times New Roman"/>
          <w:sz w:val="28"/>
          <w:szCs w:val="28"/>
        </w:rPr>
        <w:t>as measured by the Gini coefficient</w:t>
      </w:r>
      <w:r w:rsidR="00DE4CBB">
        <w:rPr>
          <w:rFonts w:ascii="Times New Roman" w:hAnsi="Times New Roman" w:cs="Times New Roman"/>
          <w:sz w:val="28"/>
          <w:szCs w:val="28"/>
        </w:rPr>
        <w:t>)</w:t>
      </w:r>
      <w:r w:rsidRPr="003B3EF6">
        <w:rPr>
          <w:rFonts w:ascii="Times New Roman" w:hAnsi="Times New Roman" w:cs="Times New Roman"/>
          <w:sz w:val="28"/>
          <w:szCs w:val="28"/>
        </w:rPr>
        <w:t xml:space="preserve"> is high in SSA. Inequality </w:t>
      </w:r>
      <w:r w:rsidR="0035666A">
        <w:rPr>
          <w:rFonts w:ascii="Times New Roman" w:hAnsi="Times New Roman" w:cs="Times New Roman"/>
          <w:sz w:val="28"/>
          <w:szCs w:val="28"/>
        </w:rPr>
        <w:t xml:space="preserve">has risen </w:t>
      </w:r>
      <w:r w:rsidRPr="003B3EF6">
        <w:rPr>
          <w:rFonts w:ascii="Times New Roman" w:hAnsi="Times New Roman" w:cs="Times New Roman"/>
          <w:sz w:val="28"/>
          <w:szCs w:val="28"/>
        </w:rPr>
        <w:t xml:space="preserve">in about half of countries </w:t>
      </w:r>
      <w:r w:rsidR="00C33527" w:rsidRPr="003B3EF6">
        <w:rPr>
          <w:rFonts w:ascii="Times New Roman" w:hAnsi="Times New Roman" w:cs="Times New Roman"/>
          <w:sz w:val="28"/>
          <w:szCs w:val="28"/>
        </w:rPr>
        <w:t>for</w:t>
      </w:r>
      <w:r w:rsidRPr="003B3EF6">
        <w:rPr>
          <w:rFonts w:ascii="Times New Roman" w:hAnsi="Times New Roman" w:cs="Times New Roman"/>
          <w:sz w:val="28"/>
          <w:szCs w:val="28"/>
        </w:rPr>
        <w:t xml:space="preserve"> which data is available and </w:t>
      </w:r>
      <w:r w:rsidR="0035666A">
        <w:rPr>
          <w:rFonts w:ascii="Times New Roman" w:hAnsi="Times New Roman" w:cs="Times New Roman"/>
          <w:sz w:val="28"/>
          <w:szCs w:val="28"/>
        </w:rPr>
        <w:t xml:space="preserve">has </w:t>
      </w:r>
      <w:r w:rsidRPr="003B3EF6">
        <w:rPr>
          <w:rFonts w:ascii="Times New Roman" w:hAnsi="Times New Roman" w:cs="Times New Roman"/>
          <w:sz w:val="28"/>
          <w:szCs w:val="28"/>
        </w:rPr>
        <w:t>fallen in the other half</w:t>
      </w:r>
      <w:r w:rsidR="00A90866">
        <w:rPr>
          <w:rStyle w:val="FootnoteReference"/>
          <w:rFonts w:ascii="Times New Roman" w:hAnsi="Times New Roman" w:cs="Times New Roman"/>
          <w:sz w:val="28"/>
          <w:szCs w:val="28"/>
        </w:rPr>
        <w:footnoteReference w:id="20"/>
      </w:r>
      <w:r w:rsidRPr="003B3EF6">
        <w:rPr>
          <w:rFonts w:ascii="Times New Roman" w:hAnsi="Times New Roman" w:cs="Times New Roman"/>
          <w:sz w:val="28"/>
          <w:szCs w:val="28"/>
        </w:rPr>
        <w:t xml:space="preserve">. However, the already very low share of the poorest </w:t>
      </w:r>
      <w:r w:rsidR="003B3EF6" w:rsidRPr="003B3EF6">
        <w:rPr>
          <w:rFonts w:ascii="Times New Roman" w:hAnsi="Times New Roman" w:cs="Times New Roman"/>
          <w:sz w:val="28"/>
          <w:szCs w:val="28"/>
        </w:rPr>
        <w:t xml:space="preserve">wealth </w:t>
      </w:r>
      <w:r w:rsidRPr="003B3EF6">
        <w:rPr>
          <w:rFonts w:ascii="Times New Roman" w:hAnsi="Times New Roman" w:cs="Times New Roman"/>
          <w:sz w:val="28"/>
          <w:szCs w:val="28"/>
        </w:rPr>
        <w:t xml:space="preserve">quintile increased in only eight out of 34 countries for which reasonable date is available, remained the same in 11 countries, and declined in 15 countries. </w:t>
      </w:r>
    </w:p>
    <w:p w:rsidR="00175AD5" w:rsidRPr="003B3EF6" w:rsidRDefault="00175AD5" w:rsidP="003133DF">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lastRenderedPageBreak/>
        <w:t>Income inequality is not necessarily inimical to high levels of educational attainment</w:t>
      </w:r>
      <w:r w:rsidR="003B3EF6" w:rsidRPr="003B3EF6">
        <w:rPr>
          <w:rFonts w:ascii="Times New Roman" w:hAnsi="Times New Roman" w:cs="Times New Roman"/>
          <w:sz w:val="28"/>
          <w:szCs w:val="28"/>
        </w:rPr>
        <w:t xml:space="preserve"> including UPE</w:t>
      </w:r>
      <w:r w:rsidRPr="003B3EF6">
        <w:rPr>
          <w:rFonts w:ascii="Times New Roman" w:hAnsi="Times New Roman" w:cs="Times New Roman"/>
          <w:sz w:val="28"/>
          <w:szCs w:val="28"/>
        </w:rPr>
        <w:t xml:space="preserve">. The countries in SSA with the largest income and wealth inequalities (Botswana, South Africa, Namibia, </w:t>
      </w:r>
      <w:r w:rsidR="00C33527" w:rsidRPr="003B3EF6">
        <w:rPr>
          <w:rFonts w:ascii="Times New Roman" w:hAnsi="Times New Roman" w:cs="Times New Roman"/>
          <w:sz w:val="28"/>
          <w:szCs w:val="28"/>
        </w:rPr>
        <w:t>and Swaziland</w:t>
      </w:r>
      <w:r w:rsidRPr="003B3EF6">
        <w:rPr>
          <w:rFonts w:ascii="Times New Roman" w:hAnsi="Times New Roman" w:cs="Times New Roman"/>
          <w:sz w:val="28"/>
          <w:szCs w:val="28"/>
        </w:rPr>
        <w:t xml:space="preserve">) </w:t>
      </w:r>
      <w:r w:rsidR="0035666A">
        <w:rPr>
          <w:rFonts w:ascii="Times New Roman" w:hAnsi="Times New Roman" w:cs="Times New Roman"/>
          <w:sz w:val="28"/>
          <w:szCs w:val="28"/>
        </w:rPr>
        <w:t xml:space="preserve">are </w:t>
      </w:r>
      <w:r w:rsidRPr="003B3EF6">
        <w:rPr>
          <w:rFonts w:ascii="Times New Roman" w:hAnsi="Times New Roman" w:cs="Times New Roman"/>
          <w:sz w:val="28"/>
          <w:szCs w:val="28"/>
        </w:rPr>
        <w:t xml:space="preserve">also </w:t>
      </w:r>
      <w:r w:rsidR="0035666A">
        <w:rPr>
          <w:rFonts w:ascii="Times New Roman" w:hAnsi="Times New Roman" w:cs="Times New Roman"/>
          <w:sz w:val="28"/>
          <w:szCs w:val="28"/>
        </w:rPr>
        <w:t xml:space="preserve">among the </w:t>
      </w:r>
      <w:r w:rsidRPr="003B3EF6">
        <w:rPr>
          <w:rFonts w:ascii="Times New Roman" w:hAnsi="Times New Roman" w:cs="Times New Roman"/>
          <w:sz w:val="28"/>
          <w:szCs w:val="28"/>
        </w:rPr>
        <w:t>richest (with per capita incomes at least five times greater than in low-income countries) but have the lowest poverty rates and the highest educational attainment levels in SSA.</w:t>
      </w:r>
    </w:p>
    <w:p w:rsidR="00175AD5" w:rsidRPr="003B3EF6" w:rsidRDefault="00175AD5" w:rsidP="003133DF">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Evidence on the impact of liberalisation on social mobility in SSA is very limited. However, research by </w:t>
      </w:r>
      <w:r w:rsidR="009F6C31" w:rsidRPr="003B3EF6">
        <w:rPr>
          <w:rFonts w:ascii="Times New Roman" w:hAnsi="Times New Roman" w:cs="Times New Roman"/>
          <w:sz w:val="28"/>
          <w:szCs w:val="28"/>
        </w:rPr>
        <w:t>Azomahou</w:t>
      </w:r>
      <w:r w:rsidR="00490CE4">
        <w:rPr>
          <w:rFonts w:ascii="Times New Roman" w:hAnsi="Times New Roman" w:cs="Times New Roman"/>
          <w:sz w:val="28"/>
          <w:szCs w:val="28"/>
        </w:rPr>
        <w:t xml:space="preserve"> and</w:t>
      </w:r>
      <w:r w:rsidR="009F6C31">
        <w:rPr>
          <w:rFonts w:ascii="Times New Roman" w:hAnsi="Times New Roman" w:cs="Times New Roman"/>
          <w:sz w:val="28"/>
          <w:szCs w:val="28"/>
        </w:rPr>
        <w:t xml:space="preserve"> </w:t>
      </w:r>
      <w:r w:rsidR="009F6C31" w:rsidRPr="003B3EF6">
        <w:rPr>
          <w:rFonts w:ascii="Times New Roman" w:hAnsi="Times New Roman" w:cs="Times New Roman"/>
          <w:sz w:val="28"/>
          <w:szCs w:val="28"/>
        </w:rPr>
        <w:t>Yitbarek (2015)</w:t>
      </w:r>
      <w:r w:rsidRPr="003B3EF6">
        <w:rPr>
          <w:rFonts w:ascii="Times New Roman" w:hAnsi="Times New Roman" w:cs="Times New Roman"/>
          <w:sz w:val="28"/>
          <w:szCs w:val="28"/>
        </w:rPr>
        <w:t xml:space="preserve"> shows that </w:t>
      </w:r>
      <w:r w:rsidR="009F6C31">
        <w:rPr>
          <w:rFonts w:ascii="Times New Roman" w:hAnsi="Times New Roman" w:cs="Times New Roman"/>
          <w:sz w:val="28"/>
          <w:szCs w:val="28"/>
        </w:rPr>
        <w:t xml:space="preserve">the </w:t>
      </w:r>
      <w:r w:rsidRPr="003B3EF6">
        <w:rPr>
          <w:rFonts w:ascii="Times New Roman" w:hAnsi="Times New Roman" w:cs="Times New Roman"/>
          <w:sz w:val="28"/>
          <w:szCs w:val="28"/>
        </w:rPr>
        <w:t xml:space="preserve">likelihood of </w:t>
      </w:r>
      <w:r w:rsidR="00490CE4">
        <w:rPr>
          <w:rFonts w:ascii="Times New Roman" w:hAnsi="Times New Roman" w:cs="Times New Roman"/>
          <w:sz w:val="28"/>
          <w:szCs w:val="28"/>
        </w:rPr>
        <w:t xml:space="preserve">the </w:t>
      </w:r>
      <w:r w:rsidRPr="003B3EF6">
        <w:rPr>
          <w:rFonts w:ascii="Times New Roman" w:hAnsi="Times New Roman" w:cs="Times New Roman"/>
          <w:sz w:val="28"/>
          <w:szCs w:val="28"/>
        </w:rPr>
        <w:t>sons of farmers continuing to farm increased markedly in some countries including Ghana and Uganda during in the 1990s and 2000s</w:t>
      </w:r>
      <w:r w:rsidR="008F7D39">
        <w:rPr>
          <w:rFonts w:ascii="Times New Roman" w:hAnsi="Times New Roman" w:cs="Times New Roman"/>
          <w:sz w:val="28"/>
          <w:szCs w:val="28"/>
        </w:rPr>
        <w:t xml:space="preserve">. The main reason for this is the </w:t>
      </w:r>
      <w:r w:rsidR="00122FA9">
        <w:rPr>
          <w:rFonts w:ascii="Times New Roman" w:hAnsi="Times New Roman" w:cs="Times New Roman"/>
          <w:sz w:val="28"/>
          <w:szCs w:val="28"/>
        </w:rPr>
        <w:t xml:space="preserve">increasingly </w:t>
      </w:r>
      <w:r w:rsidR="008F7D39">
        <w:rPr>
          <w:rFonts w:ascii="Times New Roman" w:hAnsi="Times New Roman" w:cs="Times New Roman"/>
          <w:sz w:val="28"/>
          <w:szCs w:val="28"/>
        </w:rPr>
        <w:t>limited economic opportunities for self-advanc</w:t>
      </w:r>
      <w:r w:rsidR="003C795F">
        <w:rPr>
          <w:rFonts w:ascii="Times New Roman" w:hAnsi="Times New Roman" w:cs="Times New Roman"/>
          <w:sz w:val="28"/>
          <w:szCs w:val="28"/>
        </w:rPr>
        <w:t>e</w:t>
      </w:r>
      <w:r w:rsidR="008F7D39">
        <w:rPr>
          <w:rFonts w:ascii="Times New Roman" w:hAnsi="Times New Roman" w:cs="Times New Roman"/>
          <w:sz w:val="28"/>
          <w:szCs w:val="28"/>
        </w:rPr>
        <w:t>ment in both the formal and informal sectors.</w:t>
      </w:r>
      <w:r w:rsidR="009F6C31">
        <w:rPr>
          <w:rFonts w:ascii="Times New Roman" w:hAnsi="Times New Roman" w:cs="Times New Roman"/>
          <w:sz w:val="28"/>
          <w:szCs w:val="28"/>
        </w:rPr>
        <w:t xml:space="preserve"> </w:t>
      </w:r>
      <w:r w:rsidRPr="003B3EF6">
        <w:rPr>
          <w:rFonts w:ascii="Times New Roman" w:hAnsi="Times New Roman" w:cs="Times New Roman"/>
          <w:sz w:val="28"/>
          <w:szCs w:val="28"/>
        </w:rPr>
        <w:t xml:space="preserve"> </w:t>
      </w:r>
    </w:p>
    <w:p w:rsidR="00F62763" w:rsidRPr="00F21E61" w:rsidRDefault="005A21A8" w:rsidP="003133DF">
      <w:pPr>
        <w:spacing w:line="360" w:lineRule="auto"/>
        <w:rPr>
          <w:rFonts w:ascii="Times New Roman" w:hAnsi="Times New Roman" w:cs="Times New Roman"/>
          <w:b/>
          <w:sz w:val="28"/>
          <w:szCs w:val="28"/>
        </w:rPr>
      </w:pPr>
      <w:r>
        <w:rPr>
          <w:rFonts w:ascii="Times New Roman" w:hAnsi="Times New Roman" w:cs="Times New Roman"/>
          <w:b/>
          <w:sz w:val="28"/>
          <w:szCs w:val="28"/>
        </w:rPr>
        <w:t>5</w:t>
      </w:r>
      <w:r w:rsidR="00AB5D66" w:rsidRPr="00F21E61">
        <w:rPr>
          <w:rFonts w:ascii="Times New Roman" w:hAnsi="Times New Roman" w:cs="Times New Roman"/>
          <w:b/>
          <w:sz w:val="28"/>
          <w:szCs w:val="28"/>
        </w:rPr>
        <w:t>. E</w:t>
      </w:r>
      <w:r w:rsidR="00F21E61" w:rsidRPr="00F21E61">
        <w:rPr>
          <w:rFonts w:ascii="Times New Roman" w:hAnsi="Times New Roman" w:cs="Times New Roman"/>
          <w:b/>
          <w:sz w:val="28"/>
          <w:szCs w:val="28"/>
        </w:rPr>
        <w:t>ducational competition</w:t>
      </w:r>
      <w:r>
        <w:rPr>
          <w:rFonts w:ascii="Times New Roman" w:hAnsi="Times New Roman" w:cs="Times New Roman"/>
          <w:b/>
          <w:sz w:val="28"/>
          <w:szCs w:val="28"/>
        </w:rPr>
        <w:t xml:space="preserve"> and d</w:t>
      </w:r>
      <w:r w:rsidR="000140CE">
        <w:rPr>
          <w:rFonts w:ascii="Times New Roman" w:hAnsi="Times New Roman" w:cs="Times New Roman"/>
          <w:b/>
          <w:sz w:val="28"/>
          <w:szCs w:val="28"/>
        </w:rPr>
        <w:t>istancing</w:t>
      </w:r>
      <w:r w:rsidR="00F21E61" w:rsidRPr="00F21E61">
        <w:rPr>
          <w:rFonts w:ascii="Times New Roman" w:hAnsi="Times New Roman" w:cs="Times New Roman"/>
          <w:b/>
          <w:sz w:val="28"/>
          <w:szCs w:val="28"/>
        </w:rPr>
        <w:t xml:space="preserve"> </w:t>
      </w:r>
      <w:r w:rsidR="003F5250" w:rsidRPr="00F21E61">
        <w:rPr>
          <w:rFonts w:ascii="Times New Roman" w:hAnsi="Times New Roman" w:cs="Times New Roman"/>
          <w:b/>
          <w:sz w:val="28"/>
          <w:szCs w:val="28"/>
        </w:rPr>
        <w:t xml:space="preserve"> </w:t>
      </w:r>
    </w:p>
    <w:p w:rsidR="00A9618B" w:rsidRPr="003B3EF6" w:rsidRDefault="005A21A8" w:rsidP="003133DF">
      <w:pPr>
        <w:spacing w:line="360" w:lineRule="auto"/>
        <w:jc w:val="both"/>
        <w:rPr>
          <w:rFonts w:ascii="Times New Roman" w:hAnsi="Times New Roman" w:cs="Times New Roman"/>
          <w:i/>
          <w:sz w:val="28"/>
          <w:szCs w:val="28"/>
        </w:rPr>
      </w:pPr>
      <w:r>
        <w:rPr>
          <w:rFonts w:ascii="Times New Roman" w:hAnsi="Times New Roman" w:cs="Times New Roman"/>
          <w:i/>
          <w:sz w:val="28"/>
          <w:szCs w:val="28"/>
        </w:rPr>
        <w:t>5</w:t>
      </w:r>
      <w:r w:rsidR="008C4711" w:rsidRPr="00F21E61">
        <w:rPr>
          <w:rFonts w:ascii="Times New Roman" w:hAnsi="Times New Roman" w:cs="Times New Roman"/>
          <w:i/>
          <w:sz w:val="28"/>
          <w:szCs w:val="28"/>
        </w:rPr>
        <w:t>.1</w:t>
      </w:r>
      <w:r w:rsidR="00A9618B" w:rsidRPr="00F21E61">
        <w:rPr>
          <w:rFonts w:ascii="Times New Roman" w:hAnsi="Times New Roman" w:cs="Times New Roman"/>
          <w:i/>
          <w:sz w:val="28"/>
          <w:szCs w:val="28"/>
        </w:rPr>
        <w:t xml:space="preserve"> Educational privatisation</w:t>
      </w:r>
      <w:r w:rsidR="00F21E61">
        <w:rPr>
          <w:rFonts w:ascii="Times New Roman" w:hAnsi="Times New Roman" w:cs="Times New Roman"/>
          <w:i/>
          <w:sz w:val="28"/>
          <w:szCs w:val="28"/>
        </w:rPr>
        <w:t>: t</w:t>
      </w:r>
      <w:r w:rsidR="00A9618B" w:rsidRPr="003B3EF6">
        <w:rPr>
          <w:rFonts w:ascii="Times New Roman" w:hAnsi="Times New Roman" w:cs="Times New Roman"/>
          <w:i/>
          <w:sz w:val="28"/>
          <w:szCs w:val="28"/>
        </w:rPr>
        <w:t>he growth in private schooling</w:t>
      </w:r>
    </w:p>
    <w:p w:rsidR="00A9618B" w:rsidRPr="003B3EF6" w:rsidRDefault="00A9618B" w:rsidP="001B1238">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Good quality official and unofficial data on private schooling is scare in most countries in SSA. The otherwise comprehensive DFID-sponsored systematic review of the ‘role and impact’ of private education provides no information on the absolute and relative size of private school enrolments’ (see</w:t>
      </w:r>
      <w:r w:rsidR="0083278E" w:rsidRPr="003B3EF6">
        <w:rPr>
          <w:rFonts w:ascii="Times New Roman" w:hAnsi="Times New Roman" w:cs="Times New Roman"/>
          <w:sz w:val="28"/>
          <w:szCs w:val="28"/>
        </w:rPr>
        <w:t xml:space="preserve"> Rawal et al. 2014</w:t>
      </w:r>
      <w:r w:rsidRPr="003B3EF6">
        <w:rPr>
          <w:rFonts w:ascii="Times New Roman" w:hAnsi="Times New Roman" w:cs="Times New Roman"/>
          <w:sz w:val="28"/>
          <w:szCs w:val="28"/>
        </w:rPr>
        <w:t xml:space="preserve">). </w:t>
      </w:r>
      <w:r w:rsidR="005F06CD" w:rsidRPr="003B3EF6">
        <w:rPr>
          <w:rFonts w:ascii="Times New Roman" w:hAnsi="Times New Roman" w:cs="Times New Roman"/>
          <w:sz w:val="28"/>
          <w:szCs w:val="28"/>
        </w:rPr>
        <w:t>S</w:t>
      </w:r>
      <w:r w:rsidRPr="003B3EF6">
        <w:rPr>
          <w:rFonts w:ascii="Times New Roman" w:hAnsi="Times New Roman" w:cs="Times New Roman"/>
          <w:sz w:val="28"/>
          <w:szCs w:val="28"/>
        </w:rPr>
        <w:t xml:space="preserve">ome governments are </w:t>
      </w:r>
      <w:r w:rsidR="005F06CD" w:rsidRPr="003B3EF6">
        <w:rPr>
          <w:rFonts w:ascii="Times New Roman" w:hAnsi="Times New Roman" w:cs="Times New Roman"/>
          <w:sz w:val="28"/>
          <w:szCs w:val="28"/>
        </w:rPr>
        <w:t xml:space="preserve">themselves </w:t>
      </w:r>
      <w:r w:rsidRPr="003B3EF6">
        <w:rPr>
          <w:rFonts w:ascii="Times New Roman" w:hAnsi="Times New Roman" w:cs="Times New Roman"/>
          <w:sz w:val="28"/>
          <w:szCs w:val="28"/>
        </w:rPr>
        <w:t xml:space="preserve">reluctant to furnish information which would reveal the extent of educational privatisation especially in politically-sensitive urban areas. Thus, the on-going challenges </w:t>
      </w:r>
      <w:r w:rsidR="00DE4CBB">
        <w:rPr>
          <w:rFonts w:ascii="Times New Roman" w:hAnsi="Times New Roman" w:cs="Times New Roman"/>
          <w:sz w:val="28"/>
          <w:szCs w:val="28"/>
        </w:rPr>
        <w:t>of</w:t>
      </w:r>
      <w:r w:rsidRPr="003B3EF6">
        <w:rPr>
          <w:rFonts w:ascii="Times New Roman" w:hAnsi="Times New Roman" w:cs="Times New Roman"/>
          <w:sz w:val="28"/>
          <w:szCs w:val="28"/>
        </w:rPr>
        <w:t xml:space="preserve"> producing up-</w:t>
      </w:r>
      <w:r w:rsidR="005F06CD" w:rsidRPr="003B3EF6">
        <w:rPr>
          <w:rFonts w:ascii="Times New Roman" w:hAnsi="Times New Roman" w:cs="Times New Roman"/>
          <w:sz w:val="28"/>
          <w:szCs w:val="28"/>
        </w:rPr>
        <w:t>to-date and accurate</w:t>
      </w:r>
      <w:r w:rsidRPr="003B3EF6">
        <w:rPr>
          <w:rFonts w:ascii="Times New Roman" w:hAnsi="Times New Roman" w:cs="Times New Roman"/>
          <w:sz w:val="28"/>
          <w:szCs w:val="28"/>
        </w:rPr>
        <w:t xml:space="preserve"> real-time education management </w:t>
      </w:r>
      <w:r w:rsidR="005F06CD" w:rsidRPr="003B3EF6">
        <w:rPr>
          <w:rFonts w:ascii="Times New Roman" w:hAnsi="Times New Roman" w:cs="Times New Roman"/>
          <w:sz w:val="28"/>
          <w:szCs w:val="28"/>
        </w:rPr>
        <w:t xml:space="preserve">data in most countries </w:t>
      </w:r>
      <w:r w:rsidRPr="003B3EF6">
        <w:rPr>
          <w:rFonts w:ascii="Times New Roman" w:hAnsi="Times New Roman" w:cs="Times New Roman"/>
          <w:sz w:val="28"/>
          <w:szCs w:val="28"/>
        </w:rPr>
        <w:t>is likely to be for both technical and political reasons</w:t>
      </w:r>
      <w:r w:rsidRPr="003B3EF6">
        <w:rPr>
          <w:rStyle w:val="FootnoteReference"/>
          <w:rFonts w:ascii="Times New Roman" w:hAnsi="Times New Roman" w:cs="Times New Roman"/>
          <w:sz w:val="28"/>
          <w:szCs w:val="28"/>
        </w:rPr>
        <w:footnoteReference w:id="21"/>
      </w:r>
      <w:r w:rsidRPr="003B3EF6">
        <w:rPr>
          <w:rFonts w:ascii="Times New Roman" w:hAnsi="Times New Roman" w:cs="Times New Roman"/>
          <w:sz w:val="28"/>
          <w:szCs w:val="28"/>
        </w:rPr>
        <w:t xml:space="preserve">.   </w:t>
      </w:r>
    </w:p>
    <w:p w:rsidR="00BA2EF3" w:rsidRDefault="00BA2EF3" w:rsidP="001B1238">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UNESCO data on overall enrolments in private education would seem to indicate that the extent of the growth in private sector educati</w:t>
      </w:r>
      <w:r>
        <w:rPr>
          <w:rFonts w:ascii="Times New Roman" w:hAnsi="Times New Roman" w:cs="Times New Roman"/>
          <w:sz w:val="28"/>
          <w:szCs w:val="28"/>
        </w:rPr>
        <w:t xml:space="preserve">on provision has been </w:t>
      </w:r>
      <w:r w:rsidRPr="003B3EF6">
        <w:rPr>
          <w:rFonts w:ascii="Times New Roman" w:hAnsi="Times New Roman" w:cs="Times New Roman"/>
          <w:sz w:val="28"/>
          <w:szCs w:val="28"/>
        </w:rPr>
        <w:t>over-</w:t>
      </w:r>
      <w:r w:rsidRPr="003B3EF6">
        <w:rPr>
          <w:rFonts w:ascii="Times New Roman" w:hAnsi="Times New Roman" w:cs="Times New Roman"/>
          <w:sz w:val="28"/>
          <w:szCs w:val="28"/>
        </w:rPr>
        <w:lastRenderedPageBreak/>
        <w:t>stated in SSA. According to this data, the share of private primary school enrolments in SSA as a whole only increased from 10% in 2000 to 14% in 2015. The corresponding figures for secondary schooling are 17% and 21%</w:t>
      </w:r>
      <w:r w:rsidRPr="003B3EF6">
        <w:rPr>
          <w:rStyle w:val="FootnoteReference"/>
          <w:rFonts w:ascii="Times New Roman" w:hAnsi="Times New Roman" w:cs="Times New Roman"/>
          <w:sz w:val="28"/>
          <w:szCs w:val="28"/>
        </w:rPr>
        <w:footnoteReference w:id="22"/>
      </w:r>
      <w:r w:rsidRPr="003B3EF6">
        <w:rPr>
          <w:rFonts w:ascii="Times New Roman" w:hAnsi="Times New Roman" w:cs="Times New Roman"/>
          <w:sz w:val="28"/>
          <w:szCs w:val="28"/>
        </w:rPr>
        <w:t>.  Table 3</w:t>
      </w:r>
      <w:r>
        <w:rPr>
          <w:rFonts w:ascii="Times New Roman" w:hAnsi="Times New Roman" w:cs="Times New Roman"/>
          <w:sz w:val="28"/>
          <w:szCs w:val="28"/>
        </w:rPr>
        <w:t xml:space="preserve"> </w:t>
      </w:r>
      <w:r w:rsidR="0038592C" w:rsidRPr="003B3EF6">
        <w:rPr>
          <w:rFonts w:ascii="Times New Roman" w:hAnsi="Times New Roman" w:cs="Times New Roman"/>
          <w:sz w:val="28"/>
          <w:szCs w:val="28"/>
        </w:rPr>
        <w:t xml:space="preserve">shows that in around only one-quarter of countries did the private sector share of total primary school enrolments increase by 10 percentage points or more. For secondary education, this figure is barely 10% of all countries.  </w:t>
      </w:r>
    </w:p>
    <w:tbl>
      <w:tblPr>
        <w:tblW w:w="8596" w:type="dxa"/>
        <w:tblLook w:val="04A0" w:firstRow="1" w:lastRow="0" w:firstColumn="1" w:lastColumn="0" w:noHBand="0" w:noVBand="1"/>
      </w:tblPr>
      <w:tblGrid>
        <w:gridCol w:w="2881"/>
        <w:gridCol w:w="1054"/>
        <w:gridCol w:w="1587"/>
        <w:gridCol w:w="1540"/>
        <w:gridCol w:w="1534"/>
      </w:tblGrid>
      <w:tr w:rsidR="00BA2EF3" w:rsidRPr="00177A6A" w:rsidTr="00C64CFF">
        <w:trPr>
          <w:trHeight w:val="300"/>
        </w:trPr>
        <w:tc>
          <w:tcPr>
            <w:tcW w:w="8596" w:type="dxa"/>
            <w:gridSpan w:val="5"/>
            <w:tcBorders>
              <w:top w:val="nil"/>
              <w:left w:val="nil"/>
              <w:bottom w:val="nil"/>
              <w:right w:val="nil"/>
            </w:tcBorders>
            <w:shd w:val="clear" w:color="auto" w:fill="auto"/>
            <w:noWrap/>
            <w:vAlign w:val="bottom"/>
            <w:hideMark/>
          </w:tcPr>
          <w:p w:rsidR="00BA2EF3" w:rsidRPr="00177A6A" w:rsidRDefault="00BA2EF3" w:rsidP="00C64CFF">
            <w:pPr>
              <w:spacing w:after="0" w:line="240" w:lineRule="auto"/>
              <w:rPr>
                <w:rFonts w:ascii="Calibri" w:eastAsia="Times New Roman" w:hAnsi="Calibri" w:cs="Calibri"/>
                <w:b/>
                <w:bCs/>
                <w:color w:val="5F735C"/>
                <w:lang w:eastAsia="en-GB"/>
              </w:rPr>
            </w:pPr>
            <w:r w:rsidRPr="00177A6A">
              <w:rPr>
                <w:rFonts w:ascii="Calibri" w:eastAsia="Times New Roman" w:hAnsi="Calibri" w:cs="Calibri"/>
                <w:b/>
                <w:bCs/>
                <w:color w:val="5F735C"/>
                <w:lang w:eastAsia="en-GB"/>
              </w:rPr>
              <w:t>Table 3:  Percentage point change in share of private enrolments, 2000-2015/lya,</w:t>
            </w:r>
          </w:p>
        </w:tc>
      </w:tr>
      <w:tr w:rsidR="00BA2EF3" w:rsidRPr="00177A6A" w:rsidTr="00C64CFF">
        <w:trPr>
          <w:trHeight w:val="300"/>
        </w:trPr>
        <w:tc>
          <w:tcPr>
            <w:tcW w:w="2881" w:type="dxa"/>
            <w:tcBorders>
              <w:top w:val="single" w:sz="4" w:space="0" w:color="FFFFFF"/>
              <w:left w:val="single" w:sz="4" w:space="0" w:color="FFFFFF"/>
              <w:bottom w:val="single" w:sz="4" w:space="0" w:color="FFFFFF"/>
              <w:right w:val="single" w:sz="4" w:space="0" w:color="FFFFFF"/>
            </w:tcBorders>
            <w:shd w:val="clear" w:color="000000" w:fill="49723B"/>
            <w:noWrap/>
            <w:vAlign w:val="bottom"/>
            <w:hideMark/>
          </w:tcPr>
          <w:p w:rsidR="00BA2EF3" w:rsidRPr="00177A6A" w:rsidRDefault="00BA2EF3" w:rsidP="00C64CFF">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number of countries in SSA</w:t>
            </w:r>
          </w:p>
        </w:tc>
        <w:tc>
          <w:tcPr>
            <w:tcW w:w="1054" w:type="dxa"/>
            <w:tcBorders>
              <w:top w:val="single" w:sz="4" w:space="0" w:color="FFFFFF"/>
              <w:left w:val="nil"/>
              <w:bottom w:val="single" w:sz="4" w:space="0" w:color="FFFFFF"/>
              <w:right w:val="single" w:sz="4" w:space="0" w:color="FFFFFF"/>
            </w:tcBorders>
            <w:shd w:val="clear" w:color="000000" w:fill="49723B"/>
            <w:noWrap/>
            <w:vAlign w:val="bottom"/>
            <w:hideMark/>
          </w:tcPr>
          <w:p w:rsidR="00BA2EF3" w:rsidRPr="00177A6A" w:rsidRDefault="00BA2EF3" w:rsidP="00C64CFF">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 </w:t>
            </w:r>
          </w:p>
        </w:tc>
        <w:tc>
          <w:tcPr>
            <w:tcW w:w="1587" w:type="dxa"/>
            <w:tcBorders>
              <w:top w:val="single" w:sz="4" w:space="0" w:color="FFFFFF"/>
              <w:left w:val="nil"/>
              <w:bottom w:val="single" w:sz="4" w:space="0" w:color="FFFFFF"/>
              <w:right w:val="single" w:sz="4" w:space="0" w:color="FFFFFF"/>
            </w:tcBorders>
            <w:shd w:val="clear" w:color="000000" w:fill="49723B"/>
            <w:noWrap/>
            <w:vAlign w:val="bottom"/>
            <w:hideMark/>
          </w:tcPr>
          <w:p w:rsidR="00BA2EF3" w:rsidRPr="00177A6A" w:rsidRDefault="00BA2EF3" w:rsidP="00C64CFF">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 </w:t>
            </w:r>
          </w:p>
        </w:tc>
        <w:tc>
          <w:tcPr>
            <w:tcW w:w="1540" w:type="dxa"/>
            <w:tcBorders>
              <w:top w:val="single" w:sz="4" w:space="0" w:color="FFFFFF"/>
              <w:left w:val="nil"/>
              <w:bottom w:val="single" w:sz="4" w:space="0" w:color="FFFFFF"/>
              <w:right w:val="single" w:sz="4" w:space="0" w:color="FFFFFF"/>
            </w:tcBorders>
            <w:shd w:val="clear" w:color="000000" w:fill="49723B"/>
            <w:noWrap/>
            <w:vAlign w:val="bottom"/>
            <w:hideMark/>
          </w:tcPr>
          <w:p w:rsidR="00BA2EF3" w:rsidRPr="00177A6A" w:rsidRDefault="00BA2EF3" w:rsidP="00C64CFF">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 </w:t>
            </w:r>
          </w:p>
        </w:tc>
        <w:tc>
          <w:tcPr>
            <w:tcW w:w="1534" w:type="dxa"/>
            <w:tcBorders>
              <w:top w:val="single" w:sz="4" w:space="0" w:color="FFFFFF"/>
              <w:left w:val="nil"/>
              <w:bottom w:val="single" w:sz="4" w:space="0" w:color="FFFFFF"/>
              <w:right w:val="single" w:sz="4" w:space="0" w:color="FFFFFF"/>
            </w:tcBorders>
            <w:shd w:val="clear" w:color="000000" w:fill="49723B"/>
            <w:noWrap/>
            <w:vAlign w:val="bottom"/>
            <w:hideMark/>
          </w:tcPr>
          <w:p w:rsidR="00BA2EF3" w:rsidRPr="00177A6A" w:rsidRDefault="00BA2EF3" w:rsidP="00C64CFF">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 </w:t>
            </w:r>
          </w:p>
        </w:tc>
      </w:tr>
      <w:tr w:rsidR="00BA2EF3" w:rsidRPr="00177A6A" w:rsidTr="00C64CFF">
        <w:trPr>
          <w:trHeight w:val="300"/>
        </w:trPr>
        <w:tc>
          <w:tcPr>
            <w:tcW w:w="2881" w:type="dxa"/>
            <w:tcBorders>
              <w:top w:val="nil"/>
              <w:left w:val="single" w:sz="4" w:space="0" w:color="FFFFFF"/>
              <w:bottom w:val="single" w:sz="4" w:space="0" w:color="FFFFFF"/>
              <w:right w:val="single" w:sz="4" w:space="0" w:color="FFFFFF"/>
            </w:tcBorders>
            <w:shd w:val="clear" w:color="000000" w:fill="49723B"/>
            <w:noWrap/>
            <w:vAlign w:val="bottom"/>
            <w:hideMark/>
          </w:tcPr>
          <w:p w:rsidR="00BA2EF3" w:rsidRPr="00177A6A" w:rsidRDefault="00BA2EF3" w:rsidP="00C64CFF">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Education</w:t>
            </w:r>
          </w:p>
        </w:tc>
        <w:tc>
          <w:tcPr>
            <w:tcW w:w="1054" w:type="dxa"/>
            <w:tcBorders>
              <w:top w:val="nil"/>
              <w:left w:val="nil"/>
              <w:bottom w:val="single" w:sz="4" w:space="0" w:color="FFFFFF"/>
              <w:right w:val="single" w:sz="4" w:space="0" w:color="FFFFFF"/>
            </w:tcBorders>
            <w:shd w:val="clear" w:color="000000" w:fill="49723B"/>
            <w:noWrap/>
            <w:vAlign w:val="bottom"/>
            <w:hideMark/>
          </w:tcPr>
          <w:p w:rsidR="00BA2EF3" w:rsidRPr="00177A6A" w:rsidRDefault="00BA2EF3" w:rsidP="00C64CFF">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Decrease</w:t>
            </w:r>
          </w:p>
        </w:tc>
        <w:tc>
          <w:tcPr>
            <w:tcW w:w="1587" w:type="dxa"/>
            <w:tcBorders>
              <w:top w:val="nil"/>
              <w:left w:val="nil"/>
              <w:bottom w:val="single" w:sz="4" w:space="0" w:color="FFFFFF"/>
              <w:right w:val="single" w:sz="4" w:space="0" w:color="FFFFFF"/>
            </w:tcBorders>
            <w:shd w:val="clear" w:color="000000" w:fill="49723B"/>
            <w:noWrap/>
            <w:vAlign w:val="bottom"/>
            <w:hideMark/>
          </w:tcPr>
          <w:p w:rsidR="00BA2EF3" w:rsidRPr="00177A6A" w:rsidRDefault="00BA2EF3" w:rsidP="00C64CFF">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No change</w:t>
            </w:r>
          </w:p>
        </w:tc>
        <w:tc>
          <w:tcPr>
            <w:tcW w:w="1540" w:type="dxa"/>
            <w:tcBorders>
              <w:top w:val="nil"/>
              <w:left w:val="nil"/>
              <w:bottom w:val="single" w:sz="4" w:space="0" w:color="FFFFFF"/>
              <w:right w:val="single" w:sz="4" w:space="0" w:color="FFFFFF"/>
            </w:tcBorders>
            <w:shd w:val="clear" w:color="000000" w:fill="49723B"/>
            <w:noWrap/>
            <w:vAlign w:val="bottom"/>
            <w:hideMark/>
          </w:tcPr>
          <w:p w:rsidR="00BA2EF3" w:rsidRPr="00177A6A" w:rsidRDefault="00BA2EF3" w:rsidP="00C64CFF">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Small increase</w:t>
            </w:r>
          </w:p>
        </w:tc>
        <w:tc>
          <w:tcPr>
            <w:tcW w:w="1534" w:type="dxa"/>
            <w:tcBorders>
              <w:top w:val="nil"/>
              <w:left w:val="nil"/>
              <w:bottom w:val="single" w:sz="4" w:space="0" w:color="FFFFFF"/>
              <w:right w:val="single" w:sz="4" w:space="0" w:color="FFFFFF"/>
            </w:tcBorders>
            <w:shd w:val="clear" w:color="000000" w:fill="49723B"/>
            <w:noWrap/>
            <w:vAlign w:val="bottom"/>
            <w:hideMark/>
          </w:tcPr>
          <w:p w:rsidR="00BA2EF3" w:rsidRPr="00177A6A" w:rsidRDefault="00BA2EF3" w:rsidP="00C64CFF">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Large increase</w:t>
            </w:r>
          </w:p>
        </w:tc>
      </w:tr>
      <w:tr w:rsidR="00BA2EF3" w:rsidRPr="00177A6A" w:rsidTr="00C64CFF">
        <w:trPr>
          <w:trHeight w:val="300"/>
        </w:trPr>
        <w:tc>
          <w:tcPr>
            <w:tcW w:w="2881" w:type="dxa"/>
            <w:tcBorders>
              <w:top w:val="nil"/>
              <w:left w:val="single" w:sz="4" w:space="0" w:color="FFFFFF"/>
              <w:bottom w:val="single" w:sz="4" w:space="0" w:color="FFFFFF"/>
              <w:right w:val="single" w:sz="4" w:space="0" w:color="FFFFFF"/>
            </w:tcBorders>
            <w:shd w:val="clear" w:color="000000" w:fill="49723B"/>
            <w:noWrap/>
            <w:vAlign w:val="bottom"/>
            <w:hideMark/>
          </w:tcPr>
          <w:p w:rsidR="00BA2EF3" w:rsidRPr="00177A6A" w:rsidRDefault="002D2170" w:rsidP="00C64CFF">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L</w:t>
            </w:r>
            <w:r w:rsidR="00BA2EF3" w:rsidRPr="00177A6A">
              <w:rPr>
                <w:rFonts w:ascii="Calibri" w:eastAsia="Times New Roman" w:hAnsi="Calibri" w:cs="Calibri"/>
                <w:b/>
                <w:bCs/>
                <w:color w:val="FFFFFF"/>
                <w:lang w:eastAsia="en-GB"/>
              </w:rPr>
              <w:t>evel</w:t>
            </w:r>
          </w:p>
        </w:tc>
        <w:tc>
          <w:tcPr>
            <w:tcW w:w="1054" w:type="dxa"/>
            <w:tcBorders>
              <w:top w:val="nil"/>
              <w:left w:val="nil"/>
              <w:bottom w:val="single" w:sz="4" w:space="0" w:color="FFFFFF"/>
              <w:right w:val="single" w:sz="4" w:space="0" w:color="FFFFFF"/>
            </w:tcBorders>
            <w:shd w:val="clear" w:color="000000" w:fill="EFEAE6"/>
            <w:noWrap/>
            <w:vAlign w:val="bottom"/>
            <w:hideMark/>
          </w:tcPr>
          <w:p w:rsidR="00BA2EF3" w:rsidRPr="00177A6A" w:rsidRDefault="00BA2EF3" w:rsidP="00C64CFF">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&lt;-3</w:t>
            </w:r>
          </w:p>
        </w:tc>
        <w:tc>
          <w:tcPr>
            <w:tcW w:w="1587" w:type="dxa"/>
            <w:tcBorders>
              <w:top w:val="nil"/>
              <w:left w:val="nil"/>
              <w:bottom w:val="single" w:sz="4" w:space="0" w:color="FFFFFF"/>
              <w:right w:val="single" w:sz="4" w:space="0" w:color="FFFFFF"/>
            </w:tcBorders>
            <w:shd w:val="clear" w:color="000000" w:fill="EFEAE6"/>
            <w:noWrap/>
            <w:vAlign w:val="bottom"/>
            <w:hideMark/>
          </w:tcPr>
          <w:p w:rsidR="00BA2EF3" w:rsidRPr="00177A6A" w:rsidRDefault="00BA2EF3" w:rsidP="00C64CFF">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minus 2 -plus 2</w:t>
            </w:r>
          </w:p>
        </w:tc>
        <w:tc>
          <w:tcPr>
            <w:tcW w:w="1540" w:type="dxa"/>
            <w:tcBorders>
              <w:top w:val="nil"/>
              <w:left w:val="nil"/>
              <w:bottom w:val="single" w:sz="4" w:space="0" w:color="FFFFFF"/>
              <w:right w:val="single" w:sz="4" w:space="0" w:color="FFFFFF"/>
            </w:tcBorders>
            <w:shd w:val="clear" w:color="000000" w:fill="EFEAE6"/>
            <w:noWrap/>
            <w:vAlign w:val="bottom"/>
            <w:hideMark/>
          </w:tcPr>
          <w:p w:rsidR="00BA2EF3" w:rsidRPr="00177A6A" w:rsidRDefault="00BA2EF3" w:rsidP="00C64CFF">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3 to 10</w:t>
            </w:r>
          </w:p>
        </w:tc>
        <w:tc>
          <w:tcPr>
            <w:tcW w:w="1534" w:type="dxa"/>
            <w:tcBorders>
              <w:top w:val="nil"/>
              <w:left w:val="nil"/>
              <w:bottom w:val="single" w:sz="4" w:space="0" w:color="FFFFFF"/>
              <w:right w:val="single" w:sz="4" w:space="0" w:color="FFFFFF"/>
            </w:tcBorders>
            <w:shd w:val="clear" w:color="000000" w:fill="EFEAE6"/>
            <w:noWrap/>
            <w:vAlign w:val="bottom"/>
            <w:hideMark/>
          </w:tcPr>
          <w:p w:rsidR="00BA2EF3" w:rsidRPr="00177A6A" w:rsidRDefault="00BA2EF3" w:rsidP="00C64CFF">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10&gt;</w:t>
            </w:r>
          </w:p>
        </w:tc>
      </w:tr>
      <w:tr w:rsidR="00BA2EF3" w:rsidRPr="00177A6A" w:rsidTr="00C64CFF">
        <w:trPr>
          <w:trHeight w:val="300"/>
        </w:trPr>
        <w:tc>
          <w:tcPr>
            <w:tcW w:w="2881" w:type="dxa"/>
            <w:tcBorders>
              <w:top w:val="nil"/>
              <w:left w:val="single" w:sz="4" w:space="0" w:color="FFFFFF"/>
              <w:bottom w:val="single" w:sz="4" w:space="0" w:color="FFFFFF"/>
              <w:right w:val="single" w:sz="4" w:space="0" w:color="FFFFFF"/>
            </w:tcBorders>
            <w:shd w:val="clear" w:color="000000" w:fill="49723B"/>
            <w:noWrap/>
            <w:vAlign w:val="bottom"/>
            <w:hideMark/>
          </w:tcPr>
          <w:p w:rsidR="00BA2EF3" w:rsidRPr="00177A6A" w:rsidRDefault="00BA2EF3" w:rsidP="00C64CFF">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Primary</w:t>
            </w:r>
          </w:p>
        </w:tc>
        <w:tc>
          <w:tcPr>
            <w:tcW w:w="1054" w:type="dxa"/>
            <w:tcBorders>
              <w:top w:val="nil"/>
              <w:left w:val="nil"/>
              <w:bottom w:val="single" w:sz="4" w:space="0" w:color="FFFFFF"/>
              <w:right w:val="single" w:sz="4" w:space="0" w:color="FFFFFF"/>
            </w:tcBorders>
            <w:shd w:val="clear" w:color="000000" w:fill="EFEAE6"/>
            <w:noWrap/>
            <w:vAlign w:val="bottom"/>
            <w:hideMark/>
          </w:tcPr>
          <w:p w:rsidR="00BA2EF3" w:rsidRPr="00177A6A" w:rsidRDefault="00BA2EF3" w:rsidP="00C64CFF">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3</w:t>
            </w:r>
          </w:p>
        </w:tc>
        <w:tc>
          <w:tcPr>
            <w:tcW w:w="1587" w:type="dxa"/>
            <w:tcBorders>
              <w:top w:val="nil"/>
              <w:left w:val="nil"/>
              <w:bottom w:val="single" w:sz="4" w:space="0" w:color="FFFFFF"/>
              <w:right w:val="single" w:sz="4" w:space="0" w:color="FFFFFF"/>
            </w:tcBorders>
            <w:shd w:val="clear" w:color="000000" w:fill="EFEAE6"/>
            <w:noWrap/>
            <w:vAlign w:val="bottom"/>
            <w:hideMark/>
          </w:tcPr>
          <w:p w:rsidR="00BA2EF3" w:rsidRPr="00177A6A" w:rsidRDefault="00BA2EF3" w:rsidP="00C64CFF">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14</w:t>
            </w:r>
          </w:p>
        </w:tc>
        <w:tc>
          <w:tcPr>
            <w:tcW w:w="1540" w:type="dxa"/>
            <w:tcBorders>
              <w:top w:val="nil"/>
              <w:left w:val="nil"/>
              <w:bottom w:val="single" w:sz="4" w:space="0" w:color="FFFFFF"/>
              <w:right w:val="single" w:sz="4" w:space="0" w:color="FFFFFF"/>
            </w:tcBorders>
            <w:shd w:val="clear" w:color="000000" w:fill="EFEAE6"/>
            <w:noWrap/>
            <w:vAlign w:val="bottom"/>
            <w:hideMark/>
          </w:tcPr>
          <w:p w:rsidR="00BA2EF3" w:rsidRPr="00177A6A" w:rsidRDefault="00BA2EF3" w:rsidP="00C64CFF">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11</w:t>
            </w:r>
          </w:p>
        </w:tc>
        <w:tc>
          <w:tcPr>
            <w:tcW w:w="1534" w:type="dxa"/>
            <w:tcBorders>
              <w:top w:val="nil"/>
              <w:left w:val="nil"/>
              <w:bottom w:val="single" w:sz="4" w:space="0" w:color="FFFFFF"/>
              <w:right w:val="single" w:sz="4" w:space="0" w:color="FFFFFF"/>
            </w:tcBorders>
            <w:shd w:val="clear" w:color="000000" w:fill="EFEAE6"/>
            <w:noWrap/>
            <w:vAlign w:val="bottom"/>
            <w:hideMark/>
          </w:tcPr>
          <w:p w:rsidR="00BA2EF3" w:rsidRPr="00177A6A" w:rsidRDefault="00BA2EF3" w:rsidP="00C64CFF">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9</w:t>
            </w:r>
          </w:p>
        </w:tc>
      </w:tr>
      <w:tr w:rsidR="00BA2EF3" w:rsidRPr="00177A6A" w:rsidTr="00C64CFF">
        <w:trPr>
          <w:trHeight w:val="300"/>
        </w:trPr>
        <w:tc>
          <w:tcPr>
            <w:tcW w:w="2881" w:type="dxa"/>
            <w:tcBorders>
              <w:top w:val="nil"/>
              <w:left w:val="single" w:sz="4" w:space="0" w:color="FFFFFF"/>
              <w:bottom w:val="single" w:sz="4" w:space="0" w:color="FFFFFF"/>
              <w:right w:val="single" w:sz="4" w:space="0" w:color="FFFFFF"/>
            </w:tcBorders>
            <w:shd w:val="clear" w:color="000000" w:fill="49723B"/>
            <w:noWrap/>
            <w:vAlign w:val="bottom"/>
            <w:hideMark/>
          </w:tcPr>
          <w:p w:rsidR="00BA2EF3" w:rsidRPr="00177A6A" w:rsidRDefault="00BA2EF3" w:rsidP="00C64CFF">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Secondary</w:t>
            </w:r>
          </w:p>
        </w:tc>
        <w:tc>
          <w:tcPr>
            <w:tcW w:w="1054" w:type="dxa"/>
            <w:tcBorders>
              <w:top w:val="nil"/>
              <w:left w:val="nil"/>
              <w:bottom w:val="single" w:sz="4" w:space="0" w:color="FFFFFF"/>
              <w:right w:val="single" w:sz="4" w:space="0" w:color="FFFFFF"/>
            </w:tcBorders>
            <w:shd w:val="clear" w:color="000000" w:fill="EFEAE6"/>
            <w:noWrap/>
            <w:vAlign w:val="bottom"/>
            <w:hideMark/>
          </w:tcPr>
          <w:p w:rsidR="00BA2EF3" w:rsidRPr="00177A6A" w:rsidRDefault="00BA2EF3" w:rsidP="00C64CFF">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6</w:t>
            </w:r>
          </w:p>
        </w:tc>
        <w:tc>
          <w:tcPr>
            <w:tcW w:w="1587" w:type="dxa"/>
            <w:tcBorders>
              <w:top w:val="nil"/>
              <w:left w:val="nil"/>
              <w:bottom w:val="single" w:sz="4" w:space="0" w:color="FFFFFF"/>
              <w:right w:val="single" w:sz="4" w:space="0" w:color="FFFFFF"/>
            </w:tcBorders>
            <w:shd w:val="clear" w:color="000000" w:fill="EFEAE6"/>
            <w:noWrap/>
            <w:vAlign w:val="bottom"/>
            <w:hideMark/>
          </w:tcPr>
          <w:p w:rsidR="00BA2EF3" w:rsidRPr="00177A6A" w:rsidRDefault="00BA2EF3" w:rsidP="00C64CFF">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8</w:t>
            </w:r>
          </w:p>
        </w:tc>
        <w:tc>
          <w:tcPr>
            <w:tcW w:w="1540" w:type="dxa"/>
            <w:tcBorders>
              <w:top w:val="nil"/>
              <w:left w:val="nil"/>
              <w:bottom w:val="single" w:sz="4" w:space="0" w:color="FFFFFF"/>
              <w:right w:val="single" w:sz="4" w:space="0" w:color="FFFFFF"/>
            </w:tcBorders>
            <w:shd w:val="clear" w:color="000000" w:fill="EFEAE6"/>
            <w:noWrap/>
            <w:vAlign w:val="bottom"/>
            <w:hideMark/>
          </w:tcPr>
          <w:p w:rsidR="00BA2EF3" w:rsidRPr="00177A6A" w:rsidRDefault="00BA2EF3" w:rsidP="00C64CFF">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7</w:t>
            </w:r>
          </w:p>
        </w:tc>
        <w:tc>
          <w:tcPr>
            <w:tcW w:w="1534" w:type="dxa"/>
            <w:tcBorders>
              <w:top w:val="nil"/>
              <w:left w:val="nil"/>
              <w:bottom w:val="single" w:sz="4" w:space="0" w:color="FFFFFF"/>
              <w:right w:val="single" w:sz="4" w:space="0" w:color="FFFFFF"/>
            </w:tcBorders>
            <w:shd w:val="clear" w:color="000000" w:fill="EFEAE6"/>
            <w:noWrap/>
            <w:vAlign w:val="bottom"/>
            <w:hideMark/>
          </w:tcPr>
          <w:p w:rsidR="00BA2EF3" w:rsidRPr="00177A6A" w:rsidRDefault="00BA2EF3" w:rsidP="00C64CFF">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3</w:t>
            </w:r>
          </w:p>
        </w:tc>
      </w:tr>
      <w:tr w:rsidR="00BA2EF3" w:rsidRPr="00177A6A" w:rsidTr="00C64CFF">
        <w:trPr>
          <w:trHeight w:val="300"/>
        </w:trPr>
        <w:tc>
          <w:tcPr>
            <w:tcW w:w="2881" w:type="dxa"/>
            <w:tcBorders>
              <w:top w:val="nil"/>
              <w:left w:val="single" w:sz="4" w:space="0" w:color="FFFFFF"/>
              <w:bottom w:val="single" w:sz="4" w:space="0" w:color="FFFFFF"/>
              <w:right w:val="single" w:sz="4" w:space="0" w:color="FFFFFF"/>
            </w:tcBorders>
            <w:shd w:val="clear" w:color="000000" w:fill="49723B"/>
            <w:noWrap/>
            <w:vAlign w:val="bottom"/>
            <w:hideMark/>
          </w:tcPr>
          <w:p w:rsidR="00BA2EF3" w:rsidRPr="00177A6A" w:rsidRDefault="00BA2EF3" w:rsidP="00C64CFF">
            <w:pPr>
              <w:spacing w:after="0" w:line="240" w:lineRule="auto"/>
              <w:jc w:val="center"/>
              <w:rPr>
                <w:rFonts w:ascii="Calibri" w:eastAsia="Times New Roman" w:hAnsi="Calibri" w:cs="Calibri"/>
                <w:b/>
                <w:bCs/>
                <w:color w:val="FFFFFF"/>
                <w:lang w:eastAsia="en-GB"/>
              </w:rPr>
            </w:pPr>
            <w:r w:rsidRPr="00177A6A">
              <w:rPr>
                <w:rFonts w:ascii="Calibri" w:eastAsia="Times New Roman" w:hAnsi="Calibri" w:cs="Calibri"/>
                <w:b/>
                <w:bCs/>
                <w:color w:val="FFFFFF"/>
                <w:lang w:eastAsia="en-GB"/>
              </w:rPr>
              <w:t>Higher</w:t>
            </w:r>
          </w:p>
        </w:tc>
        <w:tc>
          <w:tcPr>
            <w:tcW w:w="1054" w:type="dxa"/>
            <w:tcBorders>
              <w:top w:val="nil"/>
              <w:left w:val="nil"/>
              <w:bottom w:val="single" w:sz="4" w:space="0" w:color="FFFFFF"/>
              <w:right w:val="single" w:sz="4" w:space="0" w:color="FFFFFF"/>
            </w:tcBorders>
            <w:shd w:val="clear" w:color="000000" w:fill="EFEAE6"/>
            <w:noWrap/>
            <w:vAlign w:val="bottom"/>
            <w:hideMark/>
          </w:tcPr>
          <w:p w:rsidR="00BA2EF3" w:rsidRPr="00177A6A" w:rsidRDefault="00BA2EF3" w:rsidP="00C64CFF">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7</w:t>
            </w:r>
          </w:p>
        </w:tc>
        <w:tc>
          <w:tcPr>
            <w:tcW w:w="1587" w:type="dxa"/>
            <w:tcBorders>
              <w:top w:val="nil"/>
              <w:left w:val="nil"/>
              <w:bottom w:val="single" w:sz="4" w:space="0" w:color="FFFFFF"/>
              <w:right w:val="single" w:sz="4" w:space="0" w:color="FFFFFF"/>
            </w:tcBorders>
            <w:shd w:val="clear" w:color="000000" w:fill="EFEAE6"/>
            <w:noWrap/>
            <w:vAlign w:val="bottom"/>
            <w:hideMark/>
          </w:tcPr>
          <w:p w:rsidR="00BA2EF3" w:rsidRPr="00177A6A" w:rsidRDefault="00BA2EF3" w:rsidP="00C64CFF">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5</w:t>
            </w:r>
          </w:p>
        </w:tc>
        <w:tc>
          <w:tcPr>
            <w:tcW w:w="1540" w:type="dxa"/>
            <w:tcBorders>
              <w:top w:val="nil"/>
              <w:left w:val="nil"/>
              <w:bottom w:val="single" w:sz="4" w:space="0" w:color="FFFFFF"/>
              <w:right w:val="single" w:sz="4" w:space="0" w:color="FFFFFF"/>
            </w:tcBorders>
            <w:shd w:val="clear" w:color="000000" w:fill="EFEAE6"/>
            <w:noWrap/>
            <w:vAlign w:val="bottom"/>
            <w:hideMark/>
          </w:tcPr>
          <w:p w:rsidR="00BA2EF3" w:rsidRPr="00177A6A" w:rsidRDefault="00BA2EF3" w:rsidP="00C64CFF">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4</w:t>
            </w:r>
          </w:p>
        </w:tc>
        <w:tc>
          <w:tcPr>
            <w:tcW w:w="1534" w:type="dxa"/>
            <w:tcBorders>
              <w:top w:val="nil"/>
              <w:left w:val="nil"/>
              <w:bottom w:val="single" w:sz="4" w:space="0" w:color="FFFFFF"/>
              <w:right w:val="single" w:sz="4" w:space="0" w:color="FFFFFF"/>
            </w:tcBorders>
            <w:shd w:val="clear" w:color="000000" w:fill="EFEAE6"/>
            <w:noWrap/>
            <w:vAlign w:val="bottom"/>
            <w:hideMark/>
          </w:tcPr>
          <w:p w:rsidR="00BA2EF3" w:rsidRPr="00177A6A" w:rsidRDefault="00BA2EF3" w:rsidP="00C64CFF">
            <w:pPr>
              <w:spacing w:after="0" w:line="240" w:lineRule="auto"/>
              <w:jc w:val="center"/>
              <w:rPr>
                <w:rFonts w:ascii="Calibri" w:eastAsia="Times New Roman" w:hAnsi="Calibri" w:cs="Calibri"/>
                <w:color w:val="000000"/>
                <w:lang w:eastAsia="en-GB"/>
              </w:rPr>
            </w:pPr>
            <w:r w:rsidRPr="00177A6A">
              <w:rPr>
                <w:rFonts w:ascii="Calibri" w:eastAsia="Times New Roman" w:hAnsi="Calibri" w:cs="Calibri"/>
                <w:color w:val="000000"/>
                <w:lang w:eastAsia="en-GB"/>
              </w:rPr>
              <w:t>13</w:t>
            </w:r>
          </w:p>
        </w:tc>
      </w:tr>
      <w:tr w:rsidR="00BA2EF3" w:rsidRPr="00177A6A" w:rsidTr="00C64CFF">
        <w:trPr>
          <w:trHeight w:val="300"/>
        </w:trPr>
        <w:tc>
          <w:tcPr>
            <w:tcW w:w="2881" w:type="dxa"/>
            <w:tcBorders>
              <w:top w:val="nil"/>
              <w:left w:val="nil"/>
              <w:bottom w:val="nil"/>
              <w:right w:val="nil"/>
            </w:tcBorders>
            <w:shd w:val="clear" w:color="auto" w:fill="auto"/>
            <w:noWrap/>
            <w:vAlign w:val="bottom"/>
            <w:hideMark/>
          </w:tcPr>
          <w:p w:rsidR="00BA2EF3" w:rsidRPr="00177A6A" w:rsidRDefault="00BA2EF3" w:rsidP="00C64CFF">
            <w:pPr>
              <w:spacing w:after="0" w:line="240" w:lineRule="auto"/>
              <w:rPr>
                <w:rFonts w:ascii="Calibri" w:eastAsia="Times New Roman" w:hAnsi="Calibri" w:cs="Calibri"/>
                <w:b/>
                <w:bCs/>
                <w:color w:val="5F735C"/>
                <w:lang w:eastAsia="en-GB"/>
              </w:rPr>
            </w:pPr>
            <w:r w:rsidRPr="00177A6A">
              <w:rPr>
                <w:rFonts w:ascii="Calibri" w:eastAsia="Times New Roman" w:hAnsi="Calibri" w:cs="Calibri"/>
                <w:b/>
                <w:bCs/>
                <w:color w:val="5F735C"/>
                <w:lang w:eastAsia="en-GB"/>
              </w:rPr>
              <w:t>Source: UIS</w:t>
            </w:r>
          </w:p>
        </w:tc>
        <w:tc>
          <w:tcPr>
            <w:tcW w:w="1054" w:type="dxa"/>
            <w:tcBorders>
              <w:top w:val="nil"/>
              <w:left w:val="nil"/>
              <w:bottom w:val="nil"/>
              <w:right w:val="nil"/>
            </w:tcBorders>
            <w:shd w:val="clear" w:color="auto" w:fill="auto"/>
            <w:noWrap/>
            <w:vAlign w:val="bottom"/>
            <w:hideMark/>
          </w:tcPr>
          <w:p w:rsidR="00BA2EF3" w:rsidRPr="00177A6A" w:rsidRDefault="00BA2EF3" w:rsidP="00C64CFF">
            <w:pPr>
              <w:spacing w:after="0" w:line="240" w:lineRule="auto"/>
              <w:rPr>
                <w:rFonts w:ascii="Calibri" w:eastAsia="Times New Roman" w:hAnsi="Calibri" w:cs="Calibri"/>
                <w:b/>
                <w:bCs/>
                <w:color w:val="5F735C"/>
                <w:lang w:eastAsia="en-GB"/>
              </w:rPr>
            </w:pPr>
          </w:p>
        </w:tc>
        <w:tc>
          <w:tcPr>
            <w:tcW w:w="1587" w:type="dxa"/>
            <w:tcBorders>
              <w:top w:val="nil"/>
              <w:left w:val="nil"/>
              <w:bottom w:val="nil"/>
              <w:right w:val="nil"/>
            </w:tcBorders>
            <w:shd w:val="clear" w:color="auto" w:fill="auto"/>
            <w:noWrap/>
            <w:vAlign w:val="bottom"/>
            <w:hideMark/>
          </w:tcPr>
          <w:p w:rsidR="00BA2EF3" w:rsidRPr="00177A6A" w:rsidRDefault="00BA2EF3" w:rsidP="00C64CFF">
            <w:pPr>
              <w:spacing w:after="0" w:line="240" w:lineRule="auto"/>
              <w:rPr>
                <w:rFonts w:ascii="Times New Roman" w:eastAsia="Times New Roman" w:hAnsi="Times New Roman" w:cs="Times New Roman"/>
                <w:sz w:val="20"/>
                <w:szCs w:val="20"/>
                <w:lang w:eastAsia="en-GB"/>
              </w:rPr>
            </w:pPr>
          </w:p>
        </w:tc>
        <w:tc>
          <w:tcPr>
            <w:tcW w:w="1540" w:type="dxa"/>
            <w:tcBorders>
              <w:top w:val="nil"/>
              <w:left w:val="nil"/>
              <w:bottom w:val="nil"/>
              <w:right w:val="nil"/>
            </w:tcBorders>
            <w:shd w:val="clear" w:color="auto" w:fill="auto"/>
            <w:noWrap/>
            <w:vAlign w:val="bottom"/>
            <w:hideMark/>
          </w:tcPr>
          <w:p w:rsidR="00BA2EF3" w:rsidRPr="00177A6A" w:rsidRDefault="00BA2EF3" w:rsidP="00C64CFF">
            <w:pPr>
              <w:spacing w:after="0" w:line="240" w:lineRule="auto"/>
              <w:rPr>
                <w:rFonts w:ascii="Times New Roman" w:eastAsia="Times New Roman" w:hAnsi="Times New Roman" w:cs="Times New Roman"/>
                <w:sz w:val="20"/>
                <w:szCs w:val="20"/>
                <w:lang w:eastAsia="en-GB"/>
              </w:rPr>
            </w:pPr>
          </w:p>
        </w:tc>
        <w:tc>
          <w:tcPr>
            <w:tcW w:w="1534" w:type="dxa"/>
            <w:tcBorders>
              <w:top w:val="nil"/>
              <w:left w:val="nil"/>
              <w:bottom w:val="nil"/>
              <w:right w:val="nil"/>
            </w:tcBorders>
            <w:shd w:val="clear" w:color="auto" w:fill="auto"/>
            <w:noWrap/>
            <w:vAlign w:val="bottom"/>
            <w:hideMark/>
          </w:tcPr>
          <w:p w:rsidR="00BA2EF3" w:rsidRPr="00177A6A" w:rsidRDefault="00BA2EF3" w:rsidP="00C64CFF">
            <w:pPr>
              <w:spacing w:after="0" w:line="240" w:lineRule="auto"/>
              <w:rPr>
                <w:rFonts w:ascii="Times New Roman" w:eastAsia="Times New Roman" w:hAnsi="Times New Roman" w:cs="Times New Roman"/>
                <w:sz w:val="20"/>
                <w:szCs w:val="20"/>
                <w:lang w:eastAsia="en-GB"/>
              </w:rPr>
            </w:pPr>
          </w:p>
        </w:tc>
      </w:tr>
    </w:tbl>
    <w:p w:rsidR="001B1238" w:rsidRDefault="001B1238" w:rsidP="003133DF">
      <w:pPr>
        <w:spacing w:line="360" w:lineRule="auto"/>
        <w:jc w:val="both"/>
        <w:rPr>
          <w:rFonts w:ascii="Times New Roman" w:hAnsi="Times New Roman" w:cs="Times New Roman"/>
          <w:sz w:val="28"/>
          <w:szCs w:val="28"/>
        </w:rPr>
      </w:pPr>
    </w:p>
    <w:p w:rsidR="000140CE" w:rsidRDefault="00A6119C" w:rsidP="003133DF">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M</w:t>
      </w:r>
      <w:r w:rsidR="00A9618B" w:rsidRPr="003B3EF6">
        <w:rPr>
          <w:rFonts w:ascii="Times New Roman" w:hAnsi="Times New Roman" w:cs="Times New Roman"/>
          <w:sz w:val="28"/>
          <w:szCs w:val="28"/>
        </w:rPr>
        <w:t xml:space="preserve">ore </w:t>
      </w:r>
      <w:r w:rsidR="00C33527" w:rsidRPr="003B3EF6">
        <w:rPr>
          <w:rFonts w:ascii="Times New Roman" w:hAnsi="Times New Roman" w:cs="Times New Roman"/>
          <w:sz w:val="28"/>
          <w:szCs w:val="28"/>
        </w:rPr>
        <w:t>disaggregated</w:t>
      </w:r>
      <w:r w:rsidR="00A9618B" w:rsidRPr="003B3EF6">
        <w:rPr>
          <w:rFonts w:ascii="Times New Roman" w:hAnsi="Times New Roman" w:cs="Times New Roman"/>
          <w:sz w:val="28"/>
          <w:szCs w:val="28"/>
        </w:rPr>
        <w:t xml:space="preserve"> data from five </w:t>
      </w:r>
      <w:r w:rsidR="005F06CD" w:rsidRPr="003B3EF6">
        <w:rPr>
          <w:rFonts w:ascii="Times New Roman" w:hAnsi="Times New Roman" w:cs="Times New Roman"/>
          <w:sz w:val="28"/>
          <w:szCs w:val="28"/>
        </w:rPr>
        <w:t xml:space="preserve">recent </w:t>
      </w:r>
      <w:r w:rsidR="00A9618B" w:rsidRPr="003B3EF6">
        <w:rPr>
          <w:rFonts w:ascii="Times New Roman" w:hAnsi="Times New Roman" w:cs="Times New Roman"/>
          <w:sz w:val="28"/>
          <w:szCs w:val="28"/>
        </w:rPr>
        <w:t>MICS national household surveys</w:t>
      </w:r>
      <w:r w:rsidR="00A9618B" w:rsidRPr="003B3EF6">
        <w:rPr>
          <w:rStyle w:val="FootnoteReference"/>
          <w:rFonts w:ascii="Times New Roman" w:hAnsi="Times New Roman" w:cs="Times New Roman"/>
          <w:sz w:val="28"/>
          <w:szCs w:val="28"/>
        </w:rPr>
        <w:footnoteReference w:id="23"/>
      </w:r>
      <w:r w:rsidR="00A9618B" w:rsidRPr="003B3EF6">
        <w:rPr>
          <w:rFonts w:ascii="Times New Roman" w:hAnsi="Times New Roman" w:cs="Times New Roman"/>
          <w:sz w:val="28"/>
          <w:szCs w:val="28"/>
        </w:rPr>
        <w:t xml:space="preserve">  enables a more detailed analysis to be made of the significance of private education provision. Table </w:t>
      </w:r>
      <w:r w:rsidRPr="003B3EF6">
        <w:rPr>
          <w:rFonts w:ascii="Times New Roman" w:hAnsi="Times New Roman" w:cs="Times New Roman"/>
          <w:sz w:val="28"/>
          <w:szCs w:val="28"/>
        </w:rPr>
        <w:t>4</w:t>
      </w:r>
      <w:r w:rsidR="00A9618B" w:rsidRPr="003B3EF6">
        <w:rPr>
          <w:rFonts w:ascii="Times New Roman" w:hAnsi="Times New Roman" w:cs="Times New Roman"/>
          <w:sz w:val="28"/>
          <w:szCs w:val="28"/>
        </w:rPr>
        <w:t xml:space="preserve"> shows the percentage share of private primary and secondary school enrolments broken down by wealth quintiles and by rural, urban, and capital city location. T</w:t>
      </w:r>
      <w:r w:rsidR="00235B7A">
        <w:rPr>
          <w:rFonts w:ascii="Times New Roman" w:hAnsi="Times New Roman" w:cs="Times New Roman"/>
          <w:sz w:val="28"/>
          <w:szCs w:val="28"/>
        </w:rPr>
        <w:t>wo</w:t>
      </w:r>
      <w:r w:rsidR="00A9618B" w:rsidRPr="003B3EF6">
        <w:rPr>
          <w:rFonts w:ascii="Times New Roman" w:hAnsi="Times New Roman" w:cs="Times New Roman"/>
          <w:sz w:val="28"/>
          <w:szCs w:val="28"/>
        </w:rPr>
        <w:t xml:space="preserve"> main conclusions can be drawn from these data. Firstly, they highlight the extent to which the richest </w:t>
      </w:r>
      <w:r w:rsidR="00C33527" w:rsidRPr="003B3EF6">
        <w:rPr>
          <w:rFonts w:ascii="Times New Roman" w:hAnsi="Times New Roman" w:cs="Times New Roman"/>
          <w:sz w:val="28"/>
          <w:szCs w:val="28"/>
        </w:rPr>
        <w:t>groups</w:t>
      </w:r>
      <w:r w:rsidR="00A9618B" w:rsidRPr="003B3EF6">
        <w:rPr>
          <w:rFonts w:ascii="Times New Roman" w:hAnsi="Times New Roman" w:cs="Times New Roman"/>
          <w:sz w:val="28"/>
          <w:szCs w:val="28"/>
        </w:rPr>
        <w:t xml:space="preserve"> in predominantly urban areas and especially in capital city conurbations now enrol their children in private primary schools and, to a slightly lesser extent, in private secondary schools. In four out of the five countries, private </w:t>
      </w:r>
      <w:r w:rsidR="005F06CD" w:rsidRPr="003B3EF6">
        <w:rPr>
          <w:rFonts w:ascii="Times New Roman" w:hAnsi="Times New Roman" w:cs="Times New Roman"/>
          <w:sz w:val="28"/>
          <w:szCs w:val="28"/>
        </w:rPr>
        <w:t xml:space="preserve">school </w:t>
      </w:r>
      <w:r w:rsidR="00A9618B" w:rsidRPr="003B3EF6">
        <w:rPr>
          <w:rFonts w:ascii="Times New Roman" w:hAnsi="Times New Roman" w:cs="Times New Roman"/>
          <w:sz w:val="28"/>
          <w:szCs w:val="28"/>
        </w:rPr>
        <w:t xml:space="preserve">enrolments among the richest quintile account for more than two-thirds of all primary school enrolment.  This gives these relatively affluent </w:t>
      </w:r>
      <w:r w:rsidR="005F06CD" w:rsidRPr="003B3EF6">
        <w:rPr>
          <w:rFonts w:ascii="Times New Roman" w:hAnsi="Times New Roman" w:cs="Times New Roman"/>
          <w:sz w:val="28"/>
          <w:szCs w:val="28"/>
        </w:rPr>
        <w:t xml:space="preserve">groups </w:t>
      </w:r>
      <w:r w:rsidR="00A9618B" w:rsidRPr="003B3EF6">
        <w:rPr>
          <w:rFonts w:ascii="Times New Roman" w:hAnsi="Times New Roman" w:cs="Times New Roman"/>
          <w:sz w:val="28"/>
          <w:szCs w:val="28"/>
        </w:rPr>
        <w:t xml:space="preserve">a decisive advantage in ensuring that their children </w:t>
      </w:r>
      <w:r w:rsidR="005F06CD" w:rsidRPr="003B3EF6">
        <w:rPr>
          <w:rFonts w:ascii="Times New Roman" w:hAnsi="Times New Roman" w:cs="Times New Roman"/>
          <w:sz w:val="28"/>
          <w:szCs w:val="28"/>
        </w:rPr>
        <w:t xml:space="preserve">achieve the highest grades </w:t>
      </w:r>
      <w:r w:rsidR="00A9618B" w:rsidRPr="003B3EF6">
        <w:rPr>
          <w:rFonts w:ascii="Times New Roman" w:hAnsi="Times New Roman" w:cs="Times New Roman"/>
          <w:sz w:val="28"/>
          <w:szCs w:val="28"/>
        </w:rPr>
        <w:t>in</w:t>
      </w:r>
      <w:r w:rsidRPr="003B3EF6">
        <w:rPr>
          <w:rFonts w:ascii="Times New Roman" w:hAnsi="Times New Roman" w:cs="Times New Roman"/>
          <w:sz w:val="28"/>
          <w:szCs w:val="28"/>
        </w:rPr>
        <w:t xml:space="preserve"> all-</w:t>
      </w:r>
      <w:r w:rsidR="00A9618B" w:rsidRPr="003B3EF6">
        <w:rPr>
          <w:rFonts w:ascii="Times New Roman" w:hAnsi="Times New Roman" w:cs="Times New Roman"/>
          <w:sz w:val="28"/>
          <w:szCs w:val="28"/>
        </w:rPr>
        <w:t xml:space="preserve">important primary </w:t>
      </w:r>
      <w:r w:rsidR="00A9618B" w:rsidRPr="003B3EF6">
        <w:rPr>
          <w:rFonts w:ascii="Times New Roman" w:hAnsi="Times New Roman" w:cs="Times New Roman"/>
          <w:sz w:val="28"/>
          <w:szCs w:val="28"/>
        </w:rPr>
        <w:lastRenderedPageBreak/>
        <w:t xml:space="preserve">school leaving examinations and are, therefore, able to enrol in the best-performing government and private secondary schools. </w:t>
      </w:r>
      <w:r w:rsidR="00235B7A">
        <w:rPr>
          <w:rFonts w:ascii="Times New Roman" w:hAnsi="Times New Roman" w:cs="Times New Roman"/>
          <w:sz w:val="28"/>
          <w:szCs w:val="28"/>
        </w:rPr>
        <w:t>And s</w:t>
      </w:r>
      <w:r w:rsidR="00A9618B" w:rsidRPr="003B3EF6">
        <w:rPr>
          <w:rFonts w:ascii="Times New Roman" w:hAnsi="Times New Roman" w:cs="Times New Roman"/>
          <w:sz w:val="28"/>
          <w:szCs w:val="28"/>
        </w:rPr>
        <w:t>econdly, the shares of private school enrolments among the poorest groups are much lower. This is especially the case among the rural poor; for the poorest quintile in rural areas</w:t>
      </w:r>
      <w:r w:rsidR="005F06CD" w:rsidRPr="003B3EF6">
        <w:rPr>
          <w:rFonts w:ascii="Times New Roman" w:hAnsi="Times New Roman" w:cs="Times New Roman"/>
          <w:sz w:val="28"/>
          <w:szCs w:val="28"/>
        </w:rPr>
        <w:t>,</w:t>
      </w:r>
      <w:r w:rsidR="00A9618B" w:rsidRPr="003B3EF6">
        <w:rPr>
          <w:rFonts w:ascii="Times New Roman" w:hAnsi="Times New Roman" w:cs="Times New Roman"/>
          <w:sz w:val="28"/>
          <w:szCs w:val="28"/>
        </w:rPr>
        <w:t xml:space="preserve"> in four out of the five countries, the private schooling shares for both primary and secondary education are well under 10%. </w:t>
      </w:r>
      <w:r w:rsidRPr="003B3EF6">
        <w:rPr>
          <w:rFonts w:ascii="Times New Roman" w:hAnsi="Times New Roman" w:cs="Times New Roman"/>
          <w:sz w:val="28"/>
          <w:szCs w:val="28"/>
        </w:rPr>
        <w:t>However, p</w:t>
      </w:r>
      <w:r w:rsidR="00A9618B" w:rsidRPr="003B3EF6">
        <w:rPr>
          <w:rFonts w:ascii="Times New Roman" w:hAnsi="Times New Roman" w:cs="Times New Roman"/>
          <w:sz w:val="28"/>
          <w:szCs w:val="28"/>
        </w:rPr>
        <w:t xml:space="preserve">rivate school enrolment shares </w:t>
      </w:r>
      <w:r w:rsidR="00F6338E" w:rsidRPr="003B3EF6">
        <w:rPr>
          <w:rFonts w:ascii="Times New Roman" w:hAnsi="Times New Roman" w:cs="Times New Roman"/>
          <w:sz w:val="28"/>
          <w:szCs w:val="28"/>
        </w:rPr>
        <w:t xml:space="preserve">are </w:t>
      </w:r>
      <w:r w:rsidR="00A9618B" w:rsidRPr="003B3EF6">
        <w:rPr>
          <w:rFonts w:ascii="Times New Roman" w:hAnsi="Times New Roman" w:cs="Times New Roman"/>
          <w:sz w:val="28"/>
          <w:szCs w:val="28"/>
        </w:rPr>
        <w:t>considerably higher for the poorest groups in urban areas. The</w:t>
      </w:r>
      <w:r w:rsidRPr="003B3EF6">
        <w:rPr>
          <w:rFonts w:ascii="Times New Roman" w:hAnsi="Times New Roman" w:cs="Times New Roman"/>
          <w:sz w:val="28"/>
          <w:szCs w:val="28"/>
        </w:rPr>
        <w:t>y</w:t>
      </w:r>
      <w:r w:rsidR="00A9618B" w:rsidRPr="003B3EF6">
        <w:rPr>
          <w:rFonts w:ascii="Times New Roman" w:hAnsi="Times New Roman" w:cs="Times New Roman"/>
          <w:sz w:val="28"/>
          <w:szCs w:val="28"/>
        </w:rPr>
        <w:t xml:space="preserve"> are exceptionally high in some capital cities. For example, in Accra (Ghana) 43% of all primary school </w:t>
      </w:r>
      <w:r w:rsidR="00C33527" w:rsidRPr="003B3EF6">
        <w:rPr>
          <w:rFonts w:ascii="Times New Roman" w:hAnsi="Times New Roman" w:cs="Times New Roman"/>
          <w:sz w:val="28"/>
          <w:szCs w:val="28"/>
        </w:rPr>
        <w:t>pupils</w:t>
      </w:r>
      <w:r w:rsidR="00F6338E" w:rsidRPr="003B3EF6">
        <w:rPr>
          <w:rFonts w:ascii="Times New Roman" w:hAnsi="Times New Roman" w:cs="Times New Roman"/>
          <w:sz w:val="28"/>
          <w:szCs w:val="28"/>
        </w:rPr>
        <w:t xml:space="preserve"> </w:t>
      </w:r>
      <w:r w:rsidR="00A9618B" w:rsidRPr="003B3EF6">
        <w:rPr>
          <w:rFonts w:ascii="Times New Roman" w:hAnsi="Times New Roman" w:cs="Times New Roman"/>
          <w:sz w:val="28"/>
          <w:szCs w:val="28"/>
        </w:rPr>
        <w:t xml:space="preserve">from the poorest wealth quintile attend private schools and in Bamako (Mali), this figure is 34%. It is certainly the case, therefore, that in some but not certainly not all countries in SSA, a sizeable minority of the urban poor have enrolled their </w:t>
      </w:r>
      <w:r w:rsidR="00C33527" w:rsidRPr="003B3EF6">
        <w:rPr>
          <w:rFonts w:ascii="Times New Roman" w:hAnsi="Times New Roman" w:cs="Times New Roman"/>
          <w:sz w:val="28"/>
          <w:szCs w:val="28"/>
        </w:rPr>
        <w:t>children</w:t>
      </w:r>
      <w:r w:rsidR="00A9618B" w:rsidRPr="003B3EF6">
        <w:rPr>
          <w:rFonts w:ascii="Times New Roman" w:hAnsi="Times New Roman" w:cs="Times New Roman"/>
          <w:sz w:val="28"/>
          <w:szCs w:val="28"/>
        </w:rPr>
        <w:t xml:space="preserve"> in low-cost private primary schools</w:t>
      </w:r>
      <w:r w:rsidR="00A9618B" w:rsidRPr="003B3EF6">
        <w:rPr>
          <w:rStyle w:val="FootnoteReference"/>
          <w:rFonts w:ascii="Times New Roman" w:hAnsi="Times New Roman" w:cs="Times New Roman"/>
          <w:sz w:val="28"/>
          <w:szCs w:val="28"/>
        </w:rPr>
        <w:footnoteReference w:id="24"/>
      </w:r>
      <w:r w:rsidR="00A9618B" w:rsidRPr="003B3EF6">
        <w:rPr>
          <w:rFonts w:ascii="Times New Roman" w:hAnsi="Times New Roman" w:cs="Times New Roman"/>
          <w:sz w:val="28"/>
          <w:szCs w:val="28"/>
        </w:rPr>
        <w:t>.</w:t>
      </w:r>
    </w:p>
    <w:p w:rsidR="00220974" w:rsidRDefault="000140CE" w:rsidP="00220974">
      <w:pPr>
        <w:spacing w:after="0"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Even where the share of private sector enrolments is small, private sector education provision can still have a significant impact on the education sector and the wider economy. For example, while enrolments in private secondary schools in Tanzania only accounted for 18% of total enrolments in 2016, the absolute number of private school enrolments doubled from around 600,000 </w:t>
      </w:r>
      <w:r>
        <w:rPr>
          <w:rFonts w:ascii="Times New Roman" w:hAnsi="Times New Roman" w:cs="Times New Roman"/>
          <w:sz w:val="28"/>
          <w:szCs w:val="28"/>
        </w:rPr>
        <w:t xml:space="preserve">in 2008 to 1.2 million in 2016. </w:t>
      </w:r>
      <w:r w:rsidRPr="003B3EF6">
        <w:rPr>
          <w:rFonts w:ascii="Times New Roman" w:hAnsi="Times New Roman" w:cs="Times New Roman"/>
          <w:sz w:val="28"/>
          <w:szCs w:val="28"/>
        </w:rPr>
        <w:t>Given the relatively small number of higher education enrolments and the acute shortage of higher-skilled formal sector jobs, this increase in enrolments from private schools is likely to have led to a sizeable increase in the proportion of secondary school leavers from private schools who</w:t>
      </w:r>
      <w:r w:rsidR="006D4221">
        <w:rPr>
          <w:rFonts w:ascii="Times New Roman" w:hAnsi="Times New Roman" w:cs="Times New Roman"/>
          <w:sz w:val="28"/>
          <w:szCs w:val="28"/>
        </w:rPr>
        <w:t xml:space="preserve"> </w:t>
      </w:r>
      <w:r w:rsidR="006D4221" w:rsidRPr="003B3EF6">
        <w:rPr>
          <w:rFonts w:ascii="Times New Roman" w:hAnsi="Times New Roman" w:cs="Times New Roman"/>
          <w:sz w:val="28"/>
          <w:szCs w:val="28"/>
        </w:rPr>
        <w:t>managed to be admitted to universities and other higher education institutions and as well as being successfully recruited to fill vacant jobs.</w:t>
      </w:r>
      <w:r w:rsidR="00220974">
        <w:rPr>
          <w:rFonts w:ascii="Times New Roman" w:hAnsi="Times New Roman" w:cs="Times New Roman"/>
          <w:sz w:val="28"/>
          <w:szCs w:val="28"/>
        </w:rPr>
        <w:t xml:space="preserve"> </w:t>
      </w:r>
    </w:p>
    <w:p w:rsidR="00220974" w:rsidRDefault="00220974" w:rsidP="00220974">
      <w:pPr>
        <w:spacing w:after="0" w:line="360" w:lineRule="auto"/>
        <w:jc w:val="both"/>
        <w:rPr>
          <w:rFonts w:ascii="Times New Roman" w:hAnsi="Times New Roman" w:cs="Times New Roman"/>
          <w:sz w:val="28"/>
          <w:szCs w:val="28"/>
        </w:rPr>
      </w:pPr>
    </w:p>
    <w:p w:rsidR="00220974" w:rsidRDefault="00220974" w:rsidP="00220974">
      <w:pPr>
        <w:spacing w:after="0"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More anecdotal evidence also shows the extent of private school provision      particularly in capital cities. Private schools accounted for nearly 60% of total </w:t>
      </w:r>
      <w:r w:rsidRPr="003B3EF6">
        <w:rPr>
          <w:rFonts w:ascii="Times New Roman" w:hAnsi="Times New Roman" w:cs="Times New Roman"/>
          <w:sz w:val="28"/>
          <w:szCs w:val="28"/>
        </w:rPr>
        <w:lastRenderedPageBreak/>
        <w:t>school enrolments Lagos State, Nigeria in the late 2000s (see Harma, 2013). In Uganda</w:t>
      </w:r>
      <w:r>
        <w:rPr>
          <w:rFonts w:ascii="Times New Roman" w:hAnsi="Times New Roman" w:cs="Times New Roman"/>
          <w:sz w:val="28"/>
          <w:szCs w:val="28"/>
        </w:rPr>
        <w:t>,</w:t>
      </w:r>
      <w:r w:rsidRPr="003B3EF6">
        <w:rPr>
          <w:rFonts w:ascii="Times New Roman" w:hAnsi="Times New Roman" w:cs="Times New Roman"/>
          <w:sz w:val="28"/>
          <w:szCs w:val="28"/>
        </w:rPr>
        <w:t xml:space="preserve"> private schools account for 84% of all primary school enrolments in the Kampala and 77% of all secondary school enrolments. The private sector has, therefore, almost supplanted public sector schooling (see Harma and Pikholz, 2017).  Similarly, in Kenya, over half of all school students </w:t>
      </w:r>
      <w:r>
        <w:rPr>
          <w:rFonts w:ascii="Times New Roman" w:hAnsi="Times New Roman" w:cs="Times New Roman"/>
          <w:sz w:val="28"/>
          <w:szCs w:val="28"/>
        </w:rPr>
        <w:t xml:space="preserve">in Nairobi </w:t>
      </w:r>
      <w:r w:rsidRPr="003B3EF6">
        <w:rPr>
          <w:rFonts w:ascii="Times New Roman" w:hAnsi="Times New Roman" w:cs="Times New Roman"/>
          <w:sz w:val="28"/>
          <w:szCs w:val="28"/>
        </w:rPr>
        <w:t>are enrolled in p</w:t>
      </w:r>
      <w:r>
        <w:rPr>
          <w:rFonts w:ascii="Times New Roman" w:hAnsi="Times New Roman" w:cs="Times New Roman"/>
          <w:sz w:val="28"/>
          <w:szCs w:val="28"/>
        </w:rPr>
        <w:t xml:space="preserve">rivate schools. </w:t>
      </w:r>
    </w:p>
    <w:tbl>
      <w:tblPr>
        <w:tblW w:w="7628" w:type="dxa"/>
        <w:tblLook w:val="04A0" w:firstRow="1" w:lastRow="0" w:firstColumn="1" w:lastColumn="0" w:noHBand="0" w:noVBand="1"/>
      </w:tblPr>
      <w:tblGrid>
        <w:gridCol w:w="1530"/>
        <w:gridCol w:w="1614"/>
        <w:gridCol w:w="1147"/>
        <w:gridCol w:w="440"/>
        <w:gridCol w:w="440"/>
        <w:gridCol w:w="440"/>
        <w:gridCol w:w="1077"/>
        <w:gridCol w:w="940"/>
      </w:tblGrid>
      <w:tr w:rsidR="00C64CFF" w:rsidRPr="00731751" w:rsidTr="00526B99">
        <w:trPr>
          <w:trHeight w:val="288"/>
        </w:trPr>
        <w:tc>
          <w:tcPr>
            <w:tcW w:w="6688" w:type="dxa"/>
            <w:gridSpan w:val="7"/>
            <w:tcBorders>
              <w:top w:val="nil"/>
              <w:left w:val="nil"/>
              <w:bottom w:val="nil"/>
              <w:right w:val="nil"/>
            </w:tcBorders>
            <w:shd w:val="clear" w:color="auto" w:fill="auto"/>
            <w:noWrap/>
            <w:vAlign w:val="bottom"/>
            <w:hideMark/>
          </w:tcPr>
          <w:p w:rsidR="00C64CFF" w:rsidRPr="00731751" w:rsidRDefault="00490CE4" w:rsidP="00235B7A">
            <w:pPr>
              <w:spacing w:after="0" w:line="240" w:lineRule="auto"/>
              <w:rPr>
                <w:rFonts w:ascii="Times New Roman" w:eastAsia="Times New Roman" w:hAnsi="Times New Roman" w:cs="Times New Roman"/>
                <w:color w:val="000000"/>
                <w:sz w:val="24"/>
                <w:szCs w:val="24"/>
                <w:lang w:eastAsia="en-GB"/>
              </w:rPr>
            </w:pPr>
            <w:r w:rsidRPr="00731751">
              <w:rPr>
                <w:rFonts w:ascii="Times New Roman" w:hAnsi="Times New Roman" w:cs="Times New Roman"/>
                <w:sz w:val="24"/>
                <w:szCs w:val="24"/>
              </w:rPr>
              <w:br w:type="page"/>
            </w:r>
            <w:r w:rsidR="00790052" w:rsidRPr="00731751">
              <w:rPr>
                <w:rFonts w:ascii="Times New Roman" w:hAnsi="Times New Roman" w:cs="Times New Roman"/>
                <w:sz w:val="24"/>
                <w:szCs w:val="24"/>
              </w:rPr>
              <w:br w:type="page"/>
            </w:r>
            <w:r w:rsidR="00790052" w:rsidRPr="00731751">
              <w:rPr>
                <w:rFonts w:ascii="Times New Roman" w:hAnsi="Times New Roman" w:cs="Times New Roman"/>
                <w:sz w:val="24"/>
                <w:szCs w:val="24"/>
              </w:rPr>
              <w:br w:type="page"/>
            </w:r>
            <w:r w:rsidR="00C64CFF" w:rsidRPr="00731751">
              <w:rPr>
                <w:rFonts w:ascii="Times New Roman" w:eastAsia="Times New Roman" w:hAnsi="Times New Roman" w:cs="Times New Roman"/>
                <w:color w:val="000000"/>
                <w:sz w:val="24"/>
                <w:szCs w:val="24"/>
                <w:lang w:eastAsia="en-GB"/>
              </w:rPr>
              <w:t xml:space="preserve">Table 4: Private enrolments as % of total enrolments by education </w:t>
            </w:r>
          </w:p>
        </w:tc>
        <w:tc>
          <w:tcPr>
            <w:tcW w:w="9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sz w:val="24"/>
                <w:szCs w:val="24"/>
                <w:lang w:eastAsia="en-GB"/>
              </w:rPr>
            </w:pPr>
          </w:p>
        </w:tc>
      </w:tr>
      <w:tr w:rsidR="00C64CFF" w:rsidRPr="00731751" w:rsidTr="00526B99">
        <w:trPr>
          <w:trHeight w:val="288"/>
        </w:trPr>
        <w:tc>
          <w:tcPr>
            <w:tcW w:w="7628" w:type="dxa"/>
            <w:gridSpan w:val="8"/>
            <w:tcBorders>
              <w:top w:val="nil"/>
              <w:left w:val="nil"/>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sz w:val="24"/>
                <w:szCs w:val="24"/>
                <w:lang w:eastAsia="en-GB"/>
              </w:rPr>
            </w:pPr>
            <w:r w:rsidRPr="00731751">
              <w:rPr>
                <w:rFonts w:ascii="Times New Roman" w:eastAsia="Times New Roman" w:hAnsi="Times New Roman" w:cs="Times New Roman"/>
                <w:color w:val="000000"/>
                <w:sz w:val="24"/>
                <w:szCs w:val="24"/>
                <w:lang w:eastAsia="en-GB"/>
              </w:rPr>
              <w:t>level, wealth quintile and location in selected countries (rounded percentages)</w:t>
            </w:r>
          </w:p>
        </w:tc>
      </w:tr>
      <w:tr w:rsidR="00C64CFF" w:rsidRPr="00731751" w:rsidTr="00526B99">
        <w:trPr>
          <w:trHeight w:val="300"/>
        </w:trPr>
        <w:tc>
          <w:tcPr>
            <w:tcW w:w="1530" w:type="dxa"/>
            <w:tcBorders>
              <w:top w:val="nil"/>
              <w:left w:val="nil"/>
              <w:bottom w:val="nil"/>
              <w:right w:val="nil"/>
            </w:tcBorders>
            <w:shd w:val="clear" w:color="auto" w:fill="auto"/>
            <w:noWrap/>
            <w:vAlign w:val="bottom"/>
            <w:hideMark/>
          </w:tcPr>
          <w:p w:rsidR="005A21A8" w:rsidRPr="00731751" w:rsidRDefault="005A21A8" w:rsidP="00C64CFF">
            <w:pPr>
              <w:spacing w:after="0" w:line="240" w:lineRule="auto"/>
              <w:rPr>
                <w:rFonts w:ascii="Times New Roman" w:eastAsia="Times New Roman" w:hAnsi="Times New Roman" w:cs="Times New Roman"/>
                <w:b/>
                <w:bCs/>
                <w:color w:val="000000"/>
                <w:lang w:eastAsia="en-GB"/>
              </w:rPr>
            </w:pPr>
          </w:p>
          <w:p w:rsidR="00C64CFF" w:rsidRPr="00731751" w:rsidRDefault="00C64CFF" w:rsidP="00C64CFF">
            <w:pPr>
              <w:spacing w:after="0" w:line="240" w:lineRule="auto"/>
              <w:rPr>
                <w:rFonts w:ascii="Times New Roman" w:eastAsia="Times New Roman" w:hAnsi="Times New Roman" w:cs="Times New Roman"/>
                <w:b/>
                <w:bCs/>
                <w:color w:val="000000"/>
                <w:lang w:eastAsia="en-GB"/>
              </w:rPr>
            </w:pPr>
            <w:r w:rsidRPr="00731751">
              <w:rPr>
                <w:rFonts w:ascii="Times New Roman" w:eastAsia="Times New Roman" w:hAnsi="Times New Roman" w:cs="Times New Roman"/>
                <w:b/>
                <w:bCs/>
                <w:color w:val="000000"/>
                <w:lang w:eastAsia="en-GB"/>
              </w:rPr>
              <w:t>GHANA</w:t>
            </w:r>
          </w:p>
        </w:tc>
        <w:tc>
          <w:tcPr>
            <w:tcW w:w="1614"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b/>
                <w:bCs/>
                <w:color w:val="000000"/>
                <w:lang w:eastAsia="en-GB"/>
              </w:rPr>
            </w:pPr>
          </w:p>
        </w:tc>
        <w:tc>
          <w:tcPr>
            <w:tcW w:w="1147"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sz w:val="20"/>
                <w:szCs w:val="20"/>
                <w:lang w:eastAsia="en-GB"/>
              </w:rPr>
            </w:pPr>
          </w:p>
        </w:tc>
        <w:tc>
          <w:tcPr>
            <w:tcW w:w="4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sz w:val="20"/>
                <w:szCs w:val="20"/>
                <w:lang w:eastAsia="en-GB"/>
              </w:rPr>
            </w:pPr>
          </w:p>
        </w:tc>
        <w:tc>
          <w:tcPr>
            <w:tcW w:w="4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sz w:val="20"/>
                <w:szCs w:val="20"/>
                <w:lang w:eastAsia="en-GB"/>
              </w:rPr>
            </w:pPr>
          </w:p>
        </w:tc>
        <w:tc>
          <w:tcPr>
            <w:tcW w:w="4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sz w:val="20"/>
                <w:szCs w:val="20"/>
                <w:lang w:eastAsia="en-GB"/>
              </w:rPr>
            </w:pPr>
          </w:p>
        </w:tc>
        <w:tc>
          <w:tcPr>
            <w:tcW w:w="1077"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sz w:val="20"/>
                <w:szCs w:val="20"/>
                <w:lang w:eastAsia="en-GB"/>
              </w:rPr>
            </w:pPr>
          </w:p>
        </w:tc>
      </w:tr>
      <w:tr w:rsidR="00C64CFF" w:rsidRPr="00731751" w:rsidTr="00526B99">
        <w:trPr>
          <w:trHeight w:val="288"/>
        </w:trPr>
        <w:tc>
          <w:tcPr>
            <w:tcW w:w="1530" w:type="dxa"/>
            <w:tcBorders>
              <w:top w:val="single" w:sz="8" w:space="0" w:color="auto"/>
              <w:left w:val="single" w:sz="8" w:space="0" w:color="auto"/>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 </w:t>
            </w:r>
          </w:p>
        </w:tc>
        <w:tc>
          <w:tcPr>
            <w:tcW w:w="1614" w:type="dxa"/>
            <w:tcBorders>
              <w:top w:val="single" w:sz="8" w:space="0" w:color="auto"/>
              <w:left w:val="nil"/>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Location</w:t>
            </w:r>
          </w:p>
        </w:tc>
        <w:tc>
          <w:tcPr>
            <w:tcW w:w="1147" w:type="dxa"/>
            <w:tcBorders>
              <w:top w:val="single" w:sz="8" w:space="0" w:color="auto"/>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Poorest</w:t>
            </w:r>
          </w:p>
        </w:tc>
        <w:tc>
          <w:tcPr>
            <w:tcW w:w="440" w:type="dxa"/>
            <w:tcBorders>
              <w:top w:val="single" w:sz="8" w:space="0" w:color="auto"/>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2</w:t>
            </w:r>
          </w:p>
        </w:tc>
        <w:tc>
          <w:tcPr>
            <w:tcW w:w="440" w:type="dxa"/>
            <w:tcBorders>
              <w:top w:val="single" w:sz="8" w:space="0" w:color="auto"/>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3</w:t>
            </w:r>
          </w:p>
        </w:tc>
        <w:tc>
          <w:tcPr>
            <w:tcW w:w="440" w:type="dxa"/>
            <w:tcBorders>
              <w:top w:val="single" w:sz="8" w:space="0" w:color="auto"/>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4</w:t>
            </w:r>
          </w:p>
        </w:tc>
        <w:tc>
          <w:tcPr>
            <w:tcW w:w="1077" w:type="dxa"/>
            <w:tcBorders>
              <w:top w:val="single" w:sz="8" w:space="0" w:color="auto"/>
              <w:left w:val="nil"/>
              <w:bottom w:val="nil"/>
              <w:right w:val="single" w:sz="8" w:space="0" w:color="auto"/>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Richest</w:t>
            </w:r>
          </w:p>
        </w:tc>
        <w:tc>
          <w:tcPr>
            <w:tcW w:w="9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p>
        </w:tc>
      </w:tr>
      <w:tr w:rsidR="00C64CFF" w:rsidRPr="00731751" w:rsidTr="00526B99">
        <w:trPr>
          <w:trHeight w:val="288"/>
        </w:trPr>
        <w:tc>
          <w:tcPr>
            <w:tcW w:w="1530" w:type="dxa"/>
            <w:tcBorders>
              <w:top w:val="single" w:sz="4" w:space="0" w:color="auto"/>
              <w:left w:val="single" w:sz="8" w:space="0" w:color="auto"/>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Primary</w:t>
            </w:r>
          </w:p>
        </w:tc>
        <w:tc>
          <w:tcPr>
            <w:tcW w:w="1614" w:type="dxa"/>
            <w:tcBorders>
              <w:top w:val="single" w:sz="4" w:space="0" w:color="auto"/>
              <w:left w:val="nil"/>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Rural</w:t>
            </w:r>
          </w:p>
        </w:tc>
        <w:tc>
          <w:tcPr>
            <w:tcW w:w="1147" w:type="dxa"/>
            <w:tcBorders>
              <w:top w:val="single" w:sz="4" w:space="0" w:color="auto"/>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4</w:t>
            </w:r>
          </w:p>
        </w:tc>
        <w:tc>
          <w:tcPr>
            <w:tcW w:w="440" w:type="dxa"/>
            <w:tcBorders>
              <w:top w:val="single" w:sz="4" w:space="0" w:color="auto"/>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9</w:t>
            </w:r>
          </w:p>
        </w:tc>
        <w:tc>
          <w:tcPr>
            <w:tcW w:w="440" w:type="dxa"/>
            <w:tcBorders>
              <w:top w:val="single" w:sz="4" w:space="0" w:color="auto"/>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13</w:t>
            </w:r>
          </w:p>
        </w:tc>
        <w:tc>
          <w:tcPr>
            <w:tcW w:w="440" w:type="dxa"/>
            <w:tcBorders>
              <w:top w:val="single" w:sz="4" w:space="0" w:color="auto"/>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21</w:t>
            </w:r>
          </w:p>
        </w:tc>
        <w:tc>
          <w:tcPr>
            <w:tcW w:w="1077" w:type="dxa"/>
            <w:tcBorders>
              <w:top w:val="single" w:sz="4" w:space="0" w:color="auto"/>
              <w:left w:val="nil"/>
              <w:bottom w:val="nil"/>
              <w:right w:val="single" w:sz="8" w:space="0" w:color="auto"/>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38</w:t>
            </w:r>
          </w:p>
        </w:tc>
        <w:tc>
          <w:tcPr>
            <w:tcW w:w="9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p>
        </w:tc>
      </w:tr>
      <w:tr w:rsidR="00C64CFF" w:rsidRPr="00731751" w:rsidTr="00526B99">
        <w:trPr>
          <w:trHeight w:val="288"/>
        </w:trPr>
        <w:tc>
          <w:tcPr>
            <w:tcW w:w="1530" w:type="dxa"/>
            <w:tcBorders>
              <w:top w:val="nil"/>
              <w:left w:val="single" w:sz="8" w:space="0" w:color="auto"/>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 </w:t>
            </w:r>
          </w:p>
        </w:tc>
        <w:tc>
          <w:tcPr>
            <w:tcW w:w="1614"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Urban</w:t>
            </w:r>
          </w:p>
        </w:tc>
        <w:tc>
          <w:tcPr>
            <w:tcW w:w="1147"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18</w:t>
            </w:r>
          </w:p>
        </w:tc>
        <w:tc>
          <w:tcPr>
            <w:tcW w:w="4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25</w:t>
            </w:r>
          </w:p>
        </w:tc>
        <w:tc>
          <w:tcPr>
            <w:tcW w:w="4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40</w:t>
            </w:r>
          </w:p>
        </w:tc>
        <w:tc>
          <w:tcPr>
            <w:tcW w:w="4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53</w:t>
            </w:r>
          </w:p>
        </w:tc>
        <w:tc>
          <w:tcPr>
            <w:tcW w:w="1077" w:type="dxa"/>
            <w:tcBorders>
              <w:top w:val="nil"/>
              <w:left w:val="nil"/>
              <w:bottom w:val="nil"/>
              <w:right w:val="single" w:sz="8" w:space="0" w:color="auto"/>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68</w:t>
            </w:r>
          </w:p>
        </w:tc>
        <w:tc>
          <w:tcPr>
            <w:tcW w:w="9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p>
        </w:tc>
      </w:tr>
      <w:tr w:rsidR="00C64CFF" w:rsidRPr="00731751" w:rsidTr="00526B99">
        <w:trPr>
          <w:trHeight w:val="288"/>
        </w:trPr>
        <w:tc>
          <w:tcPr>
            <w:tcW w:w="1530" w:type="dxa"/>
            <w:tcBorders>
              <w:top w:val="nil"/>
              <w:left w:val="single" w:sz="8" w:space="0" w:color="auto"/>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 </w:t>
            </w:r>
          </w:p>
        </w:tc>
        <w:tc>
          <w:tcPr>
            <w:tcW w:w="1614"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Accra</w:t>
            </w:r>
          </w:p>
        </w:tc>
        <w:tc>
          <w:tcPr>
            <w:tcW w:w="1147"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43</w:t>
            </w:r>
          </w:p>
        </w:tc>
        <w:tc>
          <w:tcPr>
            <w:tcW w:w="4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34</w:t>
            </w:r>
          </w:p>
        </w:tc>
        <w:tc>
          <w:tcPr>
            <w:tcW w:w="4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51</w:t>
            </w:r>
          </w:p>
        </w:tc>
        <w:tc>
          <w:tcPr>
            <w:tcW w:w="4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66</w:t>
            </w:r>
          </w:p>
        </w:tc>
        <w:tc>
          <w:tcPr>
            <w:tcW w:w="1077" w:type="dxa"/>
            <w:tcBorders>
              <w:top w:val="nil"/>
              <w:left w:val="nil"/>
              <w:bottom w:val="nil"/>
              <w:right w:val="single" w:sz="8" w:space="0" w:color="auto"/>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75</w:t>
            </w:r>
          </w:p>
        </w:tc>
        <w:tc>
          <w:tcPr>
            <w:tcW w:w="9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p>
        </w:tc>
      </w:tr>
      <w:tr w:rsidR="00C64CFF" w:rsidRPr="00731751" w:rsidTr="00526B99">
        <w:trPr>
          <w:trHeight w:val="288"/>
        </w:trPr>
        <w:tc>
          <w:tcPr>
            <w:tcW w:w="1530" w:type="dxa"/>
            <w:tcBorders>
              <w:top w:val="single" w:sz="4" w:space="0" w:color="auto"/>
              <w:left w:val="single" w:sz="8" w:space="0" w:color="auto"/>
              <w:bottom w:val="nil"/>
              <w:right w:val="nil"/>
            </w:tcBorders>
            <w:shd w:val="clear" w:color="000000" w:fill="C6E0B4"/>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Secondary</w:t>
            </w:r>
          </w:p>
        </w:tc>
        <w:tc>
          <w:tcPr>
            <w:tcW w:w="1614" w:type="dxa"/>
            <w:tcBorders>
              <w:top w:val="single" w:sz="4" w:space="0" w:color="auto"/>
              <w:left w:val="nil"/>
              <w:bottom w:val="nil"/>
              <w:right w:val="nil"/>
            </w:tcBorders>
            <w:shd w:val="clear" w:color="000000" w:fill="C6E0B4"/>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Rural</w:t>
            </w:r>
          </w:p>
        </w:tc>
        <w:tc>
          <w:tcPr>
            <w:tcW w:w="1147" w:type="dxa"/>
            <w:tcBorders>
              <w:top w:val="single" w:sz="4" w:space="0" w:color="auto"/>
              <w:left w:val="nil"/>
              <w:bottom w:val="nil"/>
              <w:right w:val="nil"/>
            </w:tcBorders>
            <w:shd w:val="clear" w:color="000000" w:fill="C6E0B4"/>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3</w:t>
            </w:r>
          </w:p>
        </w:tc>
        <w:tc>
          <w:tcPr>
            <w:tcW w:w="440" w:type="dxa"/>
            <w:tcBorders>
              <w:top w:val="single" w:sz="4" w:space="0" w:color="auto"/>
              <w:left w:val="nil"/>
              <w:bottom w:val="nil"/>
              <w:right w:val="nil"/>
            </w:tcBorders>
            <w:shd w:val="clear" w:color="000000" w:fill="C6E0B4"/>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2</w:t>
            </w:r>
          </w:p>
        </w:tc>
        <w:tc>
          <w:tcPr>
            <w:tcW w:w="440" w:type="dxa"/>
            <w:tcBorders>
              <w:top w:val="single" w:sz="4" w:space="0" w:color="auto"/>
              <w:left w:val="nil"/>
              <w:bottom w:val="nil"/>
              <w:right w:val="nil"/>
            </w:tcBorders>
            <w:shd w:val="clear" w:color="000000" w:fill="C6E0B4"/>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w:t>
            </w:r>
          </w:p>
        </w:tc>
        <w:tc>
          <w:tcPr>
            <w:tcW w:w="440" w:type="dxa"/>
            <w:tcBorders>
              <w:top w:val="single" w:sz="4" w:space="0" w:color="auto"/>
              <w:left w:val="nil"/>
              <w:bottom w:val="nil"/>
              <w:right w:val="nil"/>
            </w:tcBorders>
            <w:shd w:val="clear" w:color="000000" w:fill="C6E0B4"/>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3</w:t>
            </w:r>
          </w:p>
        </w:tc>
        <w:tc>
          <w:tcPr>
            <w:tcW w:w="1077" w:type="dxa"/>
            <w:tcBorders>
              <w:top w:val="single" w:sz="4" w:space="0" w:color="auto"/>
              <w:left w:val="nil"/>
              <w:bottom w:val="nil"/>
              <w:right w:val="single" w:sz="8" w:space="0" w:color="auto"/>
            </w:tcBorders>
            <w:shd w:val="clear" w:color="000000" w:fill="C6E0B4"/>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18</w:t>
            </w:r>
          </w:p>
        </w:tc>
        <w:tc>
          <w:tcPr>
            <w:tcW w:w="9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p>
        </w:tc>
      </w:tr>
      <w:tr w:rsidR="00C64CFF" w:rsidRPr="00731751" w:rsidTr="00526B99">
        <w:trPr>
          <w:trHeight w:val="288"/>
        </w:trPr>
        <w:tc>
          <w:tcPr>
            <w:tcW w:w="1530" w:type="dxa"/>
            <w:tcBorders>
              <w:top w:val="nil"/>
              <w:left w:val="single" w:sz="8" w:space="0" w:color="auto"/>
              <w:bottom w:val="nil"/>
              <w:right w:val="nil"/>
            </w:tcBorders>
            <w:shd w:val="clear" w:color="000000" w:fill="C6E0B4"/>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 </w:t>
            </w:r>
          </w:p>
        </w:tc>
        <w:tc>
          <w:tcPr>
            <w:tcW w:w="1614" w:type="dxa"/>
            <w:tcBorders>
              <w:top w:val="nil"/>
              <w:left w:val="nil"/>
              <w:bottom w:val="nil"/>
              <w:right w:val="nil"/>
            </w:tcBorders>
            <w:shd w:val="clear" w:color="000000" w:fill="C6E0B4"/>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Urban</w:t>
            </w:r>
          </w:p>
        </w:tc>
        <w:tc>
          <w:tcPr>
            <w:tcW w:w="1147" w:type="dxa"/>
            <w:tcBorders>
              <w:top w:val="nil"/>
              <w:left w:val="nil"/>
              <w:bottom w:val="nil"/>
              <w:right w:val="nil"/>
            </w:tcBorders>
            <w:shd w:val="clear" w:color="000000" w:fill="C6E0B4"/>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7</w:t>
            </w:r>
          </w:p>
        </w:tc>
        <w:tc>
          <w:tcPr>
            <w:tcW w:w="440" w:type="dxa"/>
            <w:tcBorders>
              <w:top w:val="nil"/>
              <w:left w:val="nil"/>
              <w:bottom w:val="nil"/>
              <w:right w:val="nil"/>
            </w:tcBorders>
            <w:shd w:val="clear" w:color="000000" w:fill="C6E0B4"/>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15</w:t>
            </w:r>
          </w:p>
        </w:tc>
        <w:tc>
          <w:tcPr>
            <w:tcW w:w="440" w:type="dxa"/>
            <w:tcBorders>
              <w:top w:val="nil"/>
              <w:left w:val="nil"/>
              <w:bottom w:val="nil"/>
              <w:right w:val="nil"/>
            </w:tcBorders>
            <w:shd w:val="clear" w:color="000000" w:fill="C6E0B4"/>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22</w:t>
            </w:r>
          </w:p>
        </w:tc>
        <w:tc>
          <w:tcPr>
            <w:tcW w:w="440" w:type="dxa"/>
            <w:tcBorders>
              <w:top w:val="nil"/>
              <w:left w:val="nil"/>
              <w:bottom w:val="nil"/>
              <w:right w:val="nil"/>
            </w:tcBorders>
            <w:shd w:val="clear" w:color="000000" w:fill="C6E0B4"/>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25</w:t>
            </w:r>
          </w:p>
        </w:tc>
        <w:tc>
          <w:tcPr>
            <w:tcW w:w="1077" w:type="dxa"/>
            <w:tcBorders>
              <w:top w:val="nil"/>
              <w:left w:val="nil"/>
              <w:bottom w:val="nil"/>
              <w:right w:val="single" w:sz="8" w:space="0" w:color="auto"/>
            </w:tcBorders>
            <w:shd w:val="clear" w:color="000000" w:fill="C6E0B4"/>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36</w:t>
            </w:r>
          </w:p>
        </w:tc>
        <w:tc>
          <w:tcPr>
            <w:tcW w:w="9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p>
        </w:tc>
      </w:tr>
      <w:tr w:rsidR="00C64CFF" w:rsidRPr="00731751" w:rsidTr="00526B99">
        <w:trPr>
          <w:trHeight w:val="288"/>
        </w:trPr>
        <w:tc>
          <w:tcPr>
            <w:tcW w:w="1530" w:type="dxa"/>
            <w:tcBorders>
              <w:top w:val="nil"/>
              <w:left w:val="single" w:sz="8" w:space="0" w:color="auto"/>
              <w:bottom w:val="single" w:sz="4" w:space="0" w:color="auto"/>
              <w:right w:val="nil"/>
            </w:tcBorders>
            <w:shd w:val="clear" w:color="000000" w:fill="C6E0B4"/>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 </w:t>
            </w:r>
          </w:p>
        </w:tc>
        <w:tc>
          <w:tcPr>
            <w:tcW w:w="1614" w:type="dxa"/>
            <w:tcBorders>
              <w:top w:val="nil"/>
              <w:left w:val="nil"/>
              <w:bottom w:val="single" w:sz="4" w:space="0" w:color="auto"/>
              <w:right w:val="nil"/>
            </w:tcBorders>
            <w:shd w:val="clear" w:color="000000" w:fill="C6E0B4"/>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Accra</w:t>
            </w:r>
          </w:p>
        </w:tc>
        <w:tc>
          <w:tcPr>
            <w:tcW w:w="1147" w:type="dxa"/>
            <w:tcBorders>
              <w:top w:val="nil"/>
              <w:left w:val="nil"/>
              <w:bottom w:val="single" w:sz="4" w:space="0" w:color="auto"/>
              <w:right w:val="nil"/>
            </w:tcBorders>
            <w:shd w:val="clear" w:color="000000" w:fill="C6E0B4"/>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2</w:t>
            </w:r>
          </w:p>
        </w:tc>
        <w:tc>
          <w:tcPr>
            <w:tcW w:w="440" w:type="dxa"/>
            <w:tcBorders>
              <w:top w:val="nil"/>
              <w:left w:val="nil"/>
              <w:bottom w:val="single" w:sz="4" w:space="0" w:color="auto"/>
              <w:right w:val="nil"/>
            </w:tcBorders>
            <w:shd w:val="clear" w:color="000000" w:fill="C6E0B4"/>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31</w:t>
            </w:r>
          </w:p>
        </w:tc>
        <w:tc>
          <w:tcPr>
            <w:tcW w:w="440" w:type="dxa"/>
            <w:tcBorders>
              <w:top w:val="nil"/>
              <w:left w:val="nil"/>
              <w:bottom w:val="single" w:sz="4" w:space="0" w:color="auto"/>
              <w:right w:val="nil"/>
            </w:tcBorders>
            <w:shd w:val="clear" w:color="000000" w:fill="C6E0B4"/>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35</w:t>
            </w:r>
          </w:p>
        </w:tc>
        <w:tc>
          <w:tcPr>
            <w:tcW w:w="440" w:type="dxa"/>
            <w:tcBorders>
              <w:top w:val="nil"/>
              <w:left w:val="nil"/>
              <w:bottom w:val="single" w:sz="4" w:space="0" w:color="auto"/>
              <w:right w:val="nil"/>
            </w:tcBorders>
            <w:shd w:val="clear" w:color="000000" w:fill="C6E0B4"/>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40</w:t>
            </w:r>
          </w:p>
        </w:tc>
        <w:tc>
          <w:tcPr>
            <w:tcW w:w="1077" w:type="dxa"/>
            <w:tcBorders>
              <w:top w:val="nil"/>
              <w:left w:val="nil"/>
              <w:bottom w:val="single" w:sz="4" w:space="0" w:color="auto"/>
              <w:right w:val="single" w:sz="8" w:space="0" w:color="auto"/>
            </w:tcBorders>
            <w:shd w:val="clear" w:color="000000" w:fill="C6E0B4"/>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49</w:t>
            </w:r>
          </w:p>
        </w:tc>
        <w:tc>
          <w:tcPr>
            <w:tcW w:w="9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p>
        </w:tc>
      </w:tr>
      <w:tr w:rsidR="00C64CFF" w:rsidRPr="00731751" w:rsidTr="00526B99">
        <w:trPr>
          <w:trHeight w:val="288"/>
        </w:trPr>
        <w:tc>
          <w:tcPr>
            <w:tcW w:w="1530" w:type="dxa"/>
            <w:tcBorders>
              <w:top w:val="nil"/>
              <w:left w:val="single" w:sz="8" w:space="0" w:color="auto"/>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Higher</w:t>
            </w:r>
          </w:p>
        </w:tc>
        <w:tc>
          <w:tcPr>
            <w:tcW w:w="1614"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Rural</w:t>
            </w:r>
          </w:p>
        </w:tc>
        <w:tc>
          <w:tcPr>
            <w:tcW w:w="1147"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13</w:t>
            </w:r>
          </w:p>
        </w:tc>
        <w:tc>
          <w:tcPr>
            <w:tcW w:w="4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0</w:t>
            </w:r>
          </w:p>
        </w:tc>
        <w:tc>
          <w:tcPr>
            <w:tcW w:w="4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17</w:t>
            </w:r>
          </w:p>
        </w:tc>
        <w:tc>
          <w:tcPr>
            <w:tcW w:w="4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3</w:t>
            </w:r>
          </w:p>
        </w:tc>
        <w:tc>
          <w:tcPr>
            <w:tcW w:w="1077" w:type="dxa"/>
            <w:tcBorders>
              <w:top w:val="nil"/>
              <w:left w:val="nil"/>
              <w:bottom w:val="nil"/>
              <w:right w:val="single" w:sz="8" w:space="0" w:color="auto"/>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w:t>
            </w:r>
          </w:p>
        </w:tc>
        <w:tc>
          <w:tcPr>
            <w:tcW w:w="9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p>
        </w:tc>
      </w:tr>
      <w:tr w:rsidR="00C64CFF" w:rsidRPr="00731751" w:rsidTr="00526B99">
        <w:trPr>
          <w:trHeight w:val="288"/>
        </w:trPr>
        <w:tc>
          <w:tcPr>
            <w:tcW w:w="1530" w:type="dxa"/>
            <w:tcBorders>
              <w:top w:val="nil"/>
              <w:left w:val="single" w:sz="8" w:space="0" w:color="auto"/>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 </w:t>
            </w:r>
          </w:p>
        </w:tc>
        <w:tc>
          <w:tcPr>
            <w:tcW w:w="1614"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Urban</w:t>
            </w:r>
          </w:p>
        </w:tc>
        <w:tc>
          <w:tcPr>
            <w:tcW w:w="1147"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3</w:t>
            </w:r>
          </w:p>
        </w:tc>
        <w:tc>
          <w:tcPr>
            <w:tcW w:w="4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7</w:t>
            </w:r>
          </w:p>
        </w:tc>
        <w:tc>
          <w:tcPr>
            <w:tcW w:w="4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15</w:t>
            </w:r>
          </w:p>
        </w:tc>
        <w:tc>
          <w:tcPr>
            <w:tcW w:w="4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14</w:t>
            </w:r>
          </w:p>
        </w:tc>
        <w:tc>
          <w:tcPr>
            <w:tcW w:w="1077" w:type="dxa"/>
            <w:tcBorders>
              <w:top w:val="nil"/>
              <w:left w:val="nil"/>
              <w:bottom w:val="nil"/>
              <w:right w:val="single" w:sz="8" w:space="0" w:color="auto"/>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19</w:t>
            </w:r>
          </w:p>
        </w:tc>
        <w:tc>
          <w:tcPr>
            <w:tcW w:w="9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p>
        </w:tc>
      </w:tr>
      <w:tr w:rsidR="00C64CFF" w:rsidRPr="00731751" w:rsidTr="00526B99">
        <w:trPr>
          <w:trHeight w:val="300"/>
        </w:trPr>
        <w:tc>
          <w:tcPr>
            <w:tcW w:w="1530" w:type="dxa"/>
            <w:tcBorders>
              <w:top w:val="nil"/>
              <w:left w:val="single" w:sz="8" w:space="0" w:color="auto"/>
              <w:bottom w:val="single" w:sz="8" w:space="0" w:color="auto"/>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 </w:t>
            </w:r>
          </w:p>
        </w:tc>
        <w:tc>
          <w:tcPr>
            <w:tcW w:w="1614" w:type="dxa"/>
            <w:tcBorders>
              <w:top w:val="nil"/>
              <w:left w:val="nil"/>
              <w:bottom w:val="single" w:sz="8" w:space="0" w:color="auto"/>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Accra</w:t>
            </w:r>
          </w:p>
        </w:tc>
        <w:tc>
          <w:tcPr>
            <w:tcW w:w="1147" w:type="dxa"/>
            <w:tcBorders>
              <w:top w:val="nil"/>
              <w:left w:val="nil"/>
              <w:bottom w:val="single" w:sz="8" w:space="0" w:color="auto"/>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0</w:t>
            </w:r>
          </w:p>
        </w:tc>
        <w:tc>
          <w:tcPr>
            <w:tcW w:w="440" w:type="dxa"/>
            <w:tcBorders>
              <w:top w:val="nil"/>
              <w:left w:val="nil"/>
              <w:bottom w:val="single" w:sz="8" w:space="0" w:color="auto"/>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0</w:t>
            </w:r>
          </w:p>
        </w:tc>
        <w:tc>
          <w:tcPr>
            <w:tcW w:w="440" w:type="dxa"/>
            <w:tcBorders>
              <w:top w:val="nil"/>
              <w:left w:val="nil"/>
              <w:bottom w:val="single" w:sz="8" w:space="0" w:color="auto"/>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0</w:t>
            </w:r>
          </w:p>
        </w:tc>
        <w:tc>
          <w:tcPr>
            <w:tcW w:w="440" w:type="dxa"/>
            <w:tcBorders>
              <w:top w:val="nil"/>
              <w:left w:val="nil"/>
              <w:bottom w:val="single" w:sz="8" w:space="0" w:color="auto"/>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16</w:t>
            </w:r>
          </w:p>
        </w:tc>
        <w:tc>
          <w:tcPr>
            <w:tcW w:w="1077" w:type="dxa"/>
            <w:tcBorders>
              <w:top w:val="nil"/>
              <w:left w:val="nil"/>
              <w:bottom w:val="single" w:sz="8" w:space="0" w:color="auto"/>
              <w:right w:val="single" w:sz="8" w:space="0" w:color="auto"/>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25</w:t>
            </w:r>
          </w:p>
        </w:tc>
        <w:tc>
          <w:tcPr>
            <w:tcW w:w="9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p>
        </w:tc>
      </w:tr>
      <w:tr w:rsidR="00C64CFF" w:rsidRPr="00731751" w:rsidTr="00526B99">
        <w:trPr>
          <w:trHeight w:val="300"/>
        </w:trPr>
        <w:tc>
          <w:tcPr>
            <w:tcW w:w="153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b/>
                <w:bCs/>
                <w:color w:val="000000"/>
                <w:lang w:eastAsia="en-GB"/>
              </w:rPr>
            </w:pPr>
            <w:r w:rsidRPr="00731751">
              <w:rPr>
                <w:rFonts w:ascii="Times New Roman" w:eastAsia="Times New Roman" w:hAnsi="Times New Roman" w:cs="Times New Roman"/>
                <w:b/>
                <w:bCs/>
                <w:color w:val="000000"/>
                <w:lang w:eastAsia="en-GB"/>
              </w:rPr>
              <w:t>MALI</w:t>
            </w:r>
          </w:p>
        </w:tc>
        <w:tc>
          <w:tcPr>
            <w:tcW w:w="1614"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b/>
                <w:bCs/>
                <w:color w:val="000000"/>
                <w:lang w:eastAsia="en-GB"/>
              </w:rPr>
            </w:pPr>
          </w:p>
        </w:tc>
        <w:tc>
          <w:tcPr>
            <w:tcW w:w="1147"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sz w:val="20"/>
                <w:szCs w:val="20"/>
                <w:lang w:eastAsia="en-GB"/>
              </w:rPr>
            </w:pPr>
          </w:p>
        </w:tc>
        <w:tc>
          <w:tcPr>
            <w:tcW w:w="4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sz w:val="20"/>
                <w:szCs w:val="20"/>
                <w:lang w:eastAsia="en-GB"/>
              </w:rPr>
            </w:pPr>
          </w:p>
        </w:tc>
        <w:tc>
          <w:tcPr>
            <w:tcW w:w="4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sz w:val="20"/>
                <w:szCs w:val="20"/>
                <w:lang w:eastAsia="en-GB"/>
              </w:rPr>
            </w:pPr>
          </w:p>
        </w:tc>
        <w:tc>
          <w:tcPr>
            <w:tcW w:w="4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sz w:val="20"/>
                <w:szCs w:val="20"/>
                <w:lang w:eastAsia="en-GB"/>
              </w:rPr>
            </w:pPr>
          </w:p>
        </w:tc>
        <w:tc>
          <w:tcPr>
            <w:tcW w:w="1077"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sz w:val="20"/>
                <w:szCs w:val="20"/>
                <w:lang w:eastAsia="en-GB"/>
              </w:rPr>
            </w:pPr>
          </w:p>
        </w:tc>
      </w:tr>
      <w:tr w:rsidR="00C64CFF" w:rsidRPr="00731751" w:rsidTr="00526B99">
        <w:trPr>
          <w:trHeight w:val="288"/>
        </w:trPr>
        <w:tc>
          <w:tcPr>
            <w:tcW w:w="1530" w:type="dxa"/>
            <w:tcBorders>
              <w:top w:val="single" w:sz="8" w:space="0" w:color="auto"/>
              <w:left w:val="single" w:sz="8" w:space="0" w:color="auto"/>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 </w:t>
            </w:r>
          </w:p>
        </w:tc>
        <w:tc>
          <w:tcPr>
            <w:tcW w:w="1614" w:type="dxa"/>
            <w:tcBorders>
              <w:top w:val="single" w:sz="8" w:space="0" w:color="auto"/>
              <w:left w:val="nil"/>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Location</w:t>
            </w:r>
          </w:p>
        </w:tc>
        <w:tc>
          <w:tcPr>
            <w:tcW w:w="1147" w:type="dxa"/>
            <w:tcBorders>
              <w:top w:val="single" w:sz="8" w:space="0" w:color="auto"/>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Poorest</w:t>
            </w:r>
          </w:p>
        </w:tc>
        <w:tc>
          <w:tcPr>
            <w:tcW w:w="440" w:type="dxa"/>
            <w:tcBorders>
              <w:top w:val="single" w:sz="8" w:space="0" w:color="auto"/>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2</w:t>
            </w:r>
          </w:p>
        </w:tc>
        <w:tc>
          <w:tcPr>
            <w:tcW w:w="440" w:type="dxa"/>
            <w:tcBorders>
              <w:top w:val="single" w:sz="8" w:space="0" w:color="auto"/>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3</w:t>
            </w:r>
          </w:p>
        </w:tc>
        <w:tc>
          <w:tcPr>
            <w:tcW w:w="440" w:type="dxa"/>
            <w:tcBorders>
              <w:top w:val="single" w:sz="8" w:space="0" w:color="auto"/>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4</w:t>
            </w:r>
          </w:p>
        </w:tc>
        <w:tc>
          <w:tcPr>
            <w:tcW w:w="1077" w:type="dxa"/>
            <w:tcBorders>
              <w:top w:val="single" w:sz="8" w:space="0" w:color="auto"/>
              <w:left w:val="nil"/>
              <w:bottom w:val="nil"/>
              <w:right w:val="single" w:sz="8" w:space="0" w:color="auto"/>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Richest</w:t>
            </w:r>
          </w:p>
        </w:tc>
        <w:tc>
          <w:tcPr>
            <w:tcW w:w="9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p>
        </w:tc>
      </w:tr>
      <w:tr w:rsidR="00C64CFF" w:rsidRPr="00731751" w:rsidTr="00526B99">
        <w:trPr>
          <w:trHeight w:val="288"/>
        </w:trPr>
        <w:tc>
          <w:tcPr>
            <w:tcW w:w="1530" w:type="dxa"/>
            <w:tcBorders>
              <w:top w:val="single" w:sz="4" w:space="0" w:color="auto"/>
              <w:left w:val="single" w:sz="8" w:space="0" w:color="auto"/>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Primary</w:t>
            </w:r>
          </w:p>
        </w:tc>
        <w:tc>
          <w:tcPr>
            <w:tcW w:w="1614" w:type="dxa"/>
            <w:tcBorders>
              <w:top w:val="single" w:sz="4" w:space="0" w:color="auto"/>
              <w:left w:val="nil"/>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Rural</w:t>
            </w:r>
          </w:p>
        </w:tc>
        <w:tc>
          <w:tcPr>
            <w:tcW w:w="1147" w:type="dxa"/>
            <w:tcBorders>
              <w:top w:val="single" w:sz="4" w:space="0" w:color="auto"/>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13</w:t>
            </w:r>
          </w:p>
        </w:tc>
        <w:tc>
          <w:tcPr>
            <w:tcW w:w="440" w:type="dxa"/>
            <w:tcBorders>
              <w:top w:val="single" w:sz="4" w:space="0" w:color="auto"/>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15</w:t>
            </w:r>
          </w:p>
        </w:tc>
        <w:tc>
          <w:tcPr>
            <w:tcW w:w="440" w:type="dxa"/>
            <w:tcBorders>
              <w:top w:val="single" w:sz="4" w:space="0" w:color="auto"/>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19</w:t>
            </w:r>
          </w:p>
        </w:tc>
        <w:tc>
          <w:tcPr>
            <w:tcW w:w="440" w:type="dxa"/>
            <w:tcBorders>
              <w:top w:val="single" w:sz="4" w:space="0" w:color="auto"/>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17</w:t>
            </w:r>
          </w:p>
        </w:tc>
        <w:tc>
          <w:tcPr>
            <w:tcW w:w="1077" w:type="dxa"/>
            <w:tcBorders>
              <w:top w:val="single" w:sz="4" w:space="0" w:color="auto"/>
              <w:left w:val="nil"/>
              <w:bottom w:val="nil"/>
              <w:right w:val="single" w:sz="8" w:space="0" w:color="auto"/>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29</w:t>
            </w:r>
          </w:p>
        </w:tc>
        <w:tc>
          <w:tcPr>
            <w:tcW w:w="9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p>
        </w:tc>
      </w:tr>
      <w:tr w:rsidR="00C64CFF" w:rsidRPr="00731751" w:rsidTr="00526B99">
        <w:trPr>
          <w:trHeight w:val="288"/>
        </w:trPr>
        <w:tc>
          <w:tcPr>
            <w:tcW w:w="1530" w:type="dxa"/>
            <w:tcBorders>
              <w:top w:val="nil"/>
              <w:left w:val="single" w:sz="8" w:space="0" w:color="auto"/>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 </w:t>
            </w:r>
          </w:p>
        </w:tc>
        <w:tc>
          <w:tcPr>
            <w:tcW w:w="1614"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Urban</w:t>
            </w:r>
          </w:p>
        </w:tc>
        <w:tc>
          <w:tcPr>
            <w:tcW w:w="1147"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25</w:t>
            </w:r>
          </w:p>
        </w:tc>
        <w:tc>
          <w:tcPr>
            <w:tcW w:w="4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27</w:t>
            </w:r>
          </w:p>
        </w:tc>
        <w:tc>
          <w:tcPr>
            <w:tcW w:w="4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42</w:t>
            </w:r>
          </w:p>
        </w:tc>
        <w:tc>
          <w:tcPr>
            <w:tcW w:w="4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50</w:t>
            </w:r>
          </w:p>
        </w:tc>
        <w:tc>
          <w:tcPr>
            <w:tcW w:w="1077" w:type="dxa"/>
            <w:tcBorders>
              <w:top w:val="nil"/>
              <w:left w:val="nil"/>
              <w:bottom w:val="nil"/>
              <w:right w:val="single" w:sz="8" w:space="0" w:color="auto"/>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74</w:t>
            </w:r>
          </w:p>
        </w:tc>
        <w:tc>
          <w:tcPr>
            <w:tcW w:w="9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p>
        </w:tc>
      </w:tr>
      <w:tr w:rsidR="00C64CFF" w:rsidRPr="00731751" w:rsidTr="00526B99">
        <w:trPr>
          <w:trHeight w:val="288"/>
        </w:trPr>
        <w:tc>
          <w:tcPr>
            <w:tcW w:w="1530" w:type="dxa"/>
            <w:tcBorders>
              <w:top w:val="nil"/>
              <w:left w:val="single" w:sz="8" w:space="0" w:color="auto"/>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 </w:t>
            </w:r>
          </w:p>
        </w:tc>
        <w:tc>
          <w:tcPr>
            <w:tcW w:w="1614"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Bamako</w:t>
            </w:r>
          </w:p>
        </w:tc>
        <w:tc>
          <w:tcPr>
            <w:tcW w:w="1147"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34</w:t>
            </w:r>
          </w:p>
        </w:tc>
        <w:tc>
          <w:tcPr>
            <w:tcW w:w="4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35</w:t>
            </w:r>
          </w:p>
        </w:tc>
        <w:tc>
          <w:tcPr>
            <w:tcW w:w="4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46</w:t>
            </w:r>
          </w:p>
        </w:tc>
        <w:tc>
          <w:tcPr>
            <w:tcW w:w="4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55</w:t>
            </w:r>
          </w:p>
        </w:tc>
        <w:tc>
          <w:tcPr>
            <w:tcW w:w="1077" w:type="dxa"/>
            <w:tcBorders>
              <w:top w:val="nil"/>
              <w:left w:val="nil"/>
              <w:bottom w:val="nil"/>
              <w:right w:val="single" w:sz="8" w:space="0" w:color="auto"/>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80</w:t>
            </w:r>
          </w:p>
        </w:tc>
        <w:tc>
          <w:tcPr>
            <w:tcW w:w="9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p>
        </w:tc>
      </w:tr>
      <w:tr w:rsidR="00C64CFF" w:rsidRPr="00731751" w:rsidTr="00526B99">
        <w:trPr>
          <w:trHeight w:val="288"/>
        </w:trPr>
        <w:tc>
          <w:tcPr>
            <w:tcW w:w="1530" w:type="dxa"/>
            <w:tcBorders>
              <w:top w:val="single" w:sz="4" w:space="0" w:color="auto"/>
              <w:left w:val="single" w:sz="8" w:space="0" w:color="auto"/>
              <w:bottom w:val="nil"/>
              <w:right w:val="nil"/>
            </w:tcBorders>
            <w:shd w:val="clear" w:color="000000" w:fill="C6E0B4"/>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Secondary</w:t>
            </w:r>
          </w:p>
        </w:tc>
        <w:tc>
          <w:tcPr>
            <w:tcW w:w="1614" w:type="dxa"/>
            <w:tcBorders>
              <w:top w:val="single" w:sz="4" w:space="0" w:color="auto"/>
              <w:left w:val="nil"/>
              <w:bottom w:val="nil"/>
              <w:right w:val="nil"/>
            </w:tcBorders>
            <w:shd w:val="clear" w:color="000000" w:fill="C6E0B4"/>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Rural</w:t>
            </w:r>
          </w:p>
        </w:tc>
        <w:tc>
          <w:tcPr>
            <w:tcW w:w="1147" w:type="dxa"/>
            <w:tcBorders>
              <w:top w:val="single" w:sz="4" w:space="0" w:color="auto"/>
              <w:left w:val="nil"/>
              <w:bottom w:val="nil"/>
              <w:right w:val="nil"/>
            </w:tcBorders>
            <w:shd w:val="clear" w:color="000000" w:fill="C6E0B4"/>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5</w:t>
            </w:r>
          </w:p>
        </w:tc>
        <w:tc>
          <w:tcPr>
            <w:tcW w:w="440" w:type="dxa"/>
            <w:tcBorders>
              <w:top w:val="single" w:sz="4" w:space="0" w:color="auto"/>
              <w:left w:val="nil"/>
              <w:bottom w:val="nil"/>
              <w:right w:val="nil"/>
            </w:tcBorders>
            <w:shd w:val="clear" w:color="000000" w:fill="C6E0B4"/>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9</w:t>
            </w:r>
          </w:p>
        </w:tc>
        <w:tc>
          <w:tcPr>
            <w:tcW w:w="440" w:type="dxa"/>
            <w:tcBorders>
              <w:top w:val="single" w:sz="4" w:space="0" w:color="auto"/>
              <w:left w:val="nil"/>
              <w:bottom w:val="nil"/>
              <w:right w:val="nil"/>
            </w:tcBorders>
            <w:shd w:val="clear" w:color="000000" w:fill="C6E0B4"/>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8</w:t>
            </w:r>
          </w:p>
        </w:tc>
        <w:tc>
          <w:tcPr>
            <w:tcW w:w="440" w:type="dxa"/>
            <w:tcBorders>
              <w:top w:val="single" w:sz="4" w:space="0" w:color="auto"/>
              <w:left w:val="nil"/>
              <w:bottom w:val="nil"/>
              <w:right w:val="nil"/>
            </w:tcBorders>
            <w:shd w:val="clear" w:color="000000" w:fill="C6E0B4"/>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11</w:t>
            </w:r>
          </w:p>
        </w:tc>
        <w:tc>
          <w:tcPr>
            <w:tcW w:w="1077" w:type="dxa"/>
            <w:tcBorders>
              <w:top w:val="single" w:sz="4" w:space="0" w:color="auto"/>
              <w:left w:val="nil"/>
              <w:bottom w:val="nil"/>
              <w:right w:val="single" w:sz="8" w:space="0" w:color="auto"/>
            </w:tcBorders>
            <w:shd w:val="clear" w:color="000000" w:fill="C6E0B4"/>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16</w:t>
            </w:r>
          </w:p>
        </w:tc>
        <w:tc>
          <w:tcPr>
            <w:tcW w:w="9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p>
        </w:tc>
      </w:tr>
      <w:tr w:rsidR="00C64CFF" w:rsidRPr="00731751" w:rsidTr="00526B99">
        <w:trPr>
          <w:trHeight w:val="288"/>
        </w:trPr>
        <w:tc>
          <w:tcPr>
            <w:tcW w:w="1530" w:type="dxa"/>
            <w:tcBorders>
              <w:top w:val="nil"/>
              <w:left w:val="single" w:sz="8" w:space="0" w:color="auto"/>
              <w:bottom w:val="nil"/>
              <w:right w:val="nil"/>
            </w:tcBorders>
            <w:shd w:val="clear" w:color="000000" w:fill="C6E0B4"/>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 </w:t>
            </w:r>
          </w:p>
        </w:tc>
        <w:tc>
          <w:tcPr>
            <w:tcW w:w="1614" w:type="dxa"/>
            <w:tcBorders>
              <w:top w:val="nil"/>
              <w:left w:val="nil"/>
              <w:bottom w:val="nil"/>
              <w:right w:val="nil"/>
            </w:tcBorders>
            <w:shd w:val="clear" w:color="000000" w:fill="C6E0B4"/>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Urban</w:t>
            </w:r>
          </w:p>
        </w:tc>
        <w:tc>
          <w:tcPr>
            <w:tcW w:w="1147" w:type="dxa"/>
            <w:tcBorders>
              <w:top w:val="nil"/>
              <w:left w:val="nil"/>
              <w:bottom w:val="nil"/>
              <w:right w:val="nil"/>
            </w:tcBorders>
            <w:shd w:val="clear" w:color="000000" w:fill="C6E0B4"/>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18</w:t>
            </w:r>
          </w:p>
        </w:tc>
        <w:tc>
          <w:tcPr>
            <w:tcW w:w="440" w:type="dxa"/>
            <w:tcBorders>
              <w:top w:val="nil"/>
              <w:left w:val="nil"/>
              <w:bottom w:val="nil"/>
              <w:right w:val="nil"/>
            </w:tcBorders>
            <w:shd w:val="clear" w:color="000000" w:fill="C6E0B4"/>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19</w:t>
            </w:r>
          </w:p>
        </w:tc>
        <w:tc>
          <w:tcPr>
            <w:tcW w:w="440" w:type="dxa"/>
            <w:tcBorders>
              <w:top w:val="nil"/>
              <w:left w:val="nil"/>
              <w:bottom w:val="nil"/>
              <w:right w:val="nil"/>
            </w:tcBorders>
            <w:shd w:val="clear" w:color="000000" w:fill="C6E0B4"/>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28</w:t>
            </w:r>
          </w:p>
        </w:tc>
        <w:tc>
          <w:tcPr>
            <w:tcW w:w="440" w:type="dxa"/>
            <w:tcBorders>
              <w:top w:val="nil"/>
              <w:left w:val="nil"/>
              <w:bottom w:val="nil"/>
              <w:right w:val="nil"/>
            </w:tcBorders>
            <w:shd w:val="clear" w:color="000000" w:fill="C6E0B4"/>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38</w:t>
            </w:r>
          </w:p>
        </w:tc>
        <w:tc>
          <w:tcPr>
            <w:tcW w:w="1077" w:type="dxa"/>
            <w:tcBorders>
              <w:top w:val="nil"/>
              <w:left w:val="nil"/>
              <w:bottom w:val="nil"/>
              <w:right w:val="single" w:sz="8" w:space="0" w:color="auto"/>
            </w:tcBorders>
            <w:shd w:val="clear" w:color="000000" w:fill="C6E0B4"/>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62</w:t>
            </w:r>
          </w:p>
        </w:tc>
        <w:tc>
          <w:tcPr>
            <w:tcW w:w="9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p>
        </w:tc>
      </w:tr>
      <w:tr w:rsidR="00C64CFF" w:rsidRPr="00731751" w:rsidTr="00526B99">
        <w:trPr>
          <w:trHeight w:val="288"/>
        </w:trPr>
        <w:tc>
          <w:tcPr>
            <w:tcW w:w="1530" w:type="dxa"/>
            <w:tcBorders>
              <w:top w:val="nil"/>
              <w:left w:val="single" w:sz="8" w:space="0" w:color="auto"/>
              <w:bottom w:val="single" w:sz="4" w:space="0" w:color="auto"/>
              <w:right w:val="nil"/>
            </w:tcBorders>
            <w:shd w:val="clear" w:color="000000" w:fill="C6E0B4"/>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 </w:t>
            </w:r>
          </w:p>
        </w:tc>
        <w:tc>
          <w:tcPr>
            <w:tcW w:w="1614" w:type="dxa"/>
            <w:tcBorders>
              <w:top w:val="nil"/>
              <w:left w:val="nil"/>
              <w:bottom w:val="single" w:sz="4" w:space="0" w:color="auto"/>
              <w:right w:val="nil"/>
            </w:tcBorders>
            <w:shd w:val="clear" w:color="000000" w:fill="C6E0B4"/>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Bamako</w:t>
            </w:r>
          </w:p>
        </w:tc>
        <w:tc>
          <w:tcPr>
            <w:tcW w:w="1147" w:type="dxa"/>
            <w:tcBorders>
              <w:top w:val="nil"/>
              <w:left w:val="nil"/>
              <w:bottom w:val="single" w:sz="4" w:space="0" w:color="auto"/>
              <w:right w:val="nil"/>
            </w:tcBorders>
            <w:shd w:val="clear" w:color="000000" w:fill="C6E0B4"/>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29</w:t>
            </w:r>
          </w:p>
        </w:tc>
        <w:tc>
          <w:tcPr>
            <w:tcW w:w="440" w:type="dxa"/>
            <w:tcBorders>
              <w:top w:val="nil"/>
              <w:left w:val="nil"/>
              <w:bottom w:val="single" w:sz="4" w:space="0" w:color="auto"/>
              <w:right w:val="nil"/>
            </w:tcBorders>
            <w:shd w:val="clear" w:color="000000" w:fill="C6E0B4"/>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26</w:t>
            </w:r>
          </w:p>
        </w:tc>
        <w:tc>
          <w:tcPr>
            <w:tcW w:w="440" w:type="dxa"/>
            <w:tcBorders>
              <w:top w:val="nil"/>
              <w:left w:val="nil"/>
              <w:bottom w:val="single" w:sz="4" w:space="0" w:color="auto"/>
              <w:right w:val="nil"/>
            </w:tcBorders>
            <w:shd w:val="clear" w:color="000000" w:fill="C6E0B4"/>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30</w:t>
            </w:r>
          </w:p>
        </w:tc>
        <w:tc>
          <w:tcPr>
            <w:tcW w:w="440" w:type="dxa"/>
            <w:tcBorders>
              <w:top w:val="nil"/>
              <w:left w:val="nil"/>
              <w:bottom w:val="single" w:sz="4" w:space="0" w:color="auto"/>
              <w:right w:val="nil"/>
            </w:tcBorders>
            <w:shd w:val="clear" w:color="000000" w:fill="C6E0B4"/>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39</w:t>
            </w:r>
          </w:p>
        </w:tc>
        <w:tc>
          <w:tcPr>
            <w:tcW w:w="1077" w:type="dxa"/>
            <w:tcBorders>
              <w:top w:val="nil"/>
              <w:left w:val="nil"/>
              <w:bottom w:val="single" w:sz="4" w:space="0" w:color="auto"/>
              <w:right w:val="single" w:sz="8" w:space="0" w:color="auto"/>
            </w:tcBorders>
            <w:shd w:val="clear" w:color="000000" w:fill="C6E0B4"/>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66</w:t>
            </w:r>
          </w:p>
        </w:tc>
        <w:tc>
          <w:tcPr>
            <w:tcW w:w="9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p>
        </w:tc>
      </w:tr>
      <w:tr w:rsidR="00C64CFF" w:rsidRPr="00731751" w:rsidTr="00526B99">
        <w:trPr>
          <w:trHeight w:val="288"/>
        </w:trPr>
        <w:tc>
          <w:tcPr>
            <w:tcW w:w="1530" w:type="dxa"/>
            <w:tcBorders>
              <w:top w:val="nil"/>
              <w:left w:val="single" w:sz="8" w:space="0" w:color="auto"/>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Higher</w:t>
            </w:r>
          </w:p>
        </w:tc>
        <w:tc>
          <w:tcPr>
            <w:tcW w:w="1614"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Rural</w:t>
            </w:r>
          </w:p>
        </w:tc>
        <w:tc>
          <w:tcPr>
            <w:tcW w:w="1147"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0</w:t>
            </w:r>
          </w:p>
        </w:tc>
        <w:tc>
          <w:tcPr>
            <w:tcW w:w="4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0</w:t>
            </w:r>
          </w:p>
        </w:tc>
        <w:tc>
          <w:tcPr>
            <w:tcW w:w="4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0</w:t>
            </w:r>
          </w:p>
        </w:tc>
        <w:tc>
          <w:tcPr>
            <w:tcW w:w="4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0</w:t>
            </w:r>
          </w:p>
        </w:tc>
        <w:tc>
          <w:tcPr>
            <w:tcW w:w="1077" w:type="dxa"/>
            <w:tcBorders>
              <w:top w:val="nil"/>
              <w:left w:val="nil"/>
              <w:bottom w:val="nil"/>
              <w:right w:val="single" w:sz="8" w:space="0" w:color="auto"/>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12</w:t>
            </w:r>
          </w:p>
        </w:tc>
        <w:tc>
          <w:tcPr>
            <w:tcW w:w="9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p>
        </w:tc>
      </w:tr>
      <w:tr w:rsidR="00C64CFF" w:rsidRPr="00731751" w:rsidTr="00526B99">
        <w:trPr>
          <w:trHeight w:val="288"/>
        </w:trPr>
        <w:tc>
          <w:tcPr>
            <w:tcW w:w="1530" w:type="dxa"/>
            <w:tcBorders>
              <w:top w:val="nil"/>
              <w:left w:val="single" w:sz="8" w:space="0" w:color="auto"/>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 </w:t>
            </w:r>
          </w:p>
        </w:tc>
        <w:tc>
          <w:tcPr>
            <w:tcW w:w="1614"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Urban</w:t>
            </w:r>
          </w:p>
        </w:tc>
        <w:tc>
          <w:tcPr>
            <w:tcW w:w="1147"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0</w:t>
            </w:r>
          </w:p>
        </w:tc>
        <w:tc>
          <w:tcPr>
            <w:tcW w:w="4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0</w:t>
            </w:r>
          </w:p>
        </w:tc>
        <w:tc>
          <w:tcPr>
            <w:tcW w:w="4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7</w:t>
            </w:r>
          </w:p>
        </w:tc>
        <w:tc>
          <w:tcPr>
            <w:tcW w:w="4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10</w:t>
            </w:r>
          </w:p>
        </w:tc>
        <w:tc>
          <w:tcPr>
            <w:tcW w:w="1077" w:type="dxa"/>
            <w:tcBorders>
              <w:top w:val="nil"/>
              <w:left w:val="nil"/>
              <w:bottom w:val="nil"/>
              <w:right w:val="single" w:sz="8" w:space="0" w:color="auto"/>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21</w:t>
            </w:r>
          </w:p>
        </w:tc>
        <w:tc>
          <w:tcPr>
            <w:tcW w:w="9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p>
        </w:tc>
      </w:tr>
      <w:tr w:rsidR="00C64CFF" w:rsidRPr="00731751" w:rsidTr="00526B99">
        <w:trPr>
          <w:trHeight w:val="300"/>
        </w:trPr>
        <w:tc>
          <w:tcPr>
            <w:tcW w:w="1530" w:type="dxa"/>
            <w:tcBorders>
              <w:top w:val="nil"/>
              <w:left w:val="single" w:sz="8" w:space="0" w:color="auto"/>
              <w:bottom w:val="single" w:sz="8" w:space="0" w:color="auto"/>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 </w:t>
            </w:r>
          </w:p>
        </w:tc>
        <w:tc>
          <w:tcPr>
            <w:tcW w:w="1614" w:type="dxa"/>
            <w:tcBorders>
              <w:top w:val="nil"/>
              <w:left w:val="nil"/>
              <w:bottom w:val="single" w:sz="8" w:space="0" w:color="auto"/>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Bamako</w:t>
            </w:r>
          </w:p>
        </w:tc>
        <w:tc>
          <w:tcPr>
            <w:tcW w:w="1147" w:type="dxa"/>
            <w:tcBorders>
              <w:top w:val="nil"/>
              <w:left w:val="nil"/>
              <w:bottom w:val="single" w:sz="8" w:space="0" w:color="auto"/>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0</w:t>
            </w:r>
          </w:p>
        </w:tc>
        <w:tc>
          <w:tcPr>
            <w:tcW w:w="440" w:type="dxa"/>
            <w:tcBorders>
              <w:top w:val="nil"/>
              <w:left w:val="nil"/>
              <w:bottom w:val="single" w:sz="8" w:space="0" w:color="auto"/>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0</w:t>
            </w:r>
          </w:p>
        </w:tc>
        <w:tc>
          <w:tcPr>
            <w:tcW w:w="440" w:type="dxa"/>
            <w:tcBorders>
              <w:top w:val="nil"/>
              <w:left w:val="nil"/>
              <w:bottom w:val="single" w:sz="8" w:space="0" w:color="auto"/>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11</w:t>
            </w:r>
          </w:p>
        </w:tc>
        <w:tc>
          <w:tcPr>
            <w:tcW w:w="440" w:type="dxa"/>
            <w:tcBorders>
              <w:top w:val="nil"/>
              <w:left w:val="nil"/>
              <w:bottom w:val="single" w:sz="8" w:space="0" w:color="auto"/>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7</w:t>
            </w:r>
          </w:p>
        </w:tc>
        <w:tc>
          <w:tcPr>
            <w:tcW w:w="1077" w:type="dxa"/>
            <w:tcBorders>
              <w:top w:val="nil"/>
              <w:left w:val="nil"/>
              <w:bottom w:val="single" w:sz="8" w:space="0" w:color="auto"/>
              <w:right w:val="single" w:sz="8" w:space="0" w:color="auto"/>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27</w:t>
            </w:r>
          </w:p>
        </w:tc>
        <w:tc>
          <w:tcPr>
            <w:tcW w:w="9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p>
        </w:tc>
      </w:tr>
      <w:tr w:rsidR="00C64CFF" w:rsidRPr="00731751" w:rsidTr="00526B99">
        <w:trPr>
          <w:trHeight w:val="300"/>
        </w:trPr>
        <w:tc>
          <w:tcPr>
            <w:tcW w:w="3144" w:type="dxa"/>
            <w:gridSpan w:val="2"/>
            <w:tcBorders>
              <w:top w:val="nil"/>
              <w:left w:val="nil"/>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b/>
                <w:bCs/>
                <w:color w:val="000000"/>
                <w:lang w:eastAsia="en-GB"/>
              </w:rPr>
            </w:pPr>
            <w:r w:rsidRPr="00731751">
              <w:rPr>
                <w:rFonts w:ascii="Times New Roman" w:eastAsia="Times New Roman" w:hAnsi="Times New Roman" w:cs="Times New Roman"/>
                <w:b/>
                <w:bCs/>
                <w:color w:val="000000"/>
                <w:lang w:eastAsia="en-GB"/>
              </w:rPr>
              <w:t>DR CONGO</w:t>
            </w:r>
          </w:p>
        </w:tc>
        <w:tc>
          <w:tcPr>
            <w:tcW w:w="1147"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b/>
                <w:bCs/>
                <w:color w:val="000000"/>
                <w:lang w:eastAsia="en-GB"/>
              </w:rPr>
            </w:pPr>
          </w:p>
        </w:tc>
        <w:tc>
          <w:tcPr>
            <w:tcW w:w="4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sz w:val="20"/>
                <w:szCs w:val="20"/>
                <w:lang w:eastAsia="en-GB"/>
              </w:rPr>
            </w:pPr>
          </w:p>
        </w:tc>
        <w:tc>
          <w:tcPr>
            <w:tcW w:w="4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sz w:val="20"/>
                <w:szCs w:val="20"/>
                <w:lang w:eastAsia="en-GB"/>
              </w:rPr>
            </w:pPr>
          </w:p>
        </w:tc>
        <w:tc>
          <w:tcPr>
            <w:tcW w:w="4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sz w:val="20"/>
                <w:szCs w:val="20"/>
                <w:lang w:eastAsia="en-GB"/>
              </w:rPr>
            </w:pPr>
          </w:p>
        </w:tc>
        <w:tc>
          <w:tcPr>
            <w:tcW w:w="1077"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sz w:val="20"/>
                <w:szCs w:val="20"/>
                <w:lang w:eastAsia="en-GB"/>
              </w:rPr>
            </w:pPr>
          </w:p>
        </w:tc>
      </w:tr>
      <w:tr w:rsidR="00C64CFF" w:rsidRPr="00731751" w:rsidTr="00526B99">
        <w:trPr>
          <w:trHeight w:val="288"/>
        </w:trPr>
        <w:tc>
          <w:tcPr>
            <w:tcW w:w="1530" w:type="dxa"/>
            <w:tcBorders>
              <w:top w:val="single" w:sz="8" w:space="0" w:color="auto"/>
              <w:left w:val="single" w:sz="8" w:space="0" w:color="auto"/>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 </w:t>
            </w:r>
          </w:p>
        </w:tc>
        <w:tc>
          <w:tcPr>
            <w:tcW w:w="1614" w:type="dxa"/>
            <w:tcBorders>
              <w:top w:val="single" w:sz="8" w:space="0" w:color="auto"/>
              <w:left w:val="nil"/>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Location</w:t>
            </w:r>
          </w:p>
        </w:tc>
        <w:tc>
          <w:tcPr>
            <w:tcW w:w="1147" w:type="dxa"/>
            <w:tcBorders>
              <w:top w:val="single" w:sz="8" w:space="0" w:color="auto"/>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Poorest</w:t>
            </w:r>
          </w:p>
        </w:tc>
        <w:tc>
          <w:tcPr>
            <w:tcW w:w="440" w:type="dxa"/>
            <w:tcBorders>
              <w:top w:val="single" w:sz="8" w:space="0" w:color="auto"/>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2</w:t>
            </w:r>
          </w:p>
        </w:tc>
        <w:tc>
          <w:tcPr>
            <w:tcW w:w="440" w:type="dxa"/>
            <w:tcBorders>
              <w:top w:val="single" w:sz="8" w:space="0" w:color="auto"/>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3</w:t>
            </w:r>
          </w:p>
        </w:tc>
        <w:tc>
          <w:tcPr>
            <w:tcW w:w="440" w:type="dxa"/>
            <w:tcBorders>
              <w:top w:val="single" w:sz="8" w:space="0" w:color="auto"/>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4</w:t>
            </w:r>
          </w:p>
        </w:tc>
        <w:tc>
          <w:tcPr>
            <w:tcW w:w="1077" w:type="dxa"/>
            <w:tcBorders>
              <w:top w:val="single" w:sz="8" w:space="0" w:color="auto"/>
              <w:left w:val="nil"/>
              <w:bottom w:val="nil"/>
              <w:right w:val="single" w:sz="8" w:space="0" w:color="auto"/>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Richest</w:t>
            </w:r>
          </w:p>
        </w:tc>
        <w:tc>
          <w:tcPr>
            <w:tcW w:w="9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p>
        </w:tc>
      </w:tr>
      <w:tr w:rsidR="00C64CFF" w:rsidRPr="00731751" w:rsidTr="00526B99">
        <w:trPr>
          <w:trHeight w:val="288"/>
        </w:trPr>
        <w:tc>
          <w:tcPr>
            <w:tcW w:w="1530" w:type="dxa"/>
            <w:tcBorders>
              <w:top w:val="single" w:sz="4" w:space="0" w:color="auto"/>
              <w:left w:val="single" w:sz="8" w:space="0" w:color="auto"/>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Primary</w:t>
            </w:r>
          </w:p>
        </w:tc>
        <w:tc>
          <w:tcPr>
            <w:tcW w:w="1614" w:type="dxa"/>
            <w:tcBorders>
              <w:top w:val="single" w:sz="4" w:space="0" w:color="auto"/>
              <w:left w:val="nil"/>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Rural</w:t>
            </w:r>
          </w:p>
        </w:tc>
        <w:tc>
          <w:tcPr>
            <w:tcW w:w="1147" w:type="dxa"/>
            <w:tcBorders>
              <w:top w:val="single" w:sz="4" w:space="0" w:color="auto"/>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8</w:t>
            </w:r>
          </w:p>
        </w:tc>
        <w:tc>
          <w:tcPr>
            <w:tcW w:w="440" w:type="dxa"/>
            <w:tcBorders>
              <w:top w:val="single" w:sz="4" w:space="0" w:color="auto"/>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10</w:t>
            </w:r>
          </w:p>
        </w:tc>
        <w:tc>
          <w:tcPr>
            <w:tcW w:w="440" w:type="dxa"/>
            <w:tcBorders>
              <w:top w:val="single" w:sz="4" w:space="0" w:color="auto"/>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7</w:t>
            </w:r>
          </w:p>
        </w:tc>
        <w:tc>
          <w:tcPr>
            <w:tcW w:w="440" w:type="dxa"/>
            <w:tcBorders>
              <w:top w:val="single" w:sz="4" w:space="0" w:color="auto"/>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7</w:t>
            </w:r>
          </w:p>
        </w:tc>
        <w:tc>
          <w:tcPr>
            <w:tcW w:w="1077" w:type="dxa"/>
            <w:tcBorders>
              <w:top w:val="single" w:sz="4" w:space="0" w:color="auto"/>
              <w:left w:val="nil"/>
              <w:bottom w:val="nil"/>
              <w:right w:val="single" w:sz="8" w:space="0" w:color="auto"/>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6</w:t>
            </w:r>
          </w:p>
        </w:tc>
        <w:tc>
          <w:tcPr>
            <w:tcW w:w="9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p>
        </w:tc>
      </w:tr>
      <w:tr w:rsidR="00C64CFF" w:rsidRPr="00731751" w:rsidTr="00526B99">
        <w:trPr>
          <w:trHeight w:val="288"/>
        </w:trPr>
        <w:tc>
          <w:tcPr>
            <w:tcW w:w="1530" w:type="dxa"/>
            <w:tcBorders>
              <w:top w:val="nil"/>
              <w:left w:val="single" w:sz="8" w:space="0" w:color="auto"/>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 </w:t>
            </w:r>
          </w:p>
        </w:tc>
        <w:tc>
          <w:tcPr>
            <w:tcW w:w="1614"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Urban</w:t>
            </w:r>
          </w:p>
        </w:tc>
        <w:tc>
          <w:tcPr>
            <w:tcW w:w="1147"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17</w:t>
            </w:r>
          </w:p>
        </w:tc>
        <w:tc>
          <w:tcPr>
            <w:tcW w:w="4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32</w:t>
            </w:r>
          </w:p>
        </w:tc>
        <w:tc>
          <w:tcPr>
            <w:tcW w:w="4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32</w:t>
            </w:r>
          </w:p>
        </w:tc>
        <w:tc>
          <w:tcPr>
            <w:tcW w:w="4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38</w:t>
            </w:r>
          </w:p>
        </w:tc>
        <w:tc>
          <w:tcPr>
            <w:tcW w:w="1077" w:type="dxa"/>
            <w:tcBorders>
              <w:top w:val="nil"/>
              <w:left w:val="nil"/>
              <w:bottom w:val="nil"/>
              <w:right w:val="single" w:sz="8" w:space="0" w:color="auto"/>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41</w:t>
            </w:r>
          </w:p>
        </w:tc>
        <w:tc>
          <w:tcPr>
            <w:tcW w:w="9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p>
        </w:tc>
      </w:tr>
      <w:tr w:rsidR="00C64CFF" w:rsidRPr="00731751" w:rsidTr="00526B99">
        <w:trPr>
          <w:trHeight w:val="288"/>
        </w:trPr>
        <w:tc>
          <w:tcPr>
            <w:tcW w:w="1530" w:type="dxa"/>
            <w:tcBorders>
              <w:top w:val="nil"/>
              <w:left w:val="single" w:sz="8" w:space="0" w:color="auto"/>
              <w:bottom w:val="single" w:sz="4" w:space="0" w:color="auto"/>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 </w:t>
            </w:r>
          </w:p>
        </w:tc>
        <w:tc>
          <w:tcPr>
            <w:tcW w:w="1614" w:type="dxa"/>
            <w:tcBorders>
              <w:top w:val="nil"/>
              <w:left w:val="nil"/>
              <w:bottom w:val="single" w:sz="4" w:space="0" w:color="auto"/>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Kinshasa</w:t>
            </w:r>
          </w:p>
        </w:tc>
        <w:tc>
          <w:tcPr>
            <w:tcW w:w="1147" w:type="dxa"/>
            <w:tcBorders>
              <w:top w:val="nil"/>
              <w:left w:val="nil"/>
              <w:bottom w:val="single" w:sz="4" w:space="0" w:color="auto"/>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 </w:t>
            </w:r>
          </w:p>
        </w:tc>
        <w:tc>
          <w:tcPr>
            <w:tcW w:w="440" w:type="dxa"/>
            <w:tcBorders>
              <w:top w:val="nil"/>
              <w:left w:val="nil"/>
              <w:bottom w:val="single" w:sz="4" w:space="0" w:color="auto"/>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28</w:t>
            </w:r>
          </w:p>
        </w:tc>
        <w:tc>
          <w:tcPr>
            <w:tcW w:w="440" w:type="dxa"/>
            <w:tcBorders>
              <w:top w:val="nil"/>
              <w:left w:val="nil"/>
              <w:bottom w:val="single" w:sz="4" w:space="0" w:color="auto"/>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46</w:t>
            </w:r>
          </w:p>
        </w:tc>
        <w:tc>
          <w:tcPr>
            <w:tcW w:w="440" w:type="dxa"/>
            <w:tcBorders>
              <w:top w:val="nil"/>
              <w:left w:val="nil"/>
              <w:bottom w:val="single" w:sz="4" w:space="0" w:color="auto"/>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45</w:t>
            </w:r>
          </w:p>
        </w:tc>
        <w:tc>
          <w:tcPr>
            <w:tcW w:w="1077" w:type="dxa"/>
            <w:tcBorders>
              <w:top w:val="nil"/>
              <w:left w:val="nil"/>
              <w:bottom w:val="single" w:sz="4" w:space="0" w:color="auto"/>
              <w:right w:val="single" w:sz="8" w:space="0" w:color="auto"/>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39</w:t>
            </w:r>
          </w:p>
        </w:tc>
        <w:tc>
          <w:tcPr>
            <w:tcW w:w="9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p>
        </w:tc>
      </w:tr>
      <w:tr w:rsidR="00C64CFF" w:rsidRPr="00731751" w:rsidTr="00526B99">
        <w:trPr>
          <w:trHeight w:val="288"/>
        </w:trPr>
        <w:tc>
          <w:tcPr>
            <w:tcW w:w="1530" w:type="dxa"/>
            <w:tcBorders>
              <w:top w:val="nil"/>
              <w:left w:val="single" w:sz="8" w:space="0" w:color="auto"/>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Secondary</w:t>
            </w:r>
          </w:p>
        </w:tc>
        <w:tc>
          <w:tcPr>
            <w:tcW w:w="1614"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Rural</w:t>
            </w:r>
          </w:p>
        </w:tc>
        <w:tc>
          <w:tcPr>
            <w:tcW w:w="1147"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3</w:t>
            </w:r>
          </w:p>
        </w:tc>
        <w:tc>
          <w:tcPr>
            <w:tcW w:w="4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13</w:t>
            </w:r>
          </w:p>
        </w:tc>
        <w:tc>
          <w:tcPr>
            <w:tcW w:w="4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6</w:t>
            </w:r>
          </w:p>
        </w:tc>
        <w:tc>
          <w:tcPr>
            <w:tcW w:w="4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5</w:t>
            </w:r>
          </w:p>
        </w:tc>
        <w:tc>
          <w:tcPr>
            <w:tcW w:w="1077" w:type="dxa"/>
            <w:tcBorders>
              <w:top w:val="nil"/>
              <w:left w:val="nil"/>
              <w:bottom w:val="nil"/>
              <w:right w:val="single" w:sz="8" w:space="0" w:color="auto"/>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7</w:t>
            </w:r>
          </w:p>
        </w:tc>
        <w:tc>
          <w:tcPr>
            <w:tcW w:w="9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p>
        </w:tc>
      </w:tr>
      <w:tr w:rsidR="00C64CFF" w:rsidRPr="00731751" w:rsidTr="00526B99">
        <w:trPr>
          <w:trHeight w:val="288"/>
        </w:trPr>
        <w:tc>
          <w:tcPr>
            <w:tcW w:w="1530" w:type="dxa"/>
            <w:tcBorders>
              <w:top w:val="nil"/>
              <w:left w:val="single" w:sz="8" w:space="0" w:color="auto"/>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 </w:t>
            </w:r>
          </w:p>
        </w:tc>
        <w:tc>
          <w:tcPr>
            <w:tcW w:w="1614"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Urban</w:t>
            </w:r>
          </w:p>
        </w:tc>
        <w:tc>
          <w:tcPr>
            <w:tcW w:w="1147"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16</w:t>
            </w:r>
          </w:p>
        </w:tc>
        <w:tc>
          <w:tcPr>
            <w:tcW w:w="4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29</w:t>
            </w:r>
          </w:p>
        </w:tc>
        <w:tc>
          <w:tcPr>
            <w:tcW w:w="4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32</w:t>
            </w:r>
          </w:p>
        </w:tc>
        <w:tc>
          <w:tcPr>
            <w:tcW w:w="4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30</w:t>
            </w:r>
          </w:p>
        </w:tc>
        <w:tc>
          <w:tcPr>
            <w:tcW w:w="1077" w:type="dxa"/>
            <w:tcBorders>
              <w:top w:val="nil"/>
              <w:left w:val="nil"/>
              <w:bottom w:val="nil"/>
              <w:right w:val="single" w:sz="8" w:space="0" w:color="auto"/>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31</w:t>
            </w:r>
          </w:p>
        </w:tc>
        <w:tc>
          <w:tcPr>
            <w:tcW w:w="9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p>
        </w:tc>
      </w:tr>
      <w:tr w:rsidR="00C64CFF" w:rsidRPr="00731751" w:rsidTr="00526B99">
        <w:trPr>
          <w:trHeight w:val="300"/>
        </w:trPr>
        <w:tc>
          <w:tcPr>
            <w:tcW w:w="1530" w:type="dxa"/>
            <w:tcBorders>
              <w:top w:val="nil"/>
              <w:left w:val="single" w:sz="8" w:space="0" w:color="auto"/>
              <w:bottom w:val="single" w:sz="8" w:space="0" w:color="auto"/>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 </w:t>
            </w:r>
          </w:p>
        </w:tc>
        <w:tc>
          <w:tcPr>
            <w:tcW w:w="1614" w:type="dxa"/>
            <w:tcBorders>
              <w:top w:val="nil"/>
              <w:left w:val="nil"/>
              <w:bottom w:val="single" w:sz="8" w:space="0" w:color="auto"/>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Kinshasa</w:t>
            </w:r>
          </w:p>
        </w:tc>
        <w:tc>
          <w:tcPr>
            <w:tcW w:w="1147" w:type="dxa"/>
            <w:tcBorders>
              <w:top w:val="nil"/>
              <w:left w:val="nil"/>
              <w:bottom w:val="single" w:sz="8" w:space="0" w:color="auto"/>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 </w:t>
            </w:r>
          </w:p>
        </w:tc>
        <w:tc>
          <w:tcPr>
            <w:tcW w:w="440" w:type="dxa"/>
            <w:tcBorders>
              <w:top w:val="nil"/>
              <w:left w:val="nil"/>
              <w:bottom w:val="single" w:sz="8" w:space="0" w:color="auto"/>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16</w:t>
            </w:r>
          </w:p>
        </w:tc>
        <w:tc>
          <w:tcPr>
            <w:tcW w:w="440" w:type="dxa"/>
            <w:tcBorders>
              <w:top w:val="nil"/>
              <w:left w:val="nil"/>
              <w:bottom w:val="single" w:sz="8" w:space="0" w:color="auto"/>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41</w:t>
            </w:r>
          </w:p>
        </w:tc>
        <w:tc>
          <w:tcPr>
            <w:tcW w:w="440" w:type="dxa"/>
            <w:tcBorders>
              <w:top w:val="nil"/>
              <w:left w:val="nil"/>
              <w:bottom w:val="single" w:sz="8" w:space="0" w:color="auto"/>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38</w:t>
            </w:r>
          </w:p>
        </w:tc>
        <w:tc>
          <w:tcPr>
            <w:tcW w:w="1077" w:type="dxa"/>
            <w:tcBorders>
              <w:top w:val="nil"/>
              <w:left w:val="nil"/>
              <w:bottom w:val="single" w:sz="8" w:space="0" w:color="auto"/>
              <w:right w:val="single" w:sz="8" w:space="0" w:color="auto"/>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28</w:t>
            </w:r>
          </w:p>
        </w:tc>
        <w:tc>
          <w:tcPr>
            <w:tcW w:w="9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p>
        </w:tc>
      </w:tr>
      <w:tr w:rsidR="00C64CFF" w:rsidRPr="00731751" w:rsidTr="00526B99">
        <w:trPr>
          <w:trHeight w:val="288"/>
        </w:trPr>
        <w:tc>
          <w:tcPr>
            <w:tcW w:w="1530" w:type="dxa"/>
            <w:tcBorders>
              <w:top w:val="single" w:sz="4" w:space="0" w:color="auto"/>
              <w:left w:val="single" w:sz="8" w:space="0" w:color="auto"/>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Higher</w:t>
            </w:r>
          </w:p>
        </w:tc>
        <w:tc>
          <w:tcPr>
            <w:tcW w:w="1614" w:type="dxa"/>
            <w:tcBorders>
              <w:top w:val="single" w:sz="4" w:space="0" w:color="auto"/>
              <w:left w:val="nil"/>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Rural</w:t>
            </w:r>
          </w:p>
        </w:tc>
        <w:tc>
          <w:tcPr>
            <w:tcW w:w="1147" w:type="dxa"/>
            <w:tcBorders>
              <w:top w:val="single" w:sz="4" w:space="0" w:color="auto"/>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 </w:t>
            </w:r>
          </w:p>
        </w:tc>
        <w:tc>
          <w:tcPr>
            <w:tcW w:w="440" w:type="dxa"/>
            <w:tcBorders>
              <w:top w:val="single" w:sz="4" w:space="0" w:color="auto"/>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 </w:t>
            </w:r>
          </w:p>
        </w:tc>
        <w:tc>
          <w:tcPr>
            <w:tcW w:w="440" w:type="dxa"/>
            <w:tcBorders>
              <w:top w:val="single" w:sz="4" w:space="0" w:color="auto"/>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 </w:t>
            </w:r>
          </w:p>
        </w:tc>
        <w:tc>
          <w:tcPr>
            <w:tcW w:w="440" w:type="dxa"/>
            <w:tcBorders>
              <w:top w:val="single" w:sz="4" w:space="0" w:color="auto"/>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 </w:t>
            </w:r>
          </w:p>
        </w:tc>
        <w:tc>
          <w:tcPr>
            <w:tcW w:w="1077" w:type="dxa"/>
            <w:tcBorders>
              <w:top w:val="single" w:sz="4" w:space="0" w:color="auto"/>
              <w:left w:val="nil"/>
              <w:bottom w:val="nil"/>
              <w:right w:val="single" w:sz="8" w:space="0" w:color="auto"/>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 </w:t>
            </w:r>
          </w:p>
        </w:tc>
        <w:tc>
          <w:tcPr>
            <w:tcW w:w="9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p>
        </w:tc>
      </w:tr>
      <w:tr w:rsidR="00C64CFF" w:rsidRPr="00731751" w:rsidTr="00526B99">
        <w:trPr>
          <w:trHeight w:val="288"/>
        </w:trPr>
        <w:tc>
          <w:tcPr>
            <w:tcW w:w="1530" w:type="dxa"/>
            <w:tcBorders>
              <w:top w:val="nil"/>
              <w:left w:val="single" w:sz="8" w:space="0" w:color="auto"/>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 </w:t>
            </w:r>
          </w:p>
        </w:tc>
        <w:tc>
          <w:tcPr>
            <w:tcW w:w="1614"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Urban</w:t>
            </w:r>
          </w:p>
        </w:tc>
        <w:tc>
          <w:tcPr>
            <w:tcW w:w="1147"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7</w:t>
            </w:r>
          </w:p>
        </w:tc>
        <w:tc>
          <w:tcPr>
            <w:tcW w:w="4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33</w:t>
            </w:r>
          </w:p>
        </w:tc>
        <w:tc>
          <w:tcPr>
            <w:tcW w:w="4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22</w:t>
            </w:r>
          </w:p>
        </w:tc>
        <w:tc>
          <w:tcPr>
            <w:tcW w:w="4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18</w:t>
            </w:r>
          </w:p>
        </w:tc>
        <w:tc>
          <w:tcPr>
            <w:tcW w:w="1077" w:type="dxa"/>
            <w:tcBorders>
              <w:top w:val="nil"/>
              <w:left w:val="nil"/>
              <w:bottom w:val="nil"/>
              <w:right w:val="single" w:sz="8" w:space="0" w:color="auto"/>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21</w:t>
            </w:r>
          </w:p>
        </w:tc>
        <w:tc>
          <w:tcPr>
            <w:tcW w:w="9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p>
        </w:tc>
      </w:tr>
      <w:tr w:rsidR="00C64CFF" w:rsidRPr="00731751" w:rsidTr="00526B99">
        <w:trPr>
          <w:trHeight w:val="300"/>
        </w:trPr>
        <w:tc>
          <w:tcPr>
            <w:tcW w:w="1530" w:type="dxa"/>
            <w:tcBorders>
              <w:top w:val="nil"/>
              <w:left w:val="single" w:sz="8" w:space="0" w:color="auto"/>
              <w:bottom w:val="single" w:sz="8" w:space="0" w:color="auto"/>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 </w:t>
            </w:r>
          </w:p>
        </w:tc>
        <w:tc>
          <w:tcPr>
            <w:tcW w:w="1614" w:type="dxa"/>
            <w:tcBorders>
              <w:top w:val="nil"/>
              <w:left w:val="nil"/>
              <w:bottom w:val="single" w:sz="8" w:space="0" w:color="auto"/>
              <w:right w:val="nil"/>
            </w:tcBorders>
            <w:shd w:val="clear" w:color="auto" w:fill="auto"/>
            <w:noWrap/>
            <w:vAlign w:val="bottom"/>
            <w:hideMark/>
          </w:tcPr>
          <w:p w:rsidR="00C64CFF" w:rsidRPr="00731751" w:rsidRDefault="00C64CFF" w:rsidP="00C64CFF">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Kinshasa</w:t>
            </w:r>
          </w:p>
        </w:tc>
        <w:tc>
          <w:tcPr>
            <w:tcW w:w="1147" w:type="dxa"/>
            <w:tcBorders>
              <w:top w:val="nil"/>
              <w:left w:val="nil"/>
              <w:bottom w:val="single" w:sz="8" w:space="0" w:color="auto"/>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 </w:t>
            </w:r>
          </w:p>
        </w:tc>
        <w:tc>
          <w:tcPr>
            <w:tcW w:w="440" w:type="dxa"/>
            <w:tcBorders>
              <w:top w:val="nil"/>
              <w:left w:val="nil"/>
              <w:bottom w:val="single" w:sz="8" w:space="0" w:color="auto"/>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 </w:t>
            </w:r>
          </w:p>
        </w:tc>
        <w:tc>
          <w:tcPr>
            <w:tcW w:w="440" w:type="dxa"/>
            <w:tcBorders>
              <w:top w:val="nil"/>
              <w:left w:val="nil"/>
              <w:bottom w:val="single" w:sz="8" w:space="0" w:color="auto"/>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 </w:t>
            </w:r>
          </w:p>
        </w:tc>
        <w:tc>
          <w:tcPr>
            <w:tcW w:w="440" w:type="dxa"/>
            <w:tcBorders>
              <w:top w:val="nil"/>
              <w:left w:val="nil"/>
              <w:bottom w:val="single" w:sz="8" w:space="0" w:color="auto"/>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8</w:t>
            </w:r>
          </w:p>
        </w:tc>
        <w:tc>
          <w:tcPr>
            <w:tcW w:w="1077" w:type="dxa"/>
            <w:tcBorders>
              <w:top w:val="nil"/>
              <w:left w:val="nil"/>
              <w:bottom w:val="single" w:sz="8" w:space="0" w:color="auto"/>
              <w:right w:val="single" w:sz="8" w:space="0" w:color="auto"/>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20</w:t>
            </w:r>
          </w:p>
        </w:tc>
        <w:tc>
          <w:tcPr>
            <w:tcW w:w="940" w:type="dxa"/>
            <w:tcBorders>
              <w:top w:val="nil"/>
              <w:left w:val="nil"/>
              <w:bottom w:val="nil"/>
              <w:right w:val="nil"/>
            </w:tcBorders>
            <w:shd w:val="clear" w:color="auto" w:fill="auto"/>
            <w:noWrap/>
            <w:vAlign w:val="bottom"/>
            <w:hideMark/>
          </w:tcPr>
          <w:p w:rsidR="00C64CFF" w:rsidRPr="00731751" w:rsidRDefault="00C64CFF" w:rsidP="00C64CFF">
            <w:pPr>
              <w:spacing w:after="0" w:line="240" w:lineRule="auto"/>
              <w:jc w:val="center"/>
              <w:rPr>
                <w:rFonts w:ascii="Times New Roman" w:eastAsia="Times New Roman" w:hAnsi="Times New Roman" w:cs="Times New Roman"/>
                <w:color w:val="000000"/>
                <w:lang w:eastAsia="en-GB"/>
              </w:rPr>
            </w:pPr>
          </w:p>
        </w:tc>
      </w:tr>
    </w:tbl>
    <w:p w:rsidR="00130996" w:rsidRDefault="00130996"/>
    <w:tbl>
      <w:tblPr>
        <w:tblpPr w:leftFromText="180" w:rightFromText="180" w:vertAnchor="text" w:tblpY="1"/>
        <w:tblOverlap w:val="never"/>
        <w:tblW w:w="7628" w:type="dxa"/>
        <w:tblLook w:val="04A0" w:firstRow="1" w:lastRow="0" w:firstColumn="1" w:lastColumn="0" w:noHBand="0" w:noVBand="1"/>
      </w:tblPr>
      <w:tblGrid>
        <w:gridCol w:w="1530"/>
        <w:gridCol w:w="1614"/>
        <w:gridCol w:w="1147"/>
        <w:gridCol w:w="440"/>
        <w:gridCol w:w="440"/>
        <w:gridCol w:w="440"/>
        <w:gridCol w:w="1077"/>
        <w:gridCol w:w="940"/>
      </w:tblGrid>
      <w:tr w:rsidR="00220974" w:rsidRPr="00731751" w:rsidTr="009F7046">
        <w:trPr>
          <w:trHeight w:val="300"/>
        </w:trPr>
        <w:tc>
          <w:tcPr>
            <w:tcW w:w="3144" w:type="dxa"/>
            <w:gridSpan w:val="2"/>
            <w:tcBorders>
              <w:top w:val="nil"/>
              <w:left w:val="nil"/>
              <w:bottom w:val="nil"/>
              <w:right w:val="nil"/>
            </w:tcBorders>
            <w:shd w:val="clear" w:color="auto" w:fill="auto"/>
            <w:noWrap/>
            <w:vAlign w:val="bottom"/>
            <w:hideMark/>
          </w:tcPr>
          <w:p w:rsidR="00220974" w:rsidRPr="00731751" w:rsidRDefault="00220974" w:rsidP="00220974">
            <w:pPr>
              <w:spacing w:after="0" w:line="240" w:lineRule="auto"/>
              <w:rPr>
                <w:rFonts w:ascii="Times New Roman" w:eastAsia="Times New Roman" w:hAnsi="Times New Roman" w:cs="Times New Roman"/>
                <w:b/>
                <w:bCs/>
                <w:color w:val="000000"/>
                <w:lang w:eastAsia="en-GB"/>
              </w:rPr>
            </w:pPr>
            <w:r w:rsidRPr="00731751">
              <w:rPr>
                <w:rFonts w:ascii="Times New Roman" w:eastAsia="Times New Roman" w:hAnsi="Times New Roman" w:cs="Times New Roman"/>
                <w:b/>
                <w:bCs/>
                <w:color w:val="000000"/>
                <w:lang w:eastAsia="en-GB"/>
              </w:rPr>
              <w:t>MADAGASCAR</w:t>
            </w:r>
          </w:p>
        </w:tc>
        <w:tc>
          <w:tcPr>
            <w:tcW w:w="1147" w:type="dxa"/>
            <w:tcBorders>
              <w:top w:val="nil"/>
              <w:left w:val="nil"/>
              <w:bottom w:val="nil"/>
              <w:right w:val="nil"/>
            </w:tcBorders>
            <w:shd w:val="clear" w:color="auto" w:fill="auto"/>
            <w:noWrap/>
            <w:vAlign w:val="bottom"/>
            <w:hideMark/>
          </w:tcPr>
          <w:p w:rsidR="00220974" w:rsidRPr="00731751" w:rsidRDefault="00220974" w:rsidP="00220974">
            <w:pPr>
              <w:spacing w:after="0" w:line="240" w:lineRule="auto"/>
              <w:rPr>
                <w:rFonts w:ascii="Times New Roman" w:eastAsia="Times New Roman" w:hAnsi="Times New Roman" w:cs="Times New Roman"/>
                <w:b/>
                <w:bCs/>
                <w:color w:val="000000"/>
                <w:lang w:eastAsia="en-GB"/>
              </w:rPr>
            </w:pPr>
          </w:p>
        </w:tc>
        <w:tc>
          <w:tcPr>
            <w:tcW w:w="440" w:type="dxa"/>
            <w:tcBorders>
              <w:top w:val="nil"/>
              <w:left w:val="nil"/>
              <w:bottom w:val="nil"/>
              <w:right w:val="nil"/>
            </w:tcBorders>
            <w:shd w:val="clear" w:color="auto" w:fill="auto"/>
            <w:noWrap/>
            <w:vAlign w:val="bottom"/>
            <w:hideMark/>
          </w:tcPr>
          <w:p w:rsidR="00220974" w:rsidRPr="00731751" w:rsidRDefault="00220974" w:rsidP="00220974">
            <w:pPr>
              <w:spacing w:after="0" w:line="240" w:lineRule="auto"/>
              <w:rPr>
                <w:rFonts w:ascii="Times New Roman" w:eastAsia="Times New Roman" w:hAnsi="Times New Roman" w:cs="Times New Roman"/>
                <w:sz w:val="20"/>
                <w:szCs w:val="20"/>
                <w:lang w:eastAsia="en-GB"/>
              </w:rPr>
            </w:pPr>
          </w:p>
        </w:tc>
        <w:tc>
          <w:tcPr>
            <w:tcW w:w="440" w:type="dxa"/>
            <w:tcBorders>
              <w:top w:val="nil"/>
              <w:left w:val="nil"/>
              <w:bottom w:val="nil"/>
              <w:right w:val="nil"/>
            </w:tcBorders>
            <w:shd w:val="clear" w:color="auto" w:fill="auto"/>
            <w:noWrap/>
            <w:vAlign w:val="bottom"/>
            <w:hideMark/>
          </w:tcPr>
          <w:p w:rsidR="00220974" w:rsidRPr="00731751" w:rsidRDefault="00220974" w:rsidP="00220974">
            <w:pPr>
              <w:spacing w:after="0" w:line="240" w:lineRule="auto"/>
              <w:rPr>
                <w:rFonts w:ascii="Times New Roman" w:eastAsia="Times New Roman" w:hAnsi="Times New Roman" w:cs="Times New Roman"/>
                <w:sz w:val="20"/>
                <w:szCs w:val="20"/>
                <w:lang w:eastAsia="en-GB"/>
              </w:rPr>
            </w:pPr>
          </w:p>
        </w:tc>
        <w:tc>
          <w:tcPr>
            <w:tcW w:w="440" w:type="dxa"/>
            <w:tcBorders>
              <w:top w:val="nil"/>
              <w:left w:val="nil"/>
              <w:bottom w:val="nil"/>
              <w:right w:val="nil"/>
            </w:tcBorders>
            <w:shd w:val="clear" w:color="auto" w:fill="auto"/>
            <w:noWrap/>
            <w:vAlign w:val="bottom"/>
            <w:hideMark/>
          </w:tcPr>
          <w:p w:rsidR="00220974" w:rsidRPr="00731751" w:rsidRDefault="00220974" w:rsidP="00220974">
            <w:pPr>
              <w:spacing w:after="0" w:line="240" w:lineRule="auto"/>
              <w:rPr>
                <w:rFonts w:ascii="Times New Roman" w:eastAsia="Times New Roman" w:hAnsi="Times New Roman" w:cs="Times New Roman"/>
                <w:sz w:val="20"/>
                <w:szCs w:val="20"/>
                <w:lang w:eastAsia="en-GB"/>
              </w:rPr>
            </w:pPr>
          </w:p>
        </w:tc>
        <w:tc>
          <w:tcPr>
            <w:tcW w:w="1077" w:type="dxa"/>
            <w:tcBorders>
              <w:top w:val="nil"/>
              <w:left w:val="nil"/>
              <w:bottom w:val="nil"/>
              <w:right w:val="nil"/>
            </w:tcBorders>
            <w:shd w:val="clear" w:color="auto" w:fill="auto"/>
            <w:noWrap/>
            <w:vAlign w:val="bottom"/>
            <w:hideMark/>
          </w:tcPr>
          <w:p w:rsidR="00220974" w:rsidRPr="00731751" w:rsidRDefault="00220974" w:rsidP="00220974">
            <w:pPr>
              <w:spacing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rsidR="00220974" w:rsidRPr="00731751" w:rsidRDefault="00220974" w:rsidP="00220974">
            <w:pPr>
              <w:spacing w:after="0" w:line="240" w:lineRule="auto"/>
              <w:rPr>
                <w:rFonts w:ascii="Times New Roman" w:eastAsia="Times New Roman" w:hAnsi="Times New Roman" w:cs="Times New Roman"/>
                <w:sz w:val="20"/>
                <w:szCs w:val="20"/>
                <w:lang w:eastAsia="en-GB"/>
              </w:rPr>
            </w:pPr>
          </w:p>
        </w:tc>
      </w:tr>
      <w:tr w:rsidR="00220974" w:rsidRPr="00731751" w:rsidTr="009F7046">
        <w:trPr>
          <w:trHeight w:val="288"/>
        </w:trPr>
        <w:tc>
          <w:tcPr>
            <w:tcW w:w="1530" w:type="dxa"/>
            <w:tcBorders>
              <w:top w:val="single" w:sz="8" w:space="0" w:color="auto"/>
              <w:left w:val="single" w:sz="8" w:space="0" w:color="auto"/>
              <w:bottom w:val="nil"/>
              <w:right w:val="nil"/>
            </w:tcBorders>
            <w:shd w:val="clear" w:color="auto" w:fill="auto"/>
            <w:noWrap/>
            <w:vAlign w:val="bottom"/>
            <w:hideMark/>
          </w:tcPr>
          <w:p w:rsidR="00220974" w:rsidRPr="00731751" w:rsidRDefault="00220974" w:rsidP="00220974">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 </w:t>
            </w:r>
          </w:p>
        </w:tc>
        <w:tc>
          <w:tcPr>
            <w:tcW w:w="1614" w:type="dxa"/>
            <w:tcBorders>
              <w:top w:val="single" w:sz="8" w:space="0" w:color="auto"/>
              <w:left w:val="nil"/>
              <w:bottom w:val="nil"/>
              <w:right w:val="nil"/>
            </w:tcBorders>
            <w:shd w:val="clear" w:color="auto" w:fill="auto"/>
            <w:noWrap/>
            <w:vAlign w:val="bottom"/>
            <w:hideMark/>
          </w:tcPr>
          <w:p w:rsidR="00220974" w:rsidRPr="00731751" w:rsidRDefault="00220974" w:rsidP="00220974">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Location</w:t>
            </w:r>
          </w:p>
        </w:tc>
        <w:tc>
          <w:tcPr>
            <w:tcW w:w="1147" w:type="dxa"/>
            <w:tcBorders>
              <w:top w:val="single" w:sz="8" w:space="0" w:color="auto"/>
              <w:left w:val="nil"/>
              <w:bottom w:val="nil"/>
              <w:right w:val="nil"/>
            </w:tcBorders>
            <w:shd w:val="clear" w:color="auto" w:fill="auto"/>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Poorest</w:t>
            </w:r>
          </w:p>
        </w:tc>
        <w:tc>
          <w:tcPr>
            <w:tcW w:w="440" w:type="dxa"/>
            <w:tcBorders>
              <w:top w:val="single" w:sz="8" w:space="0" w:color="auto"/>
              <w:left w:val="nil"/>
              <w:bottom w:val="nil"/>
              <w:right w:val="nil"/>
            </w:tcBorders>
            <w:shd w:val="clear" w:color="auto" w:fill="auto"/>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2</w:t>
            </w:r>
          </w:p>
        </w:tc>
        <w:tc>
          <w:tcPr>
            <w:tcW w:w="440" w:type="dxa"/>
            <w:tcBorders>
              <w:top w:val="single" w:sz="8" w:space="0" w:color="auto"/>
              <w:left w:val="nil"/>
              <w:bottom w:val="nil"/>
              <w:right w:val="nil"/>
            </w:tcBorders>
            <w:shd w:val="clear" w:color="auto" w:fill="auto"/>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3</w:t>
            </w:r>
          </w:p>
        </w:tc>
        <w:tc>
          <w:tcPr>
            <w:tcW w:w="440" w:type="dxa"/>
            <w:tcBorders>
              <w:top w:val="single" w:sz="8" w:space="0" w:color="auto"/>
              <w:left w:val="nil"/>
              <w:bottom w:val="nil"/>
              <w:right w:val="nil"/>
            </w:tcBorders>
            <w:shd w:val="clear" w:color="auto" w:fill="auto"/>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4</w:t>
            </w:r>
          </w:p>
        </w:tc>
        <w:tc>
          <w:tcPr>
            <w:tcW w:w="1077" w:type="dxa"/>
            <w:tcBorders>
              <w:top w:val="single" w:sz="8" w:space="0" w:color="auto"/>
              <w:left w:val="nil"/>
              <w:bottom w:val="nil"/>
              <w:right w:val="single" w:sz="8" w:space="0" w:color="auto"/>
            </w:tcBorders>
            <w:shd w:val="clear" w:color="auto" w:fill="auto"/>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Richest</w:t>
            </w:r>
          </w:p>
        </w:tc>
        <w:tc>
          <w:tcPr>
            <w:tcW w:w="940" w:type="dxa"/>
            <w:tcBorders>
              <w:top w:val="nil"/>
              <w:left w:val="nil"/>
              <w:bottom w:val="nil"/>
              <w:right w:val="nil"/>
            </w:tcBorders>
            <w:shd w:val="clear" w:color="auto" w:fill="auto"/>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p>
        </w:tc>
      </w:tr>
      <w:tr w:rsidR="00220974" w:rsidRPr="00731751" w:rsidTr="009F7046">
        <w:trPr>
          <w:trHeight w:val="288"/>
        </w:trPr>
        <w:tc>
          <w:tcPr>
            <w:tcW w:w="1530" w:type="dxa"/>
            <w:tcBorders>
              <w:top w:val="single" w:sz="4" w:space="0" w:color="auto"/>
              <w:left w:val="single" w:sz="8" w:space="0" w:color="auto"/>
              <w:bottom w:val="nil"/>
              <w:right w:val="nil"/>
            </w:tcBorders>
            <w:shd w:val="clear" w:color="auto" w:fill="auto"/>
            <w:noWrap/>
            <w:vAlign w:val="bottom"/>
            <w:hideMark/>
          </w:tcPr>
          <w:p w:rsidR="00220974" w:rsidRPr="00731751" w:rsidRDefault="00220974" w:rsidP="00220974">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Primary</w:t>
            </w:r>
          </w:p>
        </w:tc>
        <w:tc>
          <w:tcPr>
            <w:tcW w:w="1614" w:type="dxa"/>
            <w:tcBorders>
              <w:top w:val="single" w:sz="4" w:space="0" w:color="auto"/>
              <w:left w:val="nil"/>
              <w:bottom w:val="nil"/>
              <w:right w:val="nil"/>
            </w:tcBorders>
            <w:shd w:val="clear" w:color="auto" w:fill="auto"/>
            <w:noWrap/>
            <w:vAlign w:val="bottom"/>
            <w:hideMark/>
          </w:tcPr>
          <w:p w:rsidR="00220974" w:rsidRPr="00731751" w:rsidRDefault="00220974" w:rsidP="00220974">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Rural</w:t>
            </w:r>
          </w:p>
        </w:tc>
        <w:tc>
          <w:tcPr>
            <w:tcW w:w="1147" w:type="dxa"/>
            <w:tcBorders>
              <w:top w:val="single" w:sz="4" w:space="0" w:color="auto"/>
              <w:left w:val="nil"/>
              <w:bottom w:val="nil"/>
              <w:right w:val="nil"/>
            </w:tcBorders>
            <w:shd w:val="clear" w:color="auto" w:fill="auto"/>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4</w:t>
            </w:r>
          </w:p>
        </w:tc>
        <w:tc>
          <w:tcPr>
            <w:tcW w:w="440" w:type="dxa"/>
            <w:tcBorders>
              <w:top w:val="single" w:sz="4" w:space="0" w:color="auto"/>
              <w:left w:val="nil"/>
              <w:bottom w:val="nil"/>
              <w:right w:val="nil"/>
            </w:tcBorders>
            <w:shd w:val="clear" w:color="auto" w:fill="auto"/>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10</w:t>
            </w:r>
          </w:p>
        </w:tc>
        <w:tc>
          <w:tcPr>
            <w:tcW w:w="440" w:type="dxa"/>
            <w:tcBorders>
              <w:top w:val="single" w:sz="4" w:space="0" w:color="auto"/>
              <w:left w:val="nil"/>
              <w:bottom w:val="nil"/>
              <w:right w:val="nil"/>
            </w:tcBorders>
            <w:shd w:val="clear" w:color="auto" w:fill="auto"/>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12</w:t>
            </w:r>
          </w:p>
        </w:tc>
        <w:tc>
          <w:tcPr>
            <w:tcW w:w="440" w:type="dxa"/>
            <w:tcBorders>
              <w:top w:val="single" w:sz="4" w:space="0" w:color="auto"/>
              <w:left w:val="nil"/>
              <w:bottom w:val="nil"/>
              <w:right w:val="nil"/>
            </w:tcBorders>
            <w:shd w:val="clear" w:color="auto" w:fill="auto"/>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20</w:t>
            </w:r>
          </w:p>
        </w:tc>
        <w:tc>
          <w:tcPr>
            <w:tcW w:w="1077" w:type="dxa"/>
            <w:tcBorders>
              <w:top w:val="single" w:sz="4" w:space="0" w:color="auto"/>
              <w:left w:val="nil"/>
              <w:bottom w:val="nil"/>
              <w:right w:val="single" w:sz="8" w:space="0" w:color="auto"/>
            </w:tcBorders>
            <w:shd w:val="clear" w:color="auto" w:fill="auto"/>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33</w:t>
            </w:r>
          </w:p>
        </w:tc>
        <w:tc>
          <w:tcPr>
            <w:tcW w:w="940" w:type="dxa"/>
            <w:tcBorders>
              <w:top w:val="nil"/>
              <w:left w:val="nil"/>
              <w:bottom w:val="nil"/>
              <w:right w:val="nil"/>
            </w:tcBorders>
            <w:shd w:val="clear" w:color="auto" w:fill="auto"/>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p>
        </w:tc>
      </w:tr>
      <w:tr w:rsidR="00220974" w:rsidRPr="00731751" w:rsidTr="009F7046">
        <w:trPr>
          <w:trHeight w:val="288"/>
        </w:trPr>
        <w:tc>
          <w:tcPr>
            <w:tcW w:w="1530" w:type="dxa"/>
            <w:tcBorders>
              <w:top w:val="nil"/>
              <w:left w:val="single" w:sz="8" w:space="0" w:color="auto"/>
              <w:bottom w:val="nil"/>
              <w:right w:val="nil"/>
            </w:tcBorders>
            <w:shd w:val="clear" w:color="auto" w:fill="auto"/>
            <w:noWrap/>
            <w:vAlign w:val="bottom"/>
            <w:hideMark/>
          </w:tcPr>
          <w:p w:rsidR="00220974" w:rsidRPr="00731751" w:rsidRDefault="00220974" w:rsidP="00220974">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 </w:t>
            </w:r>
          </w:p>
        </w:tc>
        <w:tc>
          <w:tcPr>
            <w:tcW w:w="1614" w:type="dxa"/>
            <w:tcBorders>
              <w:top w:val="nil"/>
              <w:left w:val="nil"/>
              <w:bottom w:val="nil"/>
              <w:right w:val="nil"/>
            </w:tcBorders>
            <w:shd w:val="clear" w:color="auto" w:fill="auto"/>
            <w:noWrap/>
            <w:vAlign w:val="bottom"/>
            <w:hideMark/>
          </w:tcPr>
          <w:p w:rsidR="00220974" w:rsidRPr="00731751" w:rsidRDefault="00220974" w:rsidP="00220974">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Urban</w:t>
            </w:r>
          </w:p>
        </w:tc>
        <w:tc>
          <w:tcPr>
            <w:tcW w:w="1147" w:type="dxa"/>
            <w:tcBorders>
              <w:top w:val="nil"/>
              <w:left w:val="nil"/>
              <w:bottom w:val="nil"/>
              <w:right w:val="nil"/>
            </w:tcBorders>
            <w:shd w:val="clear" w:color="auto" w:fill="auto"/>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7</w:t>
            </w:r>
          </w:p>
        </w:tc>
        <w:tc>
          <w:tcPr>
            <w:tcW w:w="440" w:type="dxa"/>
            <w:tcBorders>
              <w:top w:val="nil"/>
              <w:left w:val="nil"/>
              <w:bottom w:val="nil"/>
              <w:right w:val="nil"/>
            </w:tcBorders>
            <w:shd w:val="clear" w:color="auto" w:fill="auto"/>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22</w:t>
            </w:r>
          </w:p>
        </w:tc>
        <w:tc>
          <w:tcPr>
            <w:tcW w:w="440" w:type="dxa"/>
            <w:tcBorders>
              <w:top w:val="nil"/>
              <w:left w:val="nil"/>
              <w:bottom w:val="nil"/>
              <w:right w:val="nil"/>
            </w:tcBorders>
            <w:shd w:val="clear" w:color="auto" w:fill="auto"/>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36</w:t>
            </w:r>
          </w:p>
        </w:tc>
        <w:tc>
          <w:tcPr>
            <w:tcW w:w="440" w:type="dxa"/>
            <w:tcBorders>
              <w:top w:val="nil"/>
              <w:left w:val="nil"/>
              <w:bottom w:val="nil"/>
              <w:right w:val="nil"/>
            </w:tcBorders>
            <w:shd w:val="clear" w:color="auto" w:fill="auto"/>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55</w:t>
            </w:r>
          </w:p>
        </w:tc>
        <w:tc>
          <w:tcPr>
            <w:tcW w:w="1077" w:type="dxa"/>
            <w:tcBorders>
              <w:top w:val="nil"/>
              <w:left w:val="nil"/>
              <w:bottom w:val="nil"/>
              <w:right w:val="single" w:sz="8" w:space="0" w:color="auto"/>
            </w:tcBorders>
            <w:shd w:val="clear" w:color="auto" w:fill="auto"/>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79</w:t>
            </w:r>
          </w:p>
        </w:tc>
        <w:tc>
          <w:tcPr>
            <w:tcW w:w="940" w:type="dxa"/>
            <w:tcBorders>
              <w:top w:val="nil"/>
              <w:left w:val="nil"/>
              <w:bottom w:val="nil"/>
              <w:right w:val="nil"/>
            </w:tcBorders>
            <w:shd w:val="clear" w:color="auto" w:fill="auto"/>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p>
        </w:tc>
      </w:tr>
      <w:tr w:rsidR="00220974" w:rsidRPr="00731751" w:rsidTr="009F7046">
        <w:trPr>
          <w:trHeight w:val="288"/>
        </w:trPr>
        <w:tc>
          <w:tcPr>
            <w:tcW w:w="1530" w:type="dxa"/>
            <w:tcBorders>
              <w:top w:val="nil"/>
              <w:left w:val="single" w:sz="8" w:space="0" w:color="auto"/>
              <w:bottom w:val="nil"/>
              <w:right w:val="nil"/>
            </w:tcBorders>
            <w:shd w:val="clear" w:color="auto" w:fill="auto"/>
            <w:noWrap/>
            <w:vAlign w:val="bottom"/>
            <w:hideMark/>
          </w:tcPr>
          <w:p w:rsidR="00220974" w:rsidRPr="00731751" w:rsidRDefault="00220974" w:rsidP="00220974">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 </w:t>
            </w:r>
          </w:p>
        </w:tc>
        <w:tc>
          <w:tcPr>
            <w:tcW w:w="1614" w:type="dxa"/>
            <w:tcBorders>
              <w:top w:val="nil"/>
              <w:left w:val="nil"/>
              <w:bottom w:val="nil"/>
              <w:right w:val="nil"/>
            </w:tcBorders>
            <w:shd w:val="clear" w:color="auto" w:fill="auto"/>
            <w:noWrap/>
            <w:vAlign w:val="bottom"/>
            <w:hideMark/>
          </w:tcPr>
          <w:p w:rsidR="00220974" w:rsidRPr="00731751" w:rsidRDefault="00220974" w:rsidP="00220974">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Antanarivo</w:t>
            </w:r>
          </w:p>
        </w:tc>
        <w:tc>
          <w:tcPr>
            <w:tcW w:w="1147" w:type="dxa"/>
            <w:tcBorders>
              <w:top w:val="nil"/>
              <w:left w:val="nil"/>
              <w:bottom w:val="nil"/>
              <w:right w:val="nil"/>
            </w:tcBorders>
            <w:shd w:val="clear" w:color="auto" w:fill="auto"/>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12</w:t>
            </w:r>
          </w:p>
        </w:tc>
        <w:tc>
          <w:tcPr>
            <w:tcW w:w="440" w:type="dxa"/>
            <w:tcBorders>
              <w:top w:val="nil"/>
              <w:left w:val="nil"/>
              <w:bottom w:val="nil"/>
              <w:right w:val="nil"/>
            </w:tcBorders>
            <w:shd w:val="clear" w:color="auto" w:fill="auto"/>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25</w:t>
            </w:r>
          </w:p>
        </w:tc>
        <w:tc>
          <w:tcPr>
            <w:tcW w:w="440" w:type="dxa"/>
            <w:tcBorders>
              <w:top w:val="nil"/>
              <w:left w:val="nil"/>
              <w:bottom w:val="nil"/>
              <w:right w:val="nil"/>
            </w:tcBorders>
            <w:shd w:val="clear" w:color="auto" w:fill="auto"/>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33</w:t>
            </w:r>
          </w:p>
        </w:tc>
        <w:tc>
          <w:tcPr>
            <w:tcW w:w="440" w:type="dxa"/>
            <w:tcBorders>
              <w:top w:val="nil"/>
              <w:left w:val="nil"/>
              <w:bottom w:val="nil"/>
              <w:right w:val="nil"/>
            </w:tcBorders>
            <w:shd w:val="clear" w:color="auto" w:fill="auto"/>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60</w:t>
            </w:r>
          </w:p>
        </w:tc>
        <w:tc>
          <w:tcPr>
            <w:tcW w:w="1077" w:type="dxa"/>
            <w:tcBorders>
              <w:top w:val="nil"/>
              <w:left w:val="nil"/>
              <w:bottom w:val="nil"/>
              <w:right w:val="single" w:sz="8" w:space="0" w:color="auto"/>
            </w:tcBorders>
            <w:shd w:val="clear" w:color="auto" w:fill="auto"/>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84</w:t>
            </w:r>
          </w:p>
        </w:tc>
        <w:tc>
          <w:tcPr>
            <w:tcW w:w="940" w:type="dxa"/>
            <w:tcBorders>
              <w:top w:val="nil"/>
              <w:left w:val="nil"/>
              <w:bottom w:val="nil"/>
              <w:right w:val="nil"/>
            </w:tcBorders>
            <w:shd w:val="clear" w:color="auto" w:fill="auto"/>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p>
        </w:tc>
      </w:tr>
      <w:tr w:rsidR="00220974" w:rsidRPr="00731751" w:rsidTr="009F7046">
        <w:trPr>
          <w:trHeight w:val="288"/>
        </w:trPr>
        <w:tc>
          <w:tcPr>
            <w:tcW w:w="1530" w:type="dxa"/>
            <w:tcBorders>
              <w:top w:val="single" w:sz="4" w:space="0" w:color="auto"/>
              <w:left w:val="single" w:sz="8" w:space="0" w:color="auto"/>
              <w:bottom w:val="nil"/>
              <w:right w:val="nil"/>
            </w:tcBorders>
            <w:shd w:val="clear" w:color="000000" w:fill="C6E0B4"/>
            <w:noWrap/>
            <w:vAlign w:val="bottom"/>
            <w:hideMark/>
          </w:tcPr>
          <w:p w:rsidR="00220974" w:rsidRPr="00731751" w:rsidRDefault="00220974" w:rsidP="00220974">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Secondary</w:t>
            </w:r>
          </w:p>
        </w:tc>
        <w:tc>
          <w:tcPr>
            <w:tcW w:w="1614" w:type="dxa"/>
            <w:tcBorders>
              <w:top w:val="single" w:sz="4" w:space="0" w:color="auto"/>
              <w:left w:val="nil"/>
              <w:bottom w:val="nil"/>
              <w:right w:val="nil"/>
            </w:tcBorders>
            <w:shd w:val="clear" w:color="000000" w:fill="C6E0B4"/>
            <w:noWrap/>
            <w:vAlign w:val="bottom"/>
            <w:hideMark/>
          </w:tcPr>
          <w:p w:rsidR="00220974" w:rsidRPr="00731751" w:rsidRDefault="00220974" w:rsidP="00220974">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Rural</w:t>
            </w:r>
          </w:p>
        </w:tc>
        <w:tc>
          <w:tcPr>
            <w:tcW w:w="1147" w:type="dxa"/>
            <w:tcBorders>
              <w:top w:val="single" w:sz="4" w:space="0" w:color="auto"/>
              <w:left w:val="nil"/>
              <w:bottom w:val="nil"/>
              <w:right w:val="nil"/>
            </w:tcBorders>
            <w:shd w:val="clear" w:color="000000" w:fill="C6E0B4"/>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7</w:t>
            </w:r>
          </w:p>
        </w:tc>
        <w:tc>
          <w:tcPr>
            <w:tcW w:w="440" w:type="dxa"/>
            <w:tcBorders>
              <w:top w:val="single" w:sz="4" w:space="0" w:color="auto"/>
              <w:left w:val="nil"/>
              <w:bottom w:val="nil"/>
              <w:right w:val="nil"/>
            </w:tcBorders>
            <w:shd w:val="clear" w:color="000000" w:fill="C6E0B4"/>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13</w:t>
            </w:r>
          </w:p>
        </w:tc>
        <w:tc>
          <w:tcPr>
            <w:tcW w:w="440" w:type="dxa"/>
            <w:tcBorders>
              <w:top w:val="single" w:sz="4" w:space="0" w:color="auto"/>
              <w:left w:val="nil"/>
              <w:bottom w:val="nil"/>
              <w:right w:val="nil"/>
            </w:tcBorders>
            <w:shd w:val="clear" w:color="000000" w:fill="C6E0B4"/>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19</w:t>
            </w:r>
          </w:p>
        </w:tc>
        <w:tc>
          <w:tcPr>
            <w:tcW w:w="440" w:type="dxa"/>
            <w:tcBorders>
              <w:top w:val="single" w:sz="4" w:space="0" w:color="auto"/>
              <w:left w:val="nil"/>
              <w:bottom w:val="nil"/>
              <w:right w:val="nil"/>
            </w:tcBorders>
            <w:shd w:val="clear" w:color="000000" w:fill="C6E0B4"/>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22</w:t>
            </w:r>
          </w:p>
        </w:tc>
        <w:tc>
          <w:tcPr>
            <w:tcW w:w="1077" w:type="dxa"/>
            <w:tcBorders>
              <w:top w:val="single" w:sz="4" w:space="0" w:color="auto"/>
              <w:left w:val="nil"/>
              <w:bottom w:val="nil"/>
              <w:right w:val="single" w:sz="8" w:space="0" w:color="auto"/>
            </w:tcBorders>
            <w:shd w:val="clear" w:color="000000" w:fill="C6E0B4"/>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44</w:t>
            </w:r>
          </w:p>
        </w:tc>
        <w:tc>
          <w:tcPr>
            <w:tcW w:w="940" w:type="dxa"/>
            <w:tcBorders>
              <w:top w:val="nil"/>
              <w:left w:val="nil"/>
              <w:bottom w:val="nil"/>
              <w:right w:val="nil"/>
            </w:tcBorders>
            <w:shd w:val="clear" w:color="auto" w:fill="auto"/>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p>
        </w:tc>
      </w:tr>
      <w:tr w:rsidR="00220974" w:rsidRPr="00731751" w:rsidTr="009F7046">
        <w:trPr>
          <w:trHeight w:val="288"/>
        </w:trPr>
        <w:tc>
          <w:tcPr>
            <w:tcW w:w="1530" w:type="dxa"/>
            <w:tcBorders>
              <w:top w:val="nil"/>
              <w:left w:val="single" w:sz="8" w:space="0" w:color="auto"/>
              <w:bottom w:val="nil"/>
              <w:right w:val="nil"/>
            </w:tcBorders>
            <w:shd w:val="clear" w:color="000000" w:fill="C6E0B4"/>
            <w:noWrap/>
            <w:vAlign w:val="bottom"/>
            <w:hideMark/>
          </w:tcPr>
          <w:p w:rsidR="00220974" w:rsidRPr="00731751" w:rsidRDefault="00220974" w:rsidP="00220974">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 </w:t>
            </w:r>
          </w:p>
        </w:tc>
        <w:tc>
          <w:tcPr>
            <w:tcW w:w="1614" w:type="dxa"/>
            <w:tcBorders>
              <w:top w:val="nil"/>
              <w:left w:val="nil"/>
              <w:bottom w:val="nil"/>
              <w:right w:val="nil"/>
            </w:tcBorders>
            <w:shd w:val="clear" w:color="000000" w:fill="C6E0B4"/>
            <w:noWrap/>
            <w:vAlign w:val="bottom"/>
            <w:hideMark/>
          </w:tcPr>
          <w:p w:rsidR="00220974" w:rsidRPr="00731751" w:rsidRDefault="00220974" w:rsidP="00220974">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Urban</w:t>
            </w:r>
          </w:p>
        </w:tc>
        <w:tc>
          <w:tcPr>
            <w:tcW w:w="1147" w:type="dxa"/>
            <w:tcBorders>
              <w:top w:val="nil"/>
              <w:left w:val="nil"/>
              <w:bottom w:val="nil"/>
              <w:right w:val="nil"/>
            </w:tcBorders>
            <w:shd w:val="clear" w:color="000000" w:fill="C6E0B4"/>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14</w:t>
            </w:r>
          </w:p>
        </w:tc>
        <w:tc>
          <w:tcPr>
            <w:tcW w:w="440" w:type="dxa"/>
            <w:tcBorders>
              <w:top w:val="nil"/>
              <w:left w:val="nil"/>
              <w:bottom w:val="nil"/>
              <w:right w:val="nil"/>
            </w:tcBorders>
            <w:shd w:val="clear" w:color="000000" w:fill="C6E0B4"/>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33</w:t>
            </w:r>
          </w:p>
        </w:tc>
        <w:tc>
          <w:tcPr>
            <w:tcW w:w="440" w:type="dxa"/>
            <w:tcBorders>
              <w:top w:val="nil"/>
              <w:left w:val="nil"/>
              <w:bottom w:val="nil"/>
              <w:right w:val="nil"/>
            </w:tcBorders>
            <w:shd w:val="clear" w:color="000000" w:fill="C6E0B4"/>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46</w:t>
            </w:r>
          </w:p>
        </w:tc>
        <w:tc>
          <w:tcPr>
            <w:tcW w:w="440" w:type="dxa"/>
            <w:tcBorders>
              <w:top w:val="nil"/>
              <w:left w:val="nil"/>
              <w:bottom w:val="nil"/>
              <w:right w:val="nil"/>
            </w:tcBorders>
            <w:shd w:val="clear" w:color="000000" w:fill="C6E0B4"/>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53</w:t>
            </w:r>
          </w:p>
        </w:tc>
        <w:tc>
          <w:tcPr>
            <w:tcW w:w="1077" w:type="dxa"/>
            <w:tcBorders>
              <w:top w:val="nil"/>
              <w:left w:val="nil"/>
              <w:bottom w:val="nil"/>
              <w:right w:val="single" w:sz="8" w:space="0" w:color="auto"/>
            </w:tcBorders>
            <w:shd w:val="clear" w:color="000000" w:fill="C6E0B4"/>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63</w:t>
            </w:r>
          </w:p>
        </w:tc>
        <w:tc>
          <w:tcPr>
            <w:tcW w:w="940" w:type="dxa"/>
            <w:tcBorders>
              <w:top w:val="nil"/>
              <w:left w:val="nil"/>
              <w:bottom w:val="nil"/>
              <w:right w:val="nil"/>
            </w:tcBorders>
            <w:shd w:val="clear" w:color="auto" w:fill="auto"/>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p>
        </w:tc>
      </w:tr>
      <w:tr w:rsidR="00220974" w:rsidRPr="00731751" w:rsidTr="009F7046">
        <w:trPr>
          <w:trHeight w:val="288"/>
        </w:trPr>
        <w:tc>
          <w:tcPr>
            <w:tcW w:w="1530" w:type="dxa"/>
            <w:tcBorders>
              <w:top w:val="nil"/>
              <w:left w:val="single" w:sz="8" w:space="0" w:color="auto"/>
              <w:bottom w:val="single" w:sz="4" w:space="0" w:color="auto"/>
              <w:right w:val="nil"/>
            </w:tcBorders>
            <w:shd w:val="clear" w:color="000000" w:fill="C6E0B4"/>
            <w:noWrap/>
            <w:vAlign w:val="bottom"/>
            <w:hideMark/>
          </w:tcPr>
          <w:p w:rsidR="00220974" w:rsidRPr="00731751" w:rsidRDefault="00220974" w:rsidP="00220974">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 </w:t>
            </w:r>
          </w:p>
        </w:tc>
        <w:tc>
          <w:tcPr>
            <w:tcW w:w="1614" w:type="dxa"/>
            <w:tcBorders>
              <w:top w:val="nil"/>
              <w:left w:val="nil"/>
              <w:bottom w:val="single" w:sz="4" w:space="0" w:color="auto"/>
              <w:right w:val="nil"/>
            </w:tcBorders>
            <w:shd w:val="clear" w:color="000000" w:fill="C6E0B4"/>
            <w:noWrap/>
            <w:vAlign w:val="bottom"/>
            <w:hideMark/>
          </w:tcPr>
          <w:p w:rsidR="00220974" w:rsidRPr="00731751" w:rsidRDefault="00220974" w:rsidP="00220974">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Antanarivo</w:t>
            </w:r>
          </w:p>
        </w:tc>
        <w:tc>
          <w:tcPr>
            <w:tcW w:w="1147" w:type="dxa"/>
            <w:tcBorders>
              <w:top w:val="nil"/>
              <w:left w:val="nil"/>
              <w:bottom w:val="single" w:sz="4" w:space="0" w:color="auto"/>
              <w:right w:val="nil"/>
            </w:tcBorders>
            <w:shd w:val="clear" w:color="000000" w:fill="C6E0B4"/>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0</w:t>
            </w:r>
          </w:p>
        </w:tc>
        <w:tc>
          <w:tcPr>
            <w:tcW w:w="440" w:type="dxa"/>
            <w:tcBorders>
              <w:top w:val="nil"/>
              <w:left w:val="nil"/>
              <w:bottom w:val="single" w:sz="4" w:space="0" w:color="auto"/>
              <w:right w:val="nil"/>
            </w:tcBorders>
            <w:shd w:val="clear" w:color="000000" w:fill="C6E0B4"/>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28</w:t>
            </w:r>
          </w:p>
        </w:tc>
        <w:tc>
          <w:tcPr>
            <w:tcW w:w="440" w:type="dxa"/>
            <w:tcBorders>
              <w:top w:val="nil"/>
              <w:left w:val="nil"/>
              <w:bottom w:val="single" w:sz="4" w:space="0" w:color="auto"/>
              <w:right w:val="nil"/>
            </w:tcBorders>
            <w:shd w:val="clear" w:color="000000" w:fill="C6E0B4"/>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48</w:t>
            </w:r>
          </w:p>
        </w:tc>
        <w:tc>
          <w:tcPr>
            <w:tcW w:w="440" w:type="dxa"/>
            <w:tcBorders>
              <w:top w:val="nil"/>
              <w:left w:val="nil"/>
              <w:bottom w:val="single" w:sz="4" w:space="0" w:color="auto"/>
              <w:right w:val="nil"/>
            </w:tcBorders>
            <w:shd w:val="clear" w:color="000000" w:fill="C6E0B4"/>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71</w:t>
            </w:r>
          </w:p>
        </w:tc>
        <w:tc>
          <w:tcPr>
            <w:tcW w:w="1077" w:type="dxa"/>
            <w:tcBorders>
              <w:top w:val="nil"/>
              <w:left w:val="nil"/>
              <w:bottom w:val="single" w:sz="4" w:space="0" w:color="auto"/>
              <w:right w:val="single" w:sz="8" w:space="0" w:color="auto"/>
            </w:tcBorders>
            <w:shd w:val="clear" w:color="000000" w:fill="C6E0B4"/>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58</w:t>
            </w:r>
          </w:p>
        </w:tc>
        <w:tc>
          <w:tcPr>
            <w:tcW w:w="940" w:type="dxa"/>
            <w:tcBorders>
              <w:top w:val="nil"/>
              <w:left w:val="nil"/>
              <w:bottom w:val="nil"/>
              <w:right w:val="nil"/>
            </w:tcBorders>
            <w:shd w:val="clear" w:color="auto" w:fill="auto"/>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p>
        </w:tc>
      </w:tr>
      <w:tr w:rsidR="00220974" w:rsidRPr="00731751" w:rsidTr="009F7046">
        <w:trPr>
          <w:trHeight w:val="288"/>
        </w:trPr>
        <w:tc>
          <w:tcPr>
            <w:tcW w:w="1530" w:type="dxa"/>
            <w:tcBorders>
              <w:top w:val="nil"/>
              <w:left w:val="single" w:sz="8" w:space="0" w:color="auto"/>
              <w:bottom w:val="nil"/>
              <w:right w:val="nil"/>
            </w:tcBorders>
            <w:shd w:val="clear" w:color="auto" w:fill="auto"/>
            <w:noWrap/>
            <w:vAlign w:val="bottom"/>
            <w:hideMark/>
          </w:tcPr>
          <w:p w:rsidR="00220974" w:rsidRPr="00731751" w:rsidRDefault="00220974" w:rsidP="00220974">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Higher</w:t>
            </w:r>
          </w:p>
        </w:tc>
        <w:tc>
          <w:tcPr>
            <w:tcW w:w="1614" w:type="dxa"/>
            <w:tcBorders>
              <w:top w:val="nil"/>
              <w:left w:val="nil"/>
              <w:bottom w:val="nil"/>
              <w:right w:val="nil"/>
            </w:tcBorders>
            <w:shd w:val="clear" w:color="auto" w:fill="auto"/>
            <w:noWrap/>
            <w:vAlign w:val="bottom"/>
            <w:hideMark/>
          </w:tcPr>
          <w:p w:rsidR="00220974" w:rsidRPr="00731751" w:rsidRDefault="00220974" w:rsidP="00220974">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Rural</w:t>
            </w:r>
          </w:p>
        </w:tc>
        <w:tc>
          <w:tcPr>
            <w:tcW w:w="1147" w:type="dxa"/>
            <w:tcBorders>
              <w:top w:val="nil"/>
              <w:left w:val="nil"/>
              <w:bottom w:val="nil"/>
              <w:right w:val="nil"/>
            </w:tcBorders>
            <w:shd w:val="clear" w:color="auto" w:fill="auto"/>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0</w:t>
            </w:r>
          </w:p>
        </w:tc>
        <w:tc>
          <w:tcPr>
            <w:tcW w:w="440" w:type="dxa"/>
            <w:tcBorders>
              <w:top w:val="nil"/>
              <w:left w:val="nil"/>
              <w:bottom w:val="nil"/>
              <w:right w:val="nil"/>
            </w:tcBorders>
            <w:shd w:val="clear" w:color="auto" w:fill="auto"/>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0</w:t>
            </w:r>
          </w:p>
        </w:tc>
        <w:tc>
          <w:tcPr>
            <w:tcW w:w="440" w:type="dxa"/>
            <w:tcBorders>
              <w:top w:val="nil"/>
              <w:left w:val="nil"/>
              <w:bottom w:val="nil"/>
              <w:right w:val="nil"/>
            </w:tcBorders>
            <w:shd w:val="clear" w:color="auto" w:fill="auto"/>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0</w:t>
            </w:r>
          </w:p>
        </w:tc>
        <w:tc>
          <w:tcPr>
            <w:tcW w:w="440" w:type="dxa"/>
            <w:tcBorders>
              <w:top w:val="nil"/>
              <w:left w:val="nil"/>
              <w:bottom w:val="nil"/>
              <w:right w:val="nil"/>
            </w:tcBorders>
            <w:shd w:val="clear" w:color="auto" w:fill="auto"/>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p>
        </w:tc>
        <w:tc>
          <w:tcPr>
            <w:tcW w:w="1077" w:type="dxa"/>
            <w:tcBorders>
              <w:top w:val="nil"/>
              <w:left w:val="nil"/>
              <w:bottom w:val="nil"/>
              <w:right w:val="single" w:sz="8" w:space="0" w:color="auto"/>
            </w:tcBorders>
            <w:shd w:val="clear" w:color="auto" w:fill="auto"/>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60</w:t>
            </w:r>
          </w:p>
        </w:tc>
        <w:tc>
          <w:tcPr>
            <w:tcW w:w="940" w:type="dxa"/>
            <w:tcBorders>
              <w:top w:val="nil"/>
              <w:left w:val="nil"/>
              <w:bottom w:val="nil"/>
              <w:right w:val="nil"/>
            </w:tcBorders>
            <w:shd w:val="clear" w:color="auto" w:fill="auto"/>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p>
        </w:tc>
      </w:tr>
      <w:tr w:rsidR="00220974" w:rsidRPr="00731751" w:rsidTr="009F7046">
        <w:trPr>
          <w:trHeight w:val="288"/>
        </w:trPr>
        <w:tc>
          <w:tcPr>
            <w:tcW w:w="1530" w:type="dxa"/>
            <w:tcBorders>
              <w:top w:val="nil"/>
              <w:left w:val="single" w:sz="8" w:space="0" w:color="auto"/>
              <w:bottom w:val="nil"/>
              <w:right w:val="nil"/>
            </w:tcBorders>
            <w:shd w:val="clear" w:color="auto" w:fill="auto"/>
            <w:noWrap/>
            <w:vAlign w:val="bottom"/>
            <w:hideMark/>
          </w:tcPr>
          <w:p w:rsidR="00220974" w:rsidRPr="00731751" w:rsidRDefault="00220974" w:rsidP="00220974">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 </w:t>
            </w:r>
          </w:p>
        </w:tc>
        <w:tc>
          <w:tcPr>
            <w:tcW w:w="1614" w:type="dxa"/>
            <w:tcBorders>
              <w:top w:val="nil"/>
              <w:left w:val="nil"/>
              <w:bottom w:val="nil"/>
              <w:right w:val="nil"/>
            </w:tcBorders>
            <w:shd w:val="clear" w:color="auto" w:fill="auto"/>
            <w:noWrap/>
            <w:vAlign w:val="bottom"/>
            <w:hideMark/>
          </w:tcPr>
          <w:p w:rsidR="00220974" w:rsidRPr="00731751" w:rsidRDefault="00220974" w:rsidP="00220974">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Urban</w:t>
            </w:r>
          </w:p>
        </w:tc>
        <w:tc>
          <w:tcPr>
            <w:tcW w:w="1147" w:type="dxa"/>
            <w:tcBorders>
              <w:top w:val="nil"/>
              <w:left w:val="nil"/>
              <w:bottom w:val="nil"/>
              <w:right w:val="nil"/>
            </w:tcBorders>
            <w:shd w:val="clear" w:color="auto" w:fill="auto"/>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0</w:t>
            </w:r>
          </w:p>
        </w:tc>
        <w:tc>
          <w:tcPr>
            <w:tcW w:w="440" w:type="dxa"/>
            <w:tcBorders>
              <w:top w:val="nil"/>
              <w:left w:val="nil"/>
              <w:bottom w:val="nil"/>
              <w:right w:val="nil"/>
            </w:tcBorders>
            <w:shd w:val="clear" w:color="auto" w:fill="auto"/>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0</w:t>
            </w:r>
          </w:p>
        </w:tc>
        <w:tc>
          <w:tcPr>
            <w:tcW w:w="440" w:type="dxa"/>
            <w:tcBorders>
              <w:top w:val="nil"/>
              <w:left w:val="nil"/>
              <w:bottom w:val="nil"/>
              <w:right w:val="nil"/>
            </w:tcBorders>
            <w:shd w:val="clear" w:color="auto" w:fill="auto"/>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40</w:t>
            </w:r>
          </w:p>
        </w:tc>
        <w:tc>
          <w:tcPr>
            <w:tcW w:w="440" w:type="dxa"/>
            <w:tcBorders>
              <w:top w:val="nil"/>
              <w:left w:val="nil"/>
              <w:bottom w:val="nil"/>
              <w:right w:val="nil"/>
            </w:tcBorders>
            <w:shd w:val="clear" w:color="auto" w:fill="auto"/>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30</w:t>
            </w:r>
          </w:p>
        </w:tc>
        <w:tc>
          <w:tcPr>
            <w:tcW w:w="1077" w:type="dxa"/>
            <w:tcBorders>
              <w:top w:val="nil"/>
              <w:left w:val="nil"/>
              <w:bottom w:val="nil"/>
              <w:right w:val="single" w:sz="8" w:space="0" w:color="auto"/>
            </w:tcBorders>
            <w:shd w:val="clear" w:color="auto" w:fill="auto"/>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46</w:t>
            </w:r>
          </w:p>
        </w:tc>
        <w:tc>
          <w:tcPr>
            <w:tcW w:w="940" w:type="dxa"/>
            <w:tcBorders>
              <w:top w:val="nil"/>
              <w:left w:val="nil"/>
              <w:bottom w:val="nil"/>
              <w:right w:val="nil"/>
            </w:tcBorders>
            <w:shd w:val="clear" w:color="auto" w:fill="auto"/>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p>
        </w:tc>
      </w:tr>
      <w:tr w:rsidR="00220974" w:rsidRPr="00731751" w:rsidTr="009F7046">
        <w:trPr>
          <w:trHeight w:val="300"/>
        </w:trPr>
        <w:tc>
          <w:tcPr>
            <w:tcW w:w="1530" w:type="dxa"/>
            <w:tcBorders>
              <w:top w:val="nil"/>
              <w:left w:val="single" w:sz="8" w:space="0" w:color="auto"/>
              <w:bottom w:val="single" w:sz="8" w:space="0" w:color="auto"/>
              <w:right w:val="nil"/>
            </w:tcBorders>
            <w:shd w:val="clear" w:color="auto" w:fill="auto"/>
            <w:noWrap/>
            <w:vAlign w:val="bottom"/>
            <w:hideMark/>
          </w:tcPr>
          <w:p w:rsidR="00220974" w:rsidRPr="00731751" w:rsidRDefault="00220974" w:rsidP="00220974">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 </w:t>
            </w:r>
          </w:p>
        </w:tc>
        <w:tc>
          <w:tcPr>
            <w:tcW w:w="1614" w:type="dxa"/>
            <w:tcBorders>
              <w:top w:val="nil"/>
              <w:left w:val="nil"/>
              <w:bottom w:val="single" w:sz="8" w:space="0" w:color="auto"/>
              <w:right w:val="nil"/>
            </w:tcBorders>
            <w:shd w:val="clear" w:color="auto" w:fill="auto"/>
            <w:noWrap/>
            <w:vAlign w:val="bottom"/>
            <w:hideMark/>
          </w:tcPr>
          <w:p w:rsidR="00220974" w:rsidRPr="00731751" w:rsidRDefault="00220974" w:rsidP="00220974">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Antanarivo</w:t>
            </w:r>
          </w:p>
        </w:tc>
        <w:tc>
          <w:tcPr>
            <w:tcW w:w="1147" w:type="dxa"/>
            <w:tcBorders>
              <w:top w:val="nil"/>
              <w:left w:val="nil"/>
              <w:bottom w:val="single" w:sz="8" w:space="0" w:color="auto"/>
              <w:right w:val="nil"/>
            </w:tcBorders>
            <w:shd w:val="clear" w:color="auto" w:fill="auto"/>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0</w:t>
            </w:r>
          </w:p>
        </w:tc>
        <w:tc>
          <w:tcPr>
            <w:tcW w:w="440" w:type="dxa"/>
            <w:tcBorders>
              <w:top w:val="nil"/>
              <w:left w:val="nil"/>
              <w:bottom w:val="single" w:sz="8" w:space="0" w:color="auto"/>
              <w:right w:val="nil"/>
            </w:tcBorders>
            <w:shd w:val="clear" w:color="auto" w:fill="auto"/>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0</w:t>
            </w:r>
          </w:p>
        </w:tc>
        <w:tc>
          <w:tcPr>
            <w:tcW w:w="440" w:type="dxa"/>
            <w:tcBorders>
              <w:top w:val="nil"/>
              <w:left w:val="nil"/>
              <w:bottom w:val="single" w:sz="8" w:space="0" w:color="auto"/>
              <w:right w:val="nil"/>
            </w:tcBorders>
            <w:shd w:val="clear" w:color="auto" w:fill="auto"/>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75</w:t>
            </w:r>
          </w:p>
        </w:tc>
        <w:tc>
          <w:tcPr>
            <w:tcW w:w="440" w:type="dxa"/>
            <w:tcBorders>
              <w:top w:val="nil"/>
              <w:left w:val="nil"/>
              <w:bottom w:val="single" w:sz="8" w:space="0" w:color="auto"/>
              <w:right w:val="nil"/>
            </w:tcBorders>
            <w:shd w:val="clear" w:color="auto" w:fill="auto"/>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19</w:t>
            </w:r>
          </w:p>
        </w:tc>
        <w:tc>
          <w:tcPr>
            <w:tcW w:w="1077" w:type="dxa"/>
            <w:tcBorders>
              <w:top w:val="nil"/>
              <w:left w:val="nil"/>
              <w:bottom w:val="single" w:sz="8" w:space="0" w:color="auto"/>
              <w:right w:val="single" w:sz="8" w:space="0" w:color="auto"/>
            </w:tcBorders>
            <w:shd w:val="clear" w:color="auto" w:fill="auto"/>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60</w:t>
            </w:r>
          </w:p>
        </w:tc>
        <w:tc>
          <w:tcPr>
            <w:tcW w:w="940" w:type="dxa"/>
            <w:tcBorders>
              <w:top w:val="nil"/>
              <w:left w:val="nil"/>
              <w:bottom w:val="nil"/>
              <w:right w:val="nil"/>
            </w:tcBorders>
            <w:shd w:val="clear" w:color="auto" w:fill="auto"/>
            <w:noWrap/>
            <w:vAlign w:val="bottom"/>
            <w:hideMark/>
          </w:tcPr>
          <w:p w:rsidR="00220974" w:rsidRPr="00731751" w:rsidRDefault="00220974" w:rsidP="00220974">
            <w:pPr>
              <w:spacing w:after="0" w:line="240" w:lineRule="auto"/>
              <w:jc w:val="center"/>
              <w:rPr>
                <w:rFonts w:ascii="Times New Roman" w:eastAsia="Times New Roman" w:hAnsi="Times New Roman" w:cs="Times New Roman"/>
                <w:color w:val="000000"/>
                <w:lang w:eastAsia="en-GB"/>
              </w:rPr>
            </w:pPr>
          </w:p>
        </w:tc>
      </w:tr>
      <w:tr w:rsidR="00C64CFF" w:rsidRPr="00731751" w:rsidTr="00731751">
        <w:trPr>
          <w:trHeight w:val="300"/>
        </w:trPr>
        <w:tc>
          <w:tcPr>
            <w:tcW w:w="1530" w:type="dxa"/>
            <w:tcBorders>
              <w:top w:val="nil"/>
              <w:left w:val="nil"/>
              <w:bottom w:val="nil"/>
              <w:right w:val="nil"/>
            </w:tcBorders>
            <w:shd w:val="clear" w:color="auto" w:fill="auto"/>
            <w:noWrap/>
            <w:vAlign w:val="bottom"/>
            <w:hideMark/>
          </w:tcPr>
          <w:p w:rsidR="00C64CFF" w:rsidRPr="00731751" w:rsidRDefault="00C64CFF" w:rsidP="00731751">
            <w:pPr>
              <w:spacing w:after="0" w:line="240" w:lineRule="auto"/>
              <w:rPr>
                <w:rFonts w:ascii="Times New Roman" w:eastAsia="Times New Roman" w:hAnsi="Times New Roman" w:cs="Times New Roman"/>
                <w:b/>
                <w:bCs/>
                <w:color w:val="000000"/>
                <w:lang w:eastAsia="en-GB"/>
              </w:rPr>
            </w:pPr>
            <w:r w:rsidRPr="00731751">
              <w:rPr>
                <w:rFonts w:ascii="Times New Roman" w:eastAsia="Times New Roman" w:hAnsi="Times New Roman" w:cs="Times New Roman"/>
                <w:b/>
                <w:bCs/>
                <w:color w:val="000000"/>
                <w:lang w:eastAsia="en-GB"/>
              </w:rPr>
              <w:t>LESOTHO</w:t>
            </w:r>
          </w:p>
        </w:tc>
        <w:tc>
          <w:tcPr>
            <w:tcW w:w="1614" w:type="dxa"/>
            <w:tcBorders>
              <w:top w:val="nil"/>
              <w:left w:val="nil"/>
              <w:bottom w:val="nil"/>
              <w:right w:val="nil"/>
            </w:tcBorders>
            <w:shd w:val="clear" w:color="auto" w:fill="auto"/>
            <w:noWrap/>
            <w:vAlign w:val="bottom"/>
            <w:hideMark/>
          </w:tcPr>
          <w:p w:rsidR="00C64CFF" w:rsidRPr="00731751" w:rsidRDefault="00C64CFF" w:rsidP="00731751">
            <w:pPr>
              <w:spacing w:after="0" w:line="240" w:lineRule="auto"/>
              <w:rPr>
                <w:rFonts w:ascii="Times New Roman" w:eastAsia="Times New Roman" w:hAnsi="Times New Roman" w:cs="Times New Roman"/>
                <w:b/>
                <w:bCs/>
                <w:color w:val="000000"/>
                <w:lang w:eastAsia="en-GB"/>
              </w:rPr>
            </w:pPr>
          </w:p>
        </w:tc>
        <w:tc>
          <w:tcPr>
            <w:tcW w:w="1147" w:type="dxa"/>
            <w:tcBorders>
              <w:top w:val="nil"/>
              <w:left w:val="nil"/>
              <w:bottom w:val="nil"/>
              <w:right w:val="nil"/>
            </w:tcBorders>
            <w:shd w:val="clear" w:color="auto" w:fill="auto"/>
            <w:noWrap/>
            <w:vAlign w:val="bottom"/>
            <w:hideMark/>
          </w:tcPr>
          <w:p w:rsidR="00C64CFF" w:rsidRPr="00731751" w:rsidRDefault="00C64CFF" w:rsidP="00731751">
            <w:pPr>
              <w:spacing w:after="0" w:line="240" w:lineRule="auto"/>
              <w:rPr>
                <w:rFonts w:ascii="Times New Roman" w:eastAsia="Times New Roman" w:hAnsi="Times New Roman" w:cs="Times New Roman"/>
                <w:sz w:val="20"/>
                <w:szCs w:val="20"/>
                <w:lang w:eastAsia="en-GB"/>
              </w:rPr>
            </w:pPr>
          </w:p>
        </w:tc>
        <w:tc>
          <w:tcPr>
            <w:tcW w:w="440" w:type="dxa"/>
            <w:tcBorders>
              <w:top w:val="nil"/>
              <w:left w:val="nil"/>
              <w:bottom w:val="nil"/>
              <w:right w:val="nil"/>
            </w:tcBorders>
            <w:shd w:val="clear" w:color="auto" w:fill="auto"/>
            <w:noWrap/>
            <w:vAlign w:val="bottom"/>
            <w:hideMark/>
          </w:tcPr>
          <w:p w:rsidR="00C64CFF" w:rsidRPr="00731751" w:rsidRDefault="00C64CFF" w:rsidP="00731751">
            <w:pPr>
              <w:spacing w:after="0" w:line="240" w:lineRule="auto"/>
              <w:rPr>
                <w:rFonts w:ascii="Times New Roman" w:eastAsia="Times New Roman" w:hAnsi="Times New Roman" w:cs="Times New Roman"/>
                <w:sz w:val="20"/>
                <w:szCs w:val="20"/>
                <w:lang w:eastAsia="en-GB"/>
              </w:rPr>
            </w:pPr>
          </w:p>
        </w:tc>
        <w:tc>
          <w:tcPr>
            <w:tcW w:w="440" w:type="dxa"/>
            <w:tcBorders>
              <w:top w:val="nil"/>
              <w:left w:val="nil"/>
              <w:bottom w:val="nil"/>
              <w:right w:val="nil"/>
            </w:tcBorders>
            <w:shd w:val="clear" w:color="auto" w:fill="auto"/>
            <w:noWrap/>
            <w:vAlign w:val="bottom"/>
            <w:hideMark/>
          </w:tcPr>
          <w:p w:rsidR="00C64CFF" w:rsidRPr="00731751" w:rsidRDefault="00C64CFF" w:rsidP="00731751">
            <w:pPr>
              <w:spacing w:after="0" w:line="240" w:lineRule="auto"/>
              <w:rPr>
                <w:rFonts w:ascii="Times New Roman" w:eastAsia="Times New Roman" w:hAnsi="Times New Roman" w:cs="Times New Roman"/>
                <w:sz w:val="20"/>
                <w:szCs w:val="20"/>
                <w:lang w:eastAsia="en-GB"/>
              </w:rPr>
            </w:pPr>
          </w:p>
        </w:tc>
        <w:tc>
          <w:tcPr>
            <w:tcW w:w="440" w:type="dxa"/>
            <w:tcBorders>
              <w:top w:val="nil"/>
              <w:left w:val="nil"/>
              <w:bottom w:val="nil"/>
              <w:right w:val="nil"/>
            </w:tcBorders>
            <w:shd w:val="clear" w:color="auto" w:fill="auto"/>
            <w:noWrap/>
            <w:vAlign w:val="bottom"/>
            <w:hideMark/>
          </w:tcPr>
          <w:p w:rsidR="00C64CFF" w:rsidRPr="00731751" w:rsidRDefault="00C64CFF" w:rsidP="00731751">
            <w:pPr>
              <w:spacing w:after="0" w:line="240" w:lineRule="auto"/>
              <w:rPr>
                <w:rFonts w:ascii="Times New Roman" w:eastAsia="Times New Roman" w:hAnsi="Times New Roman" w:cs="Times New Roman"/>
                <w:sz w:val="20"/>
                <w:szCs w:val="20"/>
                <w:lang w:eastAsia="en-GB"/>
              </w:rPr>
            </w:pPr>
          </w:p>
        </w:tc>
        <w:tc>
          <w:tcPr>
            <w:tcW w:w="1077" w:type="dxa"/>
            <w:tcBorders>
              <w:top w:val="nil"/>
              <w:left w:val="nil"/>
              <w:bottom w:val="nil"/>
              <w:right w:val="nil"/>
            </w:tcBorders>
            <w:shd w:val="clear" w:color="auto" w:fill="auto"/>
            <w:noWrap/>
            <w:vAlign w:val="bottom"/>
            <w:hideMark/>
          </w:tcPr>
          <w:p w:rsidR="00C64CFF" w:rsidRPr="00731751" w:rsidRDefault="00C64CFF" w:rsidP="00731751">
            <w:pPr>
              <w:spacing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rsidR="00C64CFF" w:rsidRPr="00731751" w:rsidRDefault="00C64CFF" w:rsidP="00731751">
            <w:pPr>
              <w:spacing w:after="0" w:line="240" w:lineRule="auto"/>
              <w:rPr>
                <w:rFonts w:ascii="Times New Roman" w:eastAsia="Times New Roman" w:hAnsi="Times New Roman" w:cs="Times New Roman"/>
                <w:sz w:val="20"/>
                <w:szCs w:val="20"/>
                <w:lang w:eastAsia="en-GB"/>
              </w:rPr>
            </w:pPr>
          </w:p>
        </w:tc>
      </w:tr>
      <w:tr w:rsidR="00C64CFF" w:rsidRPr="00731751" w:rsidTr="00731751">
        <w:trPr>
          <w:trHeight w:val="288"/>
        </w:trPr>
        <w:tc>
          <w:tcPr>
            <w:tcW w:w="1530" w:type="dxa"/>
            <w:tcBorders>
              <w:top w:val="single" w:sz="8" w:space="0" w:color="auto"/>
              <w:left w:val="single" w:sz="8" w:space="0" w:color="auto"/>
              <w:bottom w:val="nil"/>
              <w:right w:val="nil"/>
            </w:tcBorders>
            <w:shd w:val="clear" w:color="auto" w:fill="auto"/>
            <w:noWrap/>
            <w:vAlign w:val="bottom"/>
            <w:hideMark/>
          </w:tcPr>
          <w:p w:rsidR="00C64CFF" w:rsidRPr="00731751" w:rsidRDefault="00C64CFF" w:rsidP="00731751">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 </w:t>
            </w:r>
          </w:p>
        </w:tc>
        <w:tc>
          <w:tcPr>
            <w:tcW w:w="1614" w:type="dxa"/>
            <w:tcBorders>
              <w:top w:val="single" w:sz="8" w:space="0" w:color="auto"/>
              <w:left w:val="nil"/>
              <w:bottom w:val="nil"/>
              <w:right w:val="nil"/>
            </w:tcBorders>
            <w:shd w:val="clear" w:color="auto" w:fill="auto"/>
            <w:noWrap/>
            <w:vAlign w:val="bottom"/>
            <w:hideMark/>
          </w:tcPr>
          <w:p w:rsidR="00C64CFF" w:rsidRPr="00731751" w:rsidRDefault="00C64CFF" w:rsidP="00731751">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Location</w:t>
            </w:r>
          </w:p>
        </w:tc>
        <w:tc>
          <w:tcPr>
            <w:tcW w:w="1147" w:type="dxa"/>
            <w:tcBorders>
              <w:top w:val="single" w:sz="8" w:space="0" w:color="auto"/>
              <w:left w:val="nil"/>
              <w:bottom w:val="nil"/>
              <w:right w:val="nil"/>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Poorest</w:t>
            </w:r>
          </w:p>
        </w:tc>
        <w:tc>
          <w:tcPr>
            <w:tcW w:w="440" w:type="dxa"/>
            <w:tcBorders>
              <w:top w:val="single" w:sz="8" w:space="0" w:color="auto"/>
              <w:left w:val="nil"/>
              <w:bottom w:val="nil"/>
              <w:right w:val="nil"/>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2</w:t>
            </w:r>
          </w:p>
        </w:tc>
        <w:tc>
          <w:tcPr>
            <w:tcW w:w="440" w:type="dxa"/>
            <w:tcBorders>
              <w:top w:val="single" w:sz="8" w:space="0" w:color="auto"/>
              <w:left w:val="nil"/>
              <w:bottom w:val="nil"/>
              <w:right w:val="nil"/>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3</w:t>
            </w:r>
          </w:p>
        </w:tc>
        <w:tc>
          <w:tcPr>
            <w:tcW w:w="440" w:type="dxa"/>
            <w:tcBorders>
              <w:top w:val="single" w:sz="8" w:space="0" w:color="auto"/>
              <w:left w:val="nil"/>
              <w:bottom w:val="nil"/>
              <w:right w:val="nil"/>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4</w:t>
            </w:r>
          </w:p>
        </w:tc>
        <w:tc>
          <w:tcPr>
            <w:tcW w:w="1077" w:type="dxa"/>
            <w:tcBorders>
              <w:top w:val="single" w:sz="8" w:space="0" w:color="auto"/>
              <w:left w:val="nil"/>
              <w:bottom w:val="nil"/>
              <w:right w:val="single" w:sz="8" w:space="0" w:color="auto"/>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Richest</w:t>
            </w:r>
          </w:p>
        </w:tc>
        <w:tc>
          <w:tcPr>
            <w:tcW w:w="940" w:type="dxa"/>
            <w:tcBorders>
              <w:top w:val="nil"/>
              <w:left w:val="nil"/>
              <w:bottom w:val="nil"/>
              <w:right w:val="nil"/>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p>
        </w:tc>
      </w:tr>
      <w:tr w:rsidR="00C64CFF" w:rsidRPr="00731751" w:rsidTr="00731751">
        <w:trPr>
          <w:trHeight w:val="288"/>
        </w:trPr>
        <w:tc>
          <w:tcPr>
            <w:tcW w:w="1530" w:type="dxa"/>
            <w:tcBorders>
              <w:top w:val="single" w:sz="4" w:space="0" w:color="auto"/>
              <w:left w:val="single" w:sz="8" w:space="0" w:color="auto"/>
              <w:bottom w:val="nil"/>
              <w:right w:val="nil"/>
            </w:tcBorders>
            <w:shd w:val="clear" w:color="auto" w:fill="auto"/>
            <w:noWrap/>
            <w:vAlign w:val="bottom"/>
            <w:hideMark/>
          </w:tcPr>
          <w:p w:rsidR="00C64CFF" w:rsidRPr="00731751" w:rsidRDefault="00C64CFF" w:rsidP="00731751">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Primary</w:t>
            </w:r>
          </w:p>
        </w:tc>
        <w:tc>
          <w:tcPr>
            <w:tcW w:w="1614" w:type="dxa"/>
            <w:tcBorders>
              <w:top w:val="single" w:sz="4" w:space="0" w:color="auto"/>
              <w:left w:val="nil"/>
              <w:bottom w:val="nil"/>
              <w:right w:val="nil"/>
            </w:tcBorders>
            <w:shd w:val="clear" w:color="auto" w:fill="auto"/>
            <w:noWrap/>
            <w:vAlign w:val="bottom"/>
            <w:hideMark/>
          </w:tcPr>
          <w:p w:rsidR="00C64CFF" w:rsidRPr="00731751" w:rsidRDefault="00C64CFF" w:rsidP="00731751">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Rural</w:t>
            </w:r>
          </w:p>
        </w:tc>
        <w:tc>
          <w:tcPr>
            <w:tcW w:w="1147" w:type="dxa"/>
            <w:tcBorders>
              <w:top w:val="single" w:sz="4" w:space="0" w:color="auto"/>
              <w:left w:val="nil"/>
              <w:bottom w:val="nil"/>
              <w:right w:val="nil"/>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0</w:t>
            </w:r>
          </w:p>
        </w:tc>
        <w:tc>
          <w:tcPr>
            <w:tcW w:w="440" w:type="dxa"/>
            <w:tcBorders>
              <w:top w:val="single" w:sz="4" w:space="0" w:color="auto"/>
              <w:left w:val="nil"/>
              <w:bottom w:val="nil"/>
              <w:right w:val="nil"/>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0</w:t>
            </w:r>
          </w:p>
        </w:tc>
        <w:tc>
          <w:tcPr>
            <w:tcW w:w="440" w:type="dxa"/>
            <w:tcBorders>
              <w:top w:val="single" w:sz="4" w:space="0" w:color="auto"/>
              <w:left w:val="nil"/>
              <w:bottom w:val="nil"/>
              <w:right w:val="nil"/>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w:t>
            </w:r>
          </w:p>
        </w:tc>
        <w:tc>
          <w:tcPr>
            <w:tcW w:w="440" w:type="dxa"/>
            <w:tcBorders>
              <w:top w:val="single" w:sz="4" w:space="0" w:color="auto"/>
              <w:left w:val="nil"/>
              <w:bottom w:val="nil"/>
              <w:right w:val="nil"/>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4</w:t>
            </w:r>
          </w:p>
        </w:tc>
        <w:tc>
          <w:tcPr>
            <w:tcW w:w="1077" w:type="dxa"/>
            <w:tcBorders>
              <w:top w:val="single" w:sz="4" w:space="0" w:color="auto"/>
              <w:left w:val="nil"/>
              <w:bottom w:val="nil"/>
              <w:right w:val="single" w:sz="8" w:space="0" w:color="auto"/>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11</w:t>
            </w:r>
          </w:p>
        </w:tc>
        <w:tc>
          <w:tcPr>
            <w:tcW w:w="940" w:type="dxa"/>
            <w:tcBorders>
              <w:top w:val="nil"/>
              <w:left w:val="nil"/>
              <w:bottom w:val="nil"/>
              <w:right w:val="nil"/>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p>
        </w:tc>
      </w:tr>
      <w:tr w:rsidR="00C64CFF" w:rsidRPr="00731751" w:rsidTr="00731751">
        <w:trPr>
          <w:trHeight w:val="288"/>
        </w:trPr>
        <w:tc>
          <w:tcPr>
            <w:tcW w:w="1530" w:type="dxa"/>
            <w:tcBorders>
              <w:top w:val="nil"/>
              <w:left w:val="single" w:sz="8" w:space="0" w:color="auto"/>
              <w:bottom w:val="nil"/>
              <w:right w:val="nil"/>
            </w:tcBorders>
            <w:shd w:val="clear" w:color="auto" w:fill="auto"/>
            <w:noWrap/>
            <w:vAlign w:val="bottom"/>
            <w:hideMark/>
          </w:tcPr>
          <w:p w:rsidR="00C64CFF" w:rsidRPr="00731751" w:rsidRDefault="00C64CFF" w:rsidP="00731751">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 </w:t>
            </w:r>
          </w:p>
        </w:tc>
        <w:tc>
          <w:tcPr>
            <w:tcW w:w="1614" w:type="dxa"/>
            <w:tcBorders>
              <w:top w:val="nil"/>
              <w:left w:val="nil"/>
              <w:bottom w:val="nil"/>
              <w:right w:val="nil"/>
            </w:tcBorders>
            <w:shd w:val="clear" w:color="auto" w:fill="auto"/>
            <w:noWrap/>
            <w:vAlign w:val="bottom"/>
            <w:hideMark/>
          </w:tcPr>
          <w:p w:rsidR="00C64CFF" w:rsidRPr="00731751" w:rsidRDefault="00C64CFF" w:rsidP="00731751">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Urban</w:t>
            </w:r>
          </w:p>
        </w:tc>
        <w:tc>
          <w:tcPr>
            <w:tcW w:w="1147" w:type="dxa"/>
            <w:tcBorders>
              <w:top w:val="nil"/>
              <w:left w:val="nil"/>
              <w:bottom w:val="nil"/>
              <w:right w:val="nil"/>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5</w:t>
            </w:r>
          </w:p>
        </w:tc>
        <w:tc>
          <w:tcPr>
            <w:tcW w:w="440" w:type="dxa"/>
            <w:tcBorders>
              <w:top w:val="nil"/>
              <w:left w:val="nil"/>
              <w:bottom w:val="nil"/>
              <w:right w:val="nil"/>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11</w:t>
            </w:r>
          </w:p>
        </w:tc>
        <w:tc>
          <w:tcPr>
            <w:tcW w:w="440" w:type="dxa"/>
            <w:tcBorders>
              <w:top w:val="nil"/>
              <w:left w:val="nil"/>
              <w:bottom w:val="nil"/>
              <w:right w:val="nil"/>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17</w:t>
            </w:r>
          </w:p>
        </w:tc>
        <w:tc>
          <w:tcPr>
            <w:tcW w:w="440" w:type="dxa"/>
            <w:tcBorders>
              <w:top w:val="nil"/>
              <w:left w:val="nil"/>
              <w:bottom w:val="nil"/>
              <w:right w:val="nil"/>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29</w:t>
            </w:r>
          </w:p>
        </w:tc>
        <w:tc>
          <w:tcPr>
            <w:tcW w:w="1077" w:type="dxa"/>
            <w:tcBorders>
              <w:top w:val="nil"/>
              <w:left w:val="nil"/>
              <w:bottom w:val="nil"/>
              <w:right w:val="single" w:sz="8" w:space="0" w:color="auto"/>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81</w:t>
            </w:r>
          </w:p>
        </w:tc>
        <w:tc>
          <w:tcPr>
            <w:tcW w:w="940" w:type="dxa"/>
            <w:tcBorders>
              <w:top w:val="nil"/>
              <w:left w:val="nil"/>
              <w:bottom w:val="nil"/>
              <w:right w:val="nil"/>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p>
        </w:tc>
      </w:tr>
      <w:tr w:rsidR="00C64CFF" w:rsidRPr="00731751" w:rsidTr="00731751">
        <w:trPr>
          <w:trHeight w:val="288"/>
        </w:trPr>
        <w:tc>
          <w:tcPr>
            <w:tcW w:w="1530" w:type="dxa"/>
            <w:tcBorders>
              <w:top w:val="nil"/>
              <w:left w:val="single" w:sz="8" w:space="0" w:color="auto"/>
              <w:bottom w:val="nil"/>
              <w:right w:val="nil"/>
            </w:tcBorders>
            <w:shd w:val="clear" w:color="auto" w:fill="auto"/>
            <w:noWrap/>
            <w:vAlign w:val="bottom"/>
            <w:hideMark/>
          </w:tcPr>
          <w:p w:rsidR="00C64CFF" w:rsidRPr="00731751" w:rsidRDefault="00C64CFF" w:rsidP="00731751">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 </w:t>
            </w:r>
          </w:p>
        </w:tc>
        <w:tc>
          <w:tcPr>
            <w:tcW w:w="1614" w:type="dxa"/>
            <w:tcBorders>
              <w:top w:val="nil"/>
              <w:left w:val="nil"/>
              <w:bottom w:val="nil"/>
              <w:right w:val="nil"/>
            </w:tcBorders>
            <w:shd w:val="clear" w:color="auto" w:fill="auto"/>
            <w:noWrap/>
            <w:vAlign w:val="bottom"/>
            <w:hideMark/>
          </w:tcPr>
          <w:p w:rsidR="00C64CFF" w:rsidRPr="00731751" w:rsidRDefault="00C64CFF" w:rsidP="00731751">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Maseru</w:t>
            </w:r>
          </w:p>
        </w:tc>
        <w:tc>
          <w:tcPr>
            <w:tcW w:w="1147" w:type="dxa"/>
            <w:tcBorders>
              <w:top w:val="nil"/>
              <w:left w:val="nil"/>
              <w:bottom w:val="nil"/>
              <w:right w:val="nil"/>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12</w:t>
            </w:r>
          </w:p>
        </w:tc>
        <w:tc>
          <w:tcPr>
            <w:tcW w:w="440" w:type="dxa"/>
            <w:tcBorders>
              <w:top w:val="nil"/>
              <w:left w:val="nil"/>
              <w:bottom w:val="nil"/>
              <w:right w:val="nil"/>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12</w:t>
            </w:r>
          </w:p>
        </w:tc>
        <w:tc>
          <w:tcPr>
            <w:tcW w:w="440" w:type="dxa"/>
            <w:tcBorders>
              <w:top w:val="nil"/>
              <w:left w:val="nil"/>
              <w:bottom w:val="nil"/>
              <w:right w:val="nil"/>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20</w:t>
            </w:r>
          </w:p>
        </w:tc>
        <w:tc>
          <w:tcPr>
            <w:tcW w:w="440" w:type="dxa"/>
            <w:tcBorders>
              <w:top w:val="nil"/>
              <w:left w:val="nil"/>
              <w:bottom w:val="nil"/>
              <w:right w:val="nil"/>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28</w:t>
            </w:r>
          </w:p>
        </w:tc>
        <w:tc>
          <w:tcPr>
            <w:tcW w:w="1077" w:type="dxa"/>
            <w:tcBorders>
              <w:top w:val="nil"/>
              <w:left w:val="nil"/>
              <w:bottom w:val="nil"/>
              <w:right w:val="single" w:sz="8" w:space="0" w:color="auto"/>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67</w:t>
            </w:r>
          </w:p>
        </w:tc>
        <w:tc>
          <w:tcPr>
            <w:tcW w:w="940" w:type="dxa"/>
            <w:tcBorders>
              <w:top w:val="nil"/>
              <w:left w:val="nil"/>
              <w:bottom w:val="nil"/>
              <w:right w:val="nil"/>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p>
        </w:tc>
      </w:tr>
      <w:tr w:rsidR="00C64CFF" w:rsidRPr="00731751" w:rsidTr="00731751">
        <w:trPr>
          <w:trHeight w:val="288"/>
        </w:trPr>
        <w:tc>
          <w:tcPr>
            <w:tcW w:w="1530" w:type="dxa"/>
            <w:tcBorders>
              <w:top w:val="single" w:sz="4" w:space="0" w:color="auto"/>
              <w:left w:val="single" w:sz="8" w:space="0" w:color="auto"/>
              <w:bottom w:val="nil"/>
              <w:right w:val="nil"/>
            </w:tcBorders>
            <w:shd w:val="clear" w:color="000000" w:fill="C6E0B4"/>
            <w:noWrap/>
            <w:vAlign w:val="bottom"/>
            <w:hideMark/>
          </w:tcPr>
          <w:p w:rsidR="00C64CFF" w:rsidRPr="00731751" w:rsidRDefault="00C64CFF" w:rsidP="00731751">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Secondary</w:t>
            </w:r>
          </w:p>
        </w:tc>
        <w:tc>
          <w:tcPr>
            <w:tcW w:w="1614" w:type="dxa"/>
            <w:tcBorders>
              <w:top w:val="single" w:sz="4" w:space="0" w:color="auto"/>
              <w:left w:val="nil"/>
              <w:bottom w:val="nil"/>
              <w:right w:val="nil"/>
            </w:tcBorders>
            <w:shd w:val="clear" w:color="000000" w:fill="C6E0B4"/>
            <w:noWrap/>
            <w:vAlign w:val="bottom"/>
            <w:hideMark/>
          </w:tcPr>
          <w:p w:rsidR="00C64CFF" w:rsidRPr="00731751" w:rsidRDefault="00C64CFF" w:rsidP="00731751">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Rural</w:t>
            </w:r>
          </w:p>
        </w:tc>
        <w:tc>
          <w:tcPr>
            <w:tcW w:w="1147" w:type="dxa"/>
            <w:tcBorders>
              <w:top w:val="single" w:sz="4" w:space="0" w:color="auto"/>
              <w:left w:val="nil"/>
              <w:bottom w:val="nil"/>
              <w:right w:val="nil"/>
            </w:tcBorders>
            <w:shd w:val="clear" w:color="000000" w:fill="C6E0B4"/>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0</w:t>
            </w:r>
          </w:p>
        </w:tc>
        <w:tc>
          <w:tcPr>
            <w:tcW w:w="440" w:type="dxa"/>
            <w:tcBorders>
              <w:top w:val="single" w:sz="4" w:space="0" w:color="auto"/>
              <w:left w:val="nil"/>
              <w:bottom w:val="nil"/>
              <w:right w:val="nil"/>
            </w:tcBorders>
            <w:shd w:val="clear" w:color="000000" w:fill="C6E0B4"/>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2</w:t>
            </w:r>
          </w:p>
        </w:tc>
        <w:tc>
          <w:tcPr>
            <w:tcW w:w="440" w:type="dxa"/>
            <w:tcBorders>
              <w:top w:val="single" w:sz="4" w:space="0" w:color="auto"/>
              <w:left w:val="nil"/>
              <w:bottom w:val="nil"/>
              <w:right w:val="nil"/>
            </w:tcBorders>
            <w:shd w:val="clear" w:color="000000" w:fill="C6E0B4"/>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w:t>
            </w:r>
          </w:p>
        </w:tc>
        <w:tc>
          <w:tcPr>
            <w:tcW w:w="440" w:type="dxa"/>
            <w:tcBorders>
              <w:top w:val="single" w:sz="4" w:space="0" w:color="auto"/>
              <w:left w:val="nil"/>
              <w:bottom w:val="nil"/>
              <w:right w:val="nil"/>
            </w:tcBorders>
            <w:shd w:val="clear" w:color="000000" w:fill="C6E0B4"/>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6</w:t>
            </w:r>
          </w:p>
        </w:tc>
        <w:tc>
          <w:tcPr>
            <w:tcW w:w="1077" w:type="dxa"/>
            <w:tcBorders>
              <w:top w:val="single" w:sz="4" w:space="0" w:color="auto"/>
              <w:left w:val="nil"/>
              <w:bottom w:val="nil"/>
              <w:right w:val="single" w:sz="8" w:space="0" w:color="auto"/>
            </w:tcBorders>
            <w:shd w:val="clear" w:color="000000" w:fill="C6E0B4"/>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9</w:t>
            </w:r>
          </w:p>
        </w:tc>
        <w:tc>
          <w:tcPr>
            <w:tcW w:w="940" w:type="dxa"/>
            <w:tcBorders>
              <w:top w:val="nil"/>
              <w:left w:val="nil"/>
              <w:bottom w:val="nil"/>
              <w:right w:val="nil"/>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p>
        </w:tc>
      </w:tr>
      <w:tr w:rsidR="00C64CFF" w:rsidRPr="00731751" w:rsidTr="00731751">
        <w:trPr>
          <w:trHeight w:val="288"/>
        </w:trPr>
        <w:tc>
          <w:tcPr>
            <w:tcW w:w="1530" w:type="dxa"/>
            <w:tcBorders>
              <w:top w:val="nil"/>
              <w:left w:val="single" w:sz="8" w:space="0" w:color="auto"/>
              <w:bottom w:val="nil"/>
              <w:right w:val="nil"/>
            </w:tcBorders>
            <w:shd w:val="clear" w:color="000000" w:fill="C6E0B4"/>
            <w:noWrap/>
            <w:vAlign w:val="bottom"/>
            <w:hideMark/>
          </w:tcPr>
          <w:p w:rsidR="00C64CFF" w:rsidRPr="00731751" w:rsidRDefault="00C64CFF" w:rsidP="00731751">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 </w:t>
            </w:r>
          </w:p>
        </w:tc>
        <w:tc>
          <w:tcPr>
            <w:tcW w:w="1614" w:type="dxa"/>
            <w:tcBorders>
              <w:top w:val="nil"/>
              <w:left w:val="nil"/>
              <w:bottom w:val="nil"/>
              <w:right w:val="nil"/>
            </w:tcBorders>
            <w:shd w:val="clear" w:color="000000" w:fill="C6E0B4"/>
            <w:noWrap/>
            <w:vAlign w:val="bottom"/>
            <w:hideMark/>
          </w:tcPr>
          <w:p w:rsidR="00C64CFF" w:rsidRPr="00731751" w:rsidRDefault="00C64CFF" w:rsidP="00731751">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Urban</w:t>
            </w:r>
          </w:p>
        </w:tc>
        <w:tc>
          <w:tcPr>
            <w:tcW w:w="1147" w:type="dxa"/>
            <w:tcBorders>
              <w:top w:val="nil"/>
              <w:left w:val="nil"/>
              <w:bottom w:val="nil"/>
              <w:right w:val="nil"/>
            </w:tcBorders>
            <w:shd w:val="clear" w:color="000000" w:fill="C6E0B4"/>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7</w:t>
            </w:r>
          </w:p>
        </w:tc>
        <w:tc>
          <w:tcPr>
            <w:tcW w:w="440" w:type="dxa"/>
            <w:tcBorders>
              <w:top w:val="nil"/>
              <w:left w:val="nil"/>
              <w:bottom w:val="nil"/>
              <w:right w:val="nil"/>
            </w:tcBorders>
            <w:shd w:val="clear" w:color="000000" w:fill="C6E0B4"/>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6</w:t>
            </w:r>
          </w:p>
        </w:tc>
        <w:tc>
          <w:tcPr>
            <w:tcW w:w="440" w:type="dxa"/>
            <w:tcBorders>
              <w:top w:val="nil"/>
              <w:left w:val="nil"/>
              <w:bottom w:val="nil"/>
              <w:right w:val="nil"/>
            </w:tcBorders>
            <w:shd w:val="clear" w:color="000000" w:fill="C6E0B4"/>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12</w:t>
            </w:r>
          </w:p>
        </w:tc>
        <w:tc>
          <w:tcPr>
            <w:tcW w:w="440" w:type="dxa"/>
            <w:tcBorders>
              <w:top w:val="nil"/>
              <w:left w:val="nil"/>
              <w:bottom w:val="nil"/>
              <w:right w:val="nil"/>
            </w:tcBorders>
            <w:shd w:val="clear" w:color="000000" w:fill="C6E0B4"/>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10</w:t>
            </w:r>
          </w:p>
        </w:tc>
        <w:tc>
          <w:tcPr>
            <w:tcW w:w="1077" w:type="dxa"/>
            <w:tcBorders>
              <w:top w:val="nil"/>
              <w:left w:val="nil"/>
              <w:bottom w:val="nil"/>
              <w:right w:val="single" w:sz="8" w:space="0" w:color="auto"/>
            </w:tcBorders>
            <w:shd w:val="clear" w:color="000000" w:fill="C6E0B4"/>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24</w:t>
            </w:r>
          </w:p>
        </w:tc>
        <w:tc>
          <w:tcPr>
            <w:tcW w:w="940" w:type="dxa"/>
            <w:tcBorders>
              <w:top w:val="nil"/>
              <w:left w:val="nil"/>
              <w:bottom w:val="nil"/>
              <w:right w:val="nil"/>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p>
        </w:tc>
      </w:tr>
      <w:tr w:rsidR="00C64CFF" w:rsidRPr="00731751" w:rsidTr="00731751">
        <w:trPr>
          <w:trHeight w:val="288"/>
        </w:trPr>
        <w:tc>
          <w:tcPr>
            <w:tcW w:w="1530" w:type="dxa"/>
            <w:tcBorders>
              <w:top w:val="nil"/>
              <w:left w:val="single" w:sz="8" w:space="0" w:color="auto"/>
              <w:bottom w:val="single" w:sz="4" w:space="0" w:color="auto"/>
              <w:right w:val="nil"/>
            </w:tcBorders>
            <w:shd w:val="clear" w:color="000000" w:fill="C6E0B4"/>
            <w:noWrap/>
            <w:vAlign w:val="bottom"/>
            <w:hideMark/>
          </w:tcPr>
          <w:p w:rsidR="00C64CFF" w:rsidRPr="00731751" w:rsidRDefault="00C64CFF" w:rsidP="00731751">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 </w:t>
            </w:r>
          </w:p>
        </w:tc>
        <w:tc>
          <w:tcPr>
            <w:tcW w:w="1614" w:type="dxa"/>
            <w:tcBorders>
              <w:top w:val="nil"/>
              <w:left w:val="nil"/>
              <w:bottom w:val="single" w:sz="4" w:space="0" w:color="auto"/>
              <w:right w:val="nil"/>
            </w:tcBorders>
            <w:shd w:val="clear" w:color="000000" w:fill="C6E0B4"/>
            <w:noWrap/>
            <w:vAlign w:val="bottom"/>
            <w:hideMark/>
          </w:tcPr>
          <w:p w:rsidR="00C64CFF" w:rsidRPr="00731751" w:rsidRDefault="00C64CFF" w:rsidP="00731751">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Maseru</w:t>
            </w:r>
          </w:p>
        </w:tc>
        <w:tc>
          <w:tcPr>
            <w:tcW w:w="1147" w:type="dxa"/>
            <w:tcBorders>
              <w:top w:val="nil"/>
              <w:left w:val="nil"/>
              <w:bottom w:val="single" w:sz="4" w:space="0" w:color="auto"/>
              <w:right w:val="nil"/>
            </w:tcBorders>
            <w:shd w:val="clear" w:color="000000" w:fill="C6E0B4"/>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6</w:t>
            </w:r>
          </w:p>
        </w:tc>
        <w:tc>
          <w:tcPr>
            <w:tcW w:w="440" w:type="dxa"/>
            <w:tcBorders>
              <w:top w:val="nil"/>
              <w:left w:val="nil"/>
              <w:bottom w:val="single" w:sz="4" w:space="0" w:color="auto"/>
              <w:right w:val="nil"/>
            </w:tcBorders>
            <w:shd w:val="clear" w:color="000000" w:fill="C6E0B4"/>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4</w:t>
            </w:r>
          </w:p>
        </w:tc>
        <w:tc>
          <w:tcPr>
            <w:tcW w:w="440" w:type="dxa"/>
            <w:tcBorders>
              <w:top w:val="nil"/>
              <w:left w:val="nil"/>
              <w:bottom w:val="single" w:sz="4" w:space="0" w:color="auto"/>
              <w:right w:val="nil"/>
            </w:tcBorders>
            <w:shd w:val="clear" w:color="000000" w:fill="C6E0B4"/>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14</w:t>
            </w:r>
          </w:p>
        </w:tc>
        <w:tc>
          <w:tcPr>
            <w:tcW w:w="440" w:type="dxa"/>
            <w:tcBorders>
              <w:top w:val="nil"/>
              <w:left w:val="nil"/>
              <w:bottom w:val="single" w:sz="4" w:space="0" w:color="auto"/>
              <w:right w:val="nil"/>
            </w:tcBorders>
            <w:shd w:val="clear" w:color="000000" w:fill="C6E0B4"/>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11</w:t>
            </w:r>
          </w:p>
        </w:tc>
        <w:tc>
          <w:tcPr>
            <w:tcW w:w="1077" w:type="dxa"/>
            <w:tcBorders>
              <w:top w:val="nil"/>
              <w:left w:val="nil"/>
              <w:bottom w:val="single" w:sz="4" w:space="0" w:color="auto"/>
              <w:right w:val="single" w:sz="8" w:space="0" w:color="auto"/>
            </w:tcBorders>
            <w:shd w:val="clear" w:color="000000" w:fill="C6E0B4"/>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37</w:t>
            </w:r>
          </w:p>
        </w:tc>
        <w:tc>
          <w:tcPr>
            <w:tcW w:w="940" w:type="dxa"/>
            <w:tcBorders>
              <w:top w:val="nil"/>
              <w:left w:val="nil"/>
              <w:bottom w:val="nil"/>
              <w:right w:val="nil"/>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p>
        </w:tc>
      </w:tr>
      <w:tr w:rsidR="00C64CFF" w:rsidRPr="00731751" w:rsidTr="00731751">
        <w:trPr>
          <w:trHeight w:val="288"/>
        </w:trPr>
        <w:tc>
          <w:tcPr>
            <w:tcW w:w="1530" w:type="dxa"/>
            <w:tcBorders>
              <w:top w:val="nil"/>
              <w:left w:val="single" w:sz="8" w:space="0" w:color="auto"/>
              <w:bottom w:val="nil"/>
              <w:right w:val="nil"/>
            </w:tcBorders>
            <w:shd w:val="clear" w:color="auto" w:fill="auto"/>
            <w:noWrap/>
            <w:vAlign w:val="bottom"/>
            <w:hideMark/>
          </w:tcPr>
          <w:p w:rsidR="00C64CFF" w:rsidRPr="00731751" w:rsidRDefault="00C64CFF" w:rsidP="00731751">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Higher</w:t>
            </w:r>
          </w:p>
        </w:tc>
        <w:tc>
          <w:tcPr>
            <w:tcW w:w="1614" w:type="dxa"/>
            <w:tcBorders>
              <w:top w:val="nil"/>
              <w:left w:val="nil"/>
              <w:bottom w:val="nil"/>
              <w:right w:val="nil"/>
            </w:tcBorders>
            <w:shd w:val="clear" w:color="auto" w:fill="auto"/>
            <w:noWrap/>
            <w:vAlign w:val="bottom"/>
            <w:hideMark/>
          </w:tcPr>
          <w:p w:rsidR="00C64CFF" w:rsidRPr="00731751" w:rsidRDefault="00C64CFF" w:rsidP="00731751">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Rural</w:t>
            </w:r>
          </w:p>
        </w:tc>
        <w:tc>
          <w:tcPr>
            <w:tcW w:w="1147" w:type="dxa"/>
            <w:tcBorders>
              <w:top w:val="nil"/>
              <w:left w:val="nil"/>
              <w:bottom w:val="nil"/>
              <w:right w:val="nil"/>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0</w:t>
            </w:r>
          </w:p>
        </w:tc>
        <w:tc>
          <w:tcPr>
            <w:tcW w:w="440" w:type="dxa"/>
            <w:tcBorders>
              <w:top w:val="nil"/>
              <w:left w:val="nil"/>
              <w:bottom w:val="nil"/>
              <w:right w:val="nil"/>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17</w:t>
            </w:r>
          </w:p>
        </w:tc>
        <w:tc>
          <w:tcPr>
            <w:tcW w:w="440" w:type="dxa"/>
            <w:tcBorders>
              <w:top w:val="nil"/>
              <w:left w:val="nil"/>
              <w:bottom w:val="nil"/>
              <w:right w:val="nil"/>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26</w:t>
            </w:r>
          </w:p>
        </w:tc>
        <w:tc>
          <w:tcPr>
            <w:tcW w:w="440" w:type="dxa"/>
            <w:tcBorders>
              <w:top w:val="nil"/>
              <w:left w:val="nil"/>
              <w:bottom w:val="nil"/>
              <w:right w:val="nil"/>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18</w:t>
            </w:r>
          </w:p>
        </w:tc>
        <w:tc>
          <w:tcPr>
            <w:tcW w:w="1077" w:type="dxa"/>
            <w:tcBorders>
              <w:top w:val="nil"/>
              <w:left w:val="nil"/>
              <w:bottom w:val="nil"/>
              <w:right w:val="single" w:sz="8" w:space="0" w:color="auto"/>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2</w:t>
            </w:r>
          </w:p>
        </w:tc>
        <w:tc>
          <w:tcPr>
            <w:tcW w:w="940" w:type="dxa"/>
            <w:tcBorders>
              <w:top w:val="nil"/>
              <w:left w:val="nil"/>
              <w:bottom w:val="nil"/>
              <w:right w:val="nil"/>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p>
        </w:tc>
      </w:tr>
      <w:tr w:rsidR="00C64CFF" w:rsidRPr="00731751" w:rsidTr="00731751">
        <w:trPr>
          <w:trHeight w:val="288"/>
        </w:trPr>
        <w:tc>
          <w:tcPr>
            <w:tcW w:w="1530" w:type="dxa"/>
            <w:tcBorders>
              <w:top w:val="nil"/>
              <w:left w:val="single" w:sz="8" w:space="0" w:color="auto"/>
              <w:bottom w:val="nil"/>
              <w:right w:val="nil"/>
            </w:tcBorders>
            <w:shd w:val="clear" w:color="auto" w:fill="auto"/>
            <w:noWrap/>
            <w:vAlign w:val="bottom"/>
            <w:hideMark/>
          </w:tcPr>
          <w:p w:rsidR="00C64CFF" w:rsidRPr="00731751" w:rsidRDefault="00C64CFF" w:rsidP="00731751">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 </w:t>
            </w:r>
          </w:p>
        </w:tc>
        <w:tc>
          <w:tcPr>
            <w:tcW w:w="1614" w:type="dxa"/>
            <w:tcBorders>
              <w:top w:val="nil"/>
              <w:left w:val="nil"/>
              <w:bottom w:val="nil"/>
              <w:right w:val="nil"/>
            </w:tcBorders>
            <w:shd w:val="clear" w:color="auto" w:fill="auto"/>
            <w:noWrap/>
            <w:vAlign w:val="bottom"/>
            <w:hideMark/>
          </w:tcPr>
          <w:p w:rsidR="00C64CFF" w:rsidRPr="00731751" w:rsidRDefault="00C64CFF" w:rsidP="00731751">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Urban</w:t>
            </w:r>
          </w:p>
        </w:tc>
        <w:tc>
          <w:tcPr>
            <w:tcW w:w="1147" w:type="dxa"/>
            <w:tcBorders>
              <w:top w:val="nil"/>
              <w:left w:val="nil"/>
              <w:bottom w:val="nil"/>
              <w:right w:val="nil"/>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0</w:t>
            </w:r>
          </w:p>
        </w:tc>
        <w:tc>
          <w:tcPr>
            <w:tcW w:w="440" w:type="dxa"/>
            <w:tcBorders>
              <w:top w:val="nil"/>
              <w:left w:val="nil"/>
              <w:bottom w:val="nil"/>
              <w:right w:val="nil"/>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37</w:t>
            </w:r>
          </w:p>
        </w:tc>
        <w:tc>
          <w:tcPr>
            <w:tcW w:w="440" w:type="dxa"/>
            <w:tcBorders>
              <w:top w:val="nil"/>
              <w:left w:val="nil"/>
              <w:bottom w:val="nil"/>
              <w:right w:val="nil"/>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23</w:t>
            </w:r>
          </w:p>
        </w:tc>
        <w:tc>
          <w:tcPr>
            <w:tcW w:w="440" w:type="dxa"/>
            <w:tcBorders>
              <w:top w:val="nil"/>
              <w:left w:val="nil"/>
              <w:bottom w:val="nil"/>
              <w:right w:val="nil"/>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23</w:t>
            </w:r>
          </w:p>
        </w:tc>
        <w:tc>
          <w:tcPr>
            <w:tcW w:w="1077" w:type="dxa"/>
            <w:tcBorders>
              <w:top w:val="nil"/>
              <w:left w:val="nil"/>
              <w:bottom w:val="nil"/>
              <w:right w:val="single" w:sz="8" w:space="0" w:color="auto"/>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37</w:t>
            </w:r>
          </w:p>
        </w:tc>
        <w:tc>
          <w:tcPr>
            <w:tcW w:w="940" w:type="dxa"/>
            <w:tcBorders>
              <w:top w:val="nil"/>
              <w:left w:val="nil"/>
              <w:bottom w:val="nil"/>
              <w:right w:val="nil"/>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p>
        </w:tc>
      </w:tr>
      <w:tr w:rsidR="00C64CFF" w:rsidRPr="00731751" w:rsidTr="00731751">
        <w:trPr>
          <w:trHeight w:val="300"/>
        </w:trPr>
        <w:tc>
          <w:tcPr>
            <w:tcW w:w="1530" w:type="dxa"/>
            <w:tcBorders>
              <w:top w:val="nil"/>
              <w:left w:val="single" w:sz="8" w:space="0" w:color="auto"/>
              <w:bottom w:val="single" w:sz="8" w:space="0" w:color="auto"/>
              <w:right w:val="nil"/>
            </w:tcBorders>
            <w:shd w:val="clear" w:color="auto" w:fill="auto"/>
            <w:noWrap/>
            <w:vAlign w:val="bottom"/>
            <w:hideMark/>
          </w:tcPr>
          <w:p w:rsidR="00C64CFF" w:rsidRPr="00731751" w:rsidRDefault="00C64CFF" w:rsidP="00731751">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 </w:t>
            </w:r>
          </w:p>
        </w:tc>
        <w:tc>
          <w:tcPr>
            <w:tcW w:w="1614" w:type="dxa"/>
            <w:tcBorders>
              <w:top w:val="nil"/>
              <w:left w:val="nil"/>
              <w:bottom w:val="single" w:sz="8" w:space="0" w:color="auto"/>
              <w:right w:val="nil"/>
            </w:tcBorders>
            <w:shd w:val="clear" w:color="auto" w:fill="auto"/>
            <w:noWrap/>
            <w:vAlign w:val="bottom"/>
            <w:hideMark/>
          </w:tcPr>
          <w:p w:rsidR="00C64CFF" w:rsidRPr="00731751" w:rsidRDefault="00C64CFF" w:rsidP="00731751">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Maseru</w:t>
            </w:r>
          </w:p>
        </w:tc>
        <w:tc>
          <w:tcPr>
            <w:tcW w:w="1147" w:type="dxa"/>
            <w:tcBorders>
              <w:top w:val="nil"/>
              <w:left w:val="nil"/>
              <w:bottom w:val="single" w:sz="8" w:space="0" w:color="auto"/>
              <w:right w:val="nil"/>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0</w:t>
            </w:r>
          </w:p>
        </w:tc>
        <w:tc>
          <w:tcPr>
            <w:tcW w:w="440" w:type="dxa"/>
            <w:tcBorders>
              <w:top w:val="nil"/>
              <w:left w:val="nil"/>
              <w:bottom w:val="single" w:sz="8" w:space="0" w:color="auto"/>
              <w:right w:val="nil"/>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36</w:t>
            </w:r>
          </w:p>
        </w:tc>
        <w:tc>
          <w:tcPr>
            <w:tcW w:w="440" w:type="dxa"/>
            <w:tcBorders>
              <w:top w:val="nil"/>
              <w:left w:val="nil"/>
              <w:bottom w:val="single" w:sz="8" w:space="0" w:color="auto"/>
              <w:right w:val="nil"/>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10</w:t>
            </w:r>
          </w:p>
        </w:tc>
        <w:tc>
          <w:tcPr>
            <w:tcW w:w="440" w:type="dxa"/>
            <w:tcBorders>
              <w:top w:val="nil"/>
              <w:left w:val="nil"/>
              <w:bottom w:val="single" w:sz="8" w:space="0" w:color="auto"/>
              <w:right w:val="nil"/>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14</w:t>
            </w:r>
          </w:p>
        </w:tc>
        <w:tc>
          <w:tcPr>
            <w:tcW w:w="1077" w:type="dxa"/>
            <w:tcBorders>
              <w:top w:val="nil"/>
              <w:left w:val="nil"/>
              <w:bottom w:val="single" w:sz="8" w:space="0" w:color="auto"/>
              <w:right w:val="single" w:sz="8" w:space="0" w:color="auto"/>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31</w:t>
            </w:r>
          </w:p>
        </w:tc>
        <w:tc>
          <w:tcPr>
            <w:tcW w:w="940" w:type="dxa"/>
            <w:tcBorders>
              <w:top w:val="nil"/>
              <w:left w:val="nil"/>
              <w:bottom w:val="nil"/>
              <w:right w:val="nil"/>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color w:val="000000"/>
                <w:lang w:eastAsia="en-GB"/>
              </w:rPr>
            </w:pPr>
          </w:p>
        </w:tc>
      </w:tr>
      <w:tr w:rsidR="00C64CFF" w:rsidRPr="00731751" w:rsidTr="00731751">
        <w:trPr>
          <w:trHeight w:val="288"/>
        </w:trPr>
        <w:tc>
          <w:tcPr>
            <w:tcW w:w="3144" w:type="dxa"/>
            <w:gridSpan w:val="2"/>
            <w:tcBorders>
              <w:top w:val="nil"/>
              <w:left w:val="nil"/>
              <w:bottom w:val="nil"/>
              <w:right w:val="nil"/>
            </w:tcBorders>
            <w:shd w:val="clear" w:color="auto" w:fill="auto"/>
            <w:noWrap/>
            <w:vAlign w:val="bottom"/>
            <w:hideMark/>
          </w:tcPr>
          <w:p w:rsidR="00C64CFF" w:rsidRPr="00731751" w:rsidRDefault="00C64CFF" w:rsidP="00731751">
            <w:pPr>
              <w:spacing w:after="0" w:line="240" w:lineRule="auto"/>
              <w:rPr>
                <w:rFonts w:ascii="Times New Roman" w:eastAsia="Times New Roman" w:hAnsi="Times New Roman" w:cs="Times New Roman"/>
                <w:color w:val="000000"/>
                <w:lang w:eastAsia="en-GB"/>
              </w:rPr>
            </w:pPr>
            <w:r w:rsidRPr="00731751">
              <w:rPr>
                <w:rFonts w:ascii="Times New Roman" w:eastAsia="Times New Roman" w:hAnsi="Times New Roman" w:cs="Times New Roman"/>
                <w:color w:val="000000"/>
                <w:lang w:eastAsia="en-GB"/>
              </w:rPr>
              <w:t>Source: MICS</w:t>
            </w:r>
          </w:p>
        </w:tc>
        <w:tc>
          <w:tcPr>
            <w:tcW w:w="1147" w:type="dxa"/>
            <w:tcBorders>
              <w:top w:val="nil"/>
              <w:left w:val="nil"/>
              <w:bottom w:val="nil"/>
              <w:right w:val="nil"/>
            </w:tcBorders>
            <w:shd w:val="clear" w:color="auto" w:fill="auto"/>
            <w:noWrap/>
            <w:vAlign w:val="bottom"/>
            <w:hideMark/>
          </w:tcPr>
          <w:p w:rsidR="00C64CFF" w:rsidRPr="00731751" w:rsidRDefault="00C64CFF" w:rsidP="00731751">
            <w:pPr>
              <w:spacing w:after="0" w:line="240" w:lineRule="auto"/>
              <w:rPr>
                <w:rFonts w:ascii="Times New Roman" w:eastAsia="Times New Roman" w:hAnsi="Times New Roman" w:cs="Times New Roman"/>
                <w:color w:val="000000"/>
                <w:lang w:eastAsia="en-GB"/>
              </w:rPr>
            </w:pPr>
          </w:p>
        </w:tc>
        <w:tc>
          <w:tcPr>
            <w:tcW w:w="440" w:type="dxa"/>
            <w:tcBorders>
              <w:top w:val="nil"/>
              <w:left w:val="nil"/>
              <w:bottom w:val="nil"/>
              <w:right w:val="nil"/>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sz w:val="20"/>
                <w:szCs w:val="20"/>
                <w:lang w:eastAsia="en-GB"/>
              </w:rPr>
            </w:pPr>
          </w:p>
        </w:tc>
        <w:tc>
          <w:tcPr>
            <w:tcW w:w="440" w:type="dxa"/>
            <w:tcBorders>
              <w:top w:val="nil"/>
              <w:left w:val="nil"/>
              <w:bottom w:val="nil"/>
              <w:right w:val="nil"/>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sz w:val="20"/>
                <w:szCs w:val="20"/>
                <w:lang w:eastAsia="en-GB"/>
              </w:rPr>
            </w:pPr>
          </w:p>
        </w:tc>
        <w:tc>
          <w:tcPr>
            <w:tcW w:w="440" w:type="dxa"/>
            <w:tcBorders>
              <w:top w:val="nil"/>
              <w:left w:val="nil"/>
              <w:bottom w:val="nil"/>
              <w:right w:val="nil"/>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sz w:val="20"/>
                <w:szCs w:val="20"/>
                <w:lang w:eastAsia="en-GB"/>
              </w:rPr>
            </w:pPr>
          </w:p>
        </w:tc>
        <w:tc>
          <w:tcPr>
            <w:tcW w:w="1077" w:type="dxa"/>
            <w:tcBorders>
              <w:top w:val="nil"/>
              <w:left w:val="nil"/>
              <w:bottom w:val="nil"/>
              <w:right w:val="nil"/>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rsidR="00C64CFF" w:rsidRPr="00731751" w:rsidRDefault="00C64CFF" w:rsidP="00731751">
            <w:pPr>
              <w:spacing w:after="0" w:line="240" w:lineRule="auto"/>
              <w:jc w:val="center"/>
              <w:rPr>
                <w:rFonts w:ascii="Times New Roman" w:eastAsia="Times New Roman" w:hAnsi="Times New Roman" w:cs="Times New Roman"/>
                <w:sz w:val="20"/>
                <w:szCs w:val="20"/>
                <w:lang w:eastAsia="en-GB"/>
              </w:rPr>
            </w:pPr>
          </w:p>
        </w:tc>
      </w:tr>
    </w:tbl>
    <w:p w:rsidR="00444B29" w:rsidRDefault="00731751" w:rsidP="003133DF">
      <w:pPr>
        <w:spacing w:line="360" w:lineRule="auto"/>
        <w:jc w:val="both"/>
        <w:rPr>
          <w:rFonts w:ascii="Times New Roman" w:hAnsi="Times New Roman" w:cs="Times New Roman"/>
          <w:sz w:val="28"/>
          <w:szCs w:val="28"/>
        </w:rPr>
      </w:pPr>
      <w:r>
        <w:rPr>
          <w:rFonts w:ascii="Times New Roman" w:hAnsi="Times New Roman" w:cs="Times New Roman"/>
          <w:sz w:val="28"/>
          <w:szCs w:val="28"/>
        </w:rPr>
        <w:br w:type="textWrapping" w:clear="all"/>
      </w:r>
    </w:p>
    <w:p w:rsidR="00A9618B" w:rsidRPr="003B3EF6" w:rsidRDefault="00A9618B" w:rsidP="003133DF">
      <w:pPr>
        <w:spacing w:line="360" w:lineRule="auto"/>
        <w:jc w:val="both"/>
        <w:rPr>
          <w:rFonts w:ascii="Times New Roman" w:hAnsi="Times New Roman" w:cs="Times New Roman"/>
          <w:i/>
          <w:sz w:val="28"/>
          <w:szCs w:val="28"/>
        </w:rPr>
      </w:pPr>
      <w:r w:rsidRPr="003B3EF6">
        <w:rPr>
          <w:rFonts w:ascii="Times New Roman" w:hAnsi="Times New Roman" w:cs="Times New Roman"/>
          <w:i/>
          <w:sz w:val="28"/>
          <w:szCs w:val="28"/>
        </w:rPr>
        <w:t>Private schooling and educational distancing</w:t>
      </w:r>
    </w:p>
    <w:p w:rsidR="00A9618B" w:rsidRPr="003B3EF6" w:rsidRDefault="00A9618B" w:rsidP="003133DF">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The rapid expansion of private education in many countries in SSA is</w:t>
      </w:r>
      <w:r w:rsidR="00F6338E" w:rsidRPr="003B3EF6">
        <w:rPr>
          <w:rFonts w:ascii="Times New Roman" w:hAnsi="Times New Roman" w:cs="Times New Roman"/>
          <w:sz w:val="28"/>
          <w:szCs w:val="28"/>
        </w:rPr>
        <w:t>,</w:t>
      </w:r>
      <w:r w:rsidRPr="003B3EF6">
        <w:rPr>
          <w:rFonts w:ascii="Times New Roman" w:hAnsi="Times New Roman" w:cs="Times New Roman"/>
          <w:sz w:val="28"/>
          <w:szCs w:val="28"/>
        </w:rPr>
        <w:t xml:space="preserve"> in part</w:t>
      </w:r>
      <w:r w:rsidR="00F6338E" w:rsidRPr="003B3EF6">
        <w:rPr>
          <w:rFonts w:ascii="Times New Roman" w:hAnsi="Times New Roman" w:cs="Times New Roman"/>
          <w:sz w:val="28"/>
          <w:szCs w:val="28"/>
        </w:rPr>
        <w:t>,</w:t>
      </w:r>
      <w:r w:rsidRPr="003B3EF6">
        <w:rPr>
          <w:rFonts w:ascii="Times New Roman" w:hAnsi="Times New Roman" w:cs="Times New Roman"/>
          <w:sz w:val="28"/>
          <w:szCs w:val="28"/>
        </w:rPr>
        <w:t xml:space="preserve"> the result of the new neo-liberal, pro-market economic development strategy as well as democratisation and a general increase in political freedoms. However, it is also directly related to the UPE reform strategy itself. </w:t>
      </w:r>
    </w:p>
    <w:p w:rsidR="00A9618B" w:rsidRPr="003B3EF6" w:rsidRDefault="00A9618B" w:rsidP="003133DF">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Prior to economic and political liberalisation, </w:t>
      </w:r>
      <w:r w:rsidR="00F6338E" w:rsidRPr="003B3EF6">
        <w:rPr>
          <w:rFonts w:ascii="Times New Roman" w:hAnsi="Times New Roman" w:cs="Times New Roman"/>
          <w:sz w:val="28"/>
          <w:szCs w:val="28"/>
        </w:rPr>
        <w:t xml:space="preserve">most </w:t>
      </w:r>
      <w:r w:rsidRPr="003B3EF6">
        <w:rPr>
          <w:rFonts w:ascii="Times New Roman" w:hAnsi="Times New Roman" w:cs="Times New Roman"/>
          <w:sz w:val="28"/>
          <w:szCs w:val="28"/>
        </w:rPr>
        <w:t>governments strongly opposed private schooling for both ideological and pragmati</w:t>
      </w:r>
      <w:r w:rsidR="00F6338E" w:rsidRPr="003B3EF6">
        <w:rPr>
          <w:rFonts w:ascii="Times New Roman" w:hAnsi="Times New Roman" w:cs="Times New Roman"/>
          <w:sz w:val="28"/>
          <w:szCs w:val="28"/>
        </w:rPr>
        <w:t>c/</w:t>
      </w:r>
      <w:r w:rsidRPr="003B3EF6">
        <w:rPr>
          <w:rFonts w:ascii="Times New Roman" w:hAnsi="Times New Roman" w:cs="Times New Roman"/>
          <w:sz w:val="28"/>
          <w:szCs w:val="28"/>
        </w:rPr>
        <w:t>opportunistic reasons. Ideological because it conflicted with the egalitarian principles of ‘African socialism’ and pragmatic because the political and economic elites were usually able to send their children to high-performing government and government-assisted, not-for-profit (mainly church) schools.</w:t>
      </w:r>
    </w:p>
    <w:p w:rsidR="00A9618B" w:rsidRPr="003B3EF6" w:rsidRDefault="00A9618B" w:rsidP="003133DF">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lastRenderedPageBreak/>
        <w:t xml:space="preserve">As elsewhere, the massification of schooling represented by UPE posed a </w:t>
      </w:r>
      <w:r w:rsidR="0083278E" w:rsidRPr="003B3EF6">
        <w:rPr>
          <w:rFonts w:ascii="Times New Roman" w:hAnsi="Times New Roman" w:cs="Times New Roman"/>
          <w:sz w:val="28"/>
          <w:szCs w:val="28"/>
        </w:rPr>
        <w:t>potentially</w:t>
      </w:r>
      <w:r w:rsidR="00F6338E" w:rsidRPr="003B3EF6">
        <w:rPr>
          <w:rFonts w:ascii="Times New Roman" w:hAnsi="Times New Roman" w:cs="Times New Roman"/>
          <w:sz w:val="28"/>
          <w:szCs w:val="28"/>
        </w:rPr>
        <w:t xml:space="preserve"> </w:t>
      </w:r>
      <w:r w:rsidR="00C33527" w:rsidRPr="003B3EF6">
        <w:rPr>
          <w:rFonts w:ascii="Times New Roman" w:hAnsi="Times New Roman" w:cs="Times New Roman"/>
          <w:sz w:val="28"/>
          <w:szCs w:val="28"/>
        </w:rPr>
        <w:t>serious threat</w:t>
      </w:r>
      <w:r w:rsidRPr="003B3EF6">
        <w:rPr>
          <w:rFonts w:ascii="Times New Roman" w:hAnsi="Times New Roman" w:cs="Times New Roman"/>
          <w:sz w:val="28"/>
          <w:szCs w:val="28"/>
        </w:rPr>
        <w:t xml:space="preserve"> to the privileged class position of the established pol</w:t>
      </w:r>
      <w:r w:rsidR="00547478" w:rsidRPr="003B3EF6">
        <w:rPr>
          <w:rFonts w:ascii="Times New Roman" w:hAnsi="Times New Roman" w:cs="Times New Roman"/>
          <w:sz w:val="28"/>
          <w:szCs w:val="28"/>
        </w:rPr>
        <w:t>i</w:t>
      </w:r>
      <w:r w:rsidRPr="003B3EF6">
        <w:rPr>
          <w:rFonts w:ascii="Times New Roman" w:hAnsi="Times New Roman" w:cs="Times New Roman"/>
          <w:sz w:val="28"/>
          <w:szCs w:val="28"/>
        </w:rPr>
        <w:t>tical and economic elites. The liberalisation/privatisation of education provision has enabled them to educational</w:t>
      </w:r>
      <w:r w:rsidR="00F6338E" w:rsidRPr="003B3EF6">
        <w:rPr>
          <w:rFonts w:ascii="Times New Roman" w:hAnsi="Times New Roman" w:cs="Times New Roman"/>
          <w:sz w:val="28"/>
          <w:szCs w:val="28"/>
        </w:rPr>
        <w:t>ly</w:t>
      </w:r>
      <w:r w:rsidRPr="003B3EF6">
        <w:rPr>
          <w:rFonts w:ascii="Times New Roman" w:hAnsi="Times New Roman" w:cs="Times New Roman"/>
          <w:sz w:val="28"/>
          <w:szCs w:val="28"/>
        </w:rPr>
        <w:t xml:space="preserve"> distance their chi</w:t>
      </w:r>
      <w:r w:rsidR="00F6338E" w:rsidRPr="003B3EF6">
        <w:rPr>
          <w:rFonts w:ascii="Times New Roman" w:hAnsi="Times New Roman" w:cs="Times New Roman"/>
          <w:sz w:val="28"/>
          <w:szCs w:val="28"/>
        </w:rPr>
        <w:t>l</w:t>
      </w:r>
      <w:r w:rsidRPr="003B3EF6">
        <w:rPr>
          <w:rFonts w:ascii="Times New Roman" w:hAnsi="Times New Roman" w:cs="Times New Roman"/>
          <w:sz w:val="28"/>
          <w:szCs w:val="28"/>
        </w:rPr>
        <w:t xml:space="preserve">dren from the rest of society by enrolling them in private schools. To a large extent, therefore, the populist, egalitarian goals of UPE have been subverted by the creation of a sizeable public-private class divide in the schooling system itself. Liberalising private education was the </w:t>
      </w:r>
      <w:r w:rsidR="00731751">
        <w:rPr>
          <w:rFonts w:ascii="Times New Roman" w:hAnsi="Times New Roman" w:cs="Times New Roman"/>
          <w:sz w:val="28"/>
          <w:szCs w:val="28"/>
        </w:rPr>
        <w:t xml:space="preserve">(political) </w:t>
      </w:r>
      <w:r w:rsidRPr="003B3EF6">
        <w:rPr>
          <w:rFonts w:ascii="Times New Roman" w:hAnsi="Times New Roman" w:cs="Times New Roman"/>
          <w:sz w:val="28"/>
          <w:szCs w:val="28"/>
        </w:rPr>
        <w:t>price that governments had to pay in order to placate powerful class interests and other specific stakeholders in particular in the education sector itself.</w:t>
      </w:r>
    </w:p>
    <w:p w:rsidR="00A9618B" w:rsidRPr="003B3EF6" w:rsidRDefault="00A9618B" w:rsidP="003133DF">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The abolition of school tuition fees which has been a central plank </w:t>
      </w:r>
      <w:r w:rsidR="00547478" w:rsidRPr="003B3EF6">
        <w:rPr>
          <w:rFonts w:ascii="Times New Roman" w:hAnsi="Times New Roman" w:cs="Times New Roman"/>
          <w:sz w:val="28"/>
          <w:szCs w:val="28"/>
        </w:rPr>
        <w:t>of</w:t>
      </w:r>
      <w:r w:rsidRPr="003B3EF6">
        <w:rPr>
          <w:rFonts w:ascii="Times New Roman" w:hAnsi="Times New Roman" w:cs="Times New Roman"/>
          <w:sz w:val="28"/>
          <w:szCs w:val="28"/>
        </w:rPr>
        <w:t xml:space="preserve"> the UPE reform strategy led to a surge in enrolments. Schools became seriously overcrowded and teacher recruitment could not keep pace. As a consequence, pupil-teacher ratios increas</w:t>
      </w:r>
      <w:r w:rsidR="00F6338E" w:rsidRPr="003B3EF6">
        <w:rPr>
          <w:rFonts w:ascii="Times New Roman" w:hAnsi="Times New Roman" w:cs="Times New Roman"/>
          <w:sz w:val="28"/>
          <w:szCs w:val="28"/>
        </w:rPr>
        <w:t xml:space="preserve">ed rapidly and already very limited </w:t>
      </w:r>
      <w:r w:rsidRPr="003B3EF6">
        <w:rPr>
          <w:rFonts w:ascii="Times New Roman" w:hAnsi="Times New Roman" w:cs="Times New Roman"/>
          <w:sz w:val="28"/>
          <w:szCs w:val="28"/>
        </w:rPr>
        <w:t>teaching and learning materials were stretched even further. The net result was a serious decline in quality with poorer learning outcomes leading to plummeting pass rates in primary school leaving examinations</w:t>
      </w:r>
      <w:r w:rsidR="00731751">
        <w:rPr>
          <w:rStyle w:val="FootnoteReference"/>
          <w:rFonts w:ascii="Times New Roman" w:hAnsi="Times New Roman" w:cs="Times New Roman"/>
          <w:sz w:val="28"/>
          <w:szCs w:val="28"/>
        </w:rPr>
        <w:footnoteReference w:id="25"/>
      </w:r>
      <w:r w:rsidRPr="003B3EF6">
        <w:rPr>
          <w:rFonts w:ascii="Times New Roman" w:hAnsi="Times New Roman" w:cs="Times New Roman"/>
          <w:sz w:val="28"/>
          <w:szCs w:val="28"/>
        </w:rPr>
        <w:t>. The ‘UPE bulge’ of primary school leavers eventually fed through to secondary schools with similar outcomes. Faced with this situation, mainly better-off parents enrolled their children in private schools. As noted above, this has amounted to a mass exodus in many countries and particularly in capital cities</w:t>
      </w:r>
      <w:r w:rsidR="004D15FF">
        <w:rPr>
          <w:rFonts w:ascii="Times New Roman" w:hAnsi="Times New Roman" w:cs="Times New Roman"/>
          <w:sz w:val="28"/>
          <w:szCs w:val="28"/>
        </w:rPr>
        <w:t xml:space="preserve"> which has potentially major implications for both government and donor education policies and practice</w:t>
      </w:r>
      <w:r w:rsidR="004D15FF">
        <w:rPr>
          <w:rStyle w:val="FootnoteReference"/>
          <w:rFonts w:ascii="Times New Roman" w:hAnsi="Times New Roman" w:cs="Times New Roman"/>
          <w:sz w:val="28"/>
          <w:szCs w:val="28"/>
        </w:rPr>
        <w:footnoteReference w:id="26"/>
      </w:r>
      <w:r w:rsidR="004D15FF">
        <w:rPr>
          <w:rFonts w:ascii="Times New Roman" w:hAnsi="Times New Roman" w:cs="Times New Roman"/>
          <w:sz w:val="28"/>
          <w:szCs w:val="28"/>
        </w:rPr>
        <w:t xml:space="preserve">.  </w:t>
      </w:r>
      <w:r w:rsidRPr="003B3EF6">
        <w:rPr>
          <w:rFonts w:ascii="Times New Roman" w:hAnsi="Times New Roman" w:cs="Times New Roman"/>
          <w:sz w:val="28"/>
          <w:szCs w:val="28"/>
        </w:rPr>
        <w:t xml:space="preserve"> </w:t>
      </w:r>
    </w:p>
    <w:p w:rsidR="00A9618B" w:rsidRPr="003B3EF6" w:rsidRDefault="00A9618B" w:rsidP="003133DF">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lastRenderedPageBreak/>
        <w:t xml:space="preserve">Medium of instruction language policy has also contributed to growth of private schooling. The </w:t>
      </w:r>
      <w:r w:rsidR="00F6338E" w:rsidRPr="003B3EF6">
        <w:rPr>
          <w:rFonts w:ascii="Times New Roman" w:hAnsi="Times New Roman" w:cs="Times New Roman"/>
          <w:sz w:val="28"/>
          <w:szCs w:val="28"/>
        </w:rPr>
        <w:t xml:space="preserve">adoption of </w:t>
      </w:r>
      <w:r w:rsidRPr="003B3EF6">
        <w:rPr>
          <w:rFonts w:ascii="Times New Roman" w:hAnsi="Times New Roman" w:cs="Times New Roman"/>
          <w:sz w:val="28"/>
          <w:szCs w:val="28"/>
        </w:rPr>
        <w:t xml:space="preserve">mother tongue </w:t>
      </w:r>
      <w:r w:rsidR="00F6338E" w:rsidRPr="003B3EF6">
        <w:rPr>
          <w:rFonts w:ascii="Times New Roman" w:hAnsi="Times New Roman" w:cs="Times New Roman"/>
          <w:sz w:val="28"/>
          <w:szCs w:val="28"/>
        </w:rPr>
        <w:t xml:space="preserve">as the medium of instruction </w:t>
      </w:r>
      <w:r w:rsidRPr="003B3EF6">
        <w:rPr>
          <w:rFonts w:ascii="Times New Roman" w:hAnsi="Times New Roman" w:cs="Times New Roman"/>
          <w:sz w:val="28"/>
          <w:szCs w:val="28"/>
        </w:rPr>
        <w:t>in the early</w:t>
      </w:r>
      <w:r w:rsidR="00F6338E" w:rsidRPr="003B3EF6">
        <w:rPr>
          <w:rFonts w:ascii="Times New Roman" w:hAnsi="Times New Roman" w:cs="Times New Roman"/>
          <w:sz w:val="28"/>
          <w:szCs w:val="28"/>
        </w:rPr>
        <w:t xml:space="preserve"> grades </w:t>
      </w:r>
      <w:r w:rsidR="00C33527" w:rsidRPr="003B3EF6">
        <w:rPr>
          <w:rFonts w:ascii="Times New Roman" w:hAnsi="Times New Roman" w:cs="Times New Roman"/>
          <w:sz w:val="28"/>
          <w:szCs w:val="28"/>
        </w:rPr>
        <w:t>of primary</w:t>
      </w:r>
      <w:r w:rsidRPr="003B3EF6">
        <w:rPr>
          <w:rFonts w:ascii="Times New Roman" w:hAnsi="Times New Roman" w:cs="Times New Roman"/>
          <w:sz w:val="28"/>
          <w:szCs w:val="28"/>
        </w:rPr>
        <w:t xml:space="preserve"> school grades has been part and parcel of UPE in the majority of countries in SSA. However, this has conflicted with parental preferences for </w:t>
      </w:r>
      <w:r w:rsidR="00264228">
        <w:rPr>
          <w:rFonts w:ascii="Times New Roman" w:hAnsi="Times New Roman" w:cs="Times New Roman"/>
          <w:sz w:val="28"/>
          <w:szCs w:val="28"/>
        </w:rPr>
        <w:t>two main reasons</w:t>
      </w:r>
      <w:r w:rsidRPr="003B3EF6">
        <w:rPr>
          <w:rFonts w:ascii="Times New Roman" w:hAnsi="Times New Roman" w:cs="Times New Roman"/>
          <w:sz w:val="28"/>
          <w:szCs w:val="28"/>
        </w:rPr>
        <w:t xml:space="preserve">. Firstly, most parents and children recognise that </w:t>
      </w:r>
      <w:r w:rsidR="00F6338E" w:rsidRPr="003B3EF6">
        <w:rPr>
          <w:rFonts w:ascii="Times New Roman" w:hAnsi="Times New Roman" w:cs="Times New Roman"/>
          <w:sz w:val="28"/>
          <w:szCs w:val="28"/>
        </w:rPr>
        <w:t xml:space="preserve">metropolitan colonial language </w:t>
      </w:r>
      <w:r w:rsidRPr="003B3EF6">
        <w:rPr>
          <w:rFonts w:ascii="Times New Roman" w:hAnsi="Times New Roman" w:cs="Times New Roman"/>
          <w:sz w:val="28"/>
          <w:szCs w:val="28"/>
        </w:rPr>
        <w:t xml:space="preserve">competency </w:t>
      </w:r>
      <w:r w:rsidR="00F6338E" w:rsidRPr="003B3EF6">
        <w:rPr>
          <w:rFonts w:ascii="Times New Roman" w:hAnsi="Times New Roman" w:cs="Times New Roman"/>
          <w:sz w:val="28"/>
          <w:szCs w:val="28"/>
        </w:rPr>
        <w:t xml:space="preserve">(English/French/ Portuguese) </w:t>
      </w:r>
      <w:r w:rsidRPr="003B3EF6">
        <w:rPr>
          <w:rFonts w:ascii="Times New Roman" w:hAnsi="Times New Roman" w:cs="Times New Roman"/>
          <w:sz w:val="28"/>
          <w:szCs w:val="28"/>
        </w:rPr>
        <w:t xml:space="preserve">is indispensable in maximising their chances of obtaining good jobs in both the public and private sectors. More generally, these remain the aspirational languages of the middle class which are inextricably linked to powerfully ingrained notions of modernity in a rapidly globalising/transnational world. And secondly, </w:t>
      </w:r>
      <w:r w:rsidR="00235B7A">
        <w:rPr>
          <w:rFonts w:ascii="Times New Roman" w:hAnsi="Times New Roman" w:cs="Times New Roman"/>
          <w:sz w:val="28"/>
          <w:szCs w:val="28"/>
        </w:rPr>
        <w:t xml:space="preserve">most </w:t>
      </w:r>
      <w:r w:rsidRPr="003B3EF6">
        <w:rPr>
          <w:rFonts w:ascii="Times New Roman" w:hAnsi="Times New Roman" w:cs="Times New Roman"/>
          <w:sz w:val="28"/>
          <w:szCs w:val="28"/>
        </w:rPr>
        <w:t xml:space="preserve">parents of children from minority language groups residing in major urban centres do not want to send their children to primary schools where the medium of instruction </w:t>
      </w:r>
      <w:r w:rsidR="00E11762" w:rsidRPr="003B3EF6">
        <w:rPr>
          <w:rFonts w:ascii="Times New Roman" w:hAnsi="Times New Roman" w:cs="Times New Roman"/>
          <w:sz w:val="28"/>
          <w:szCs w:val="28"/>
        </w:rPr>
        <w:t xml:space="preserve">is </w:t>
      </w:r>
      <w:r w:rsidRPr="003B3EF6">
        <w:rPr>
          <w:rFonts w:ascii="Times New Roman" w:hAnsi="Times New Roman" w:cs="Times New Roman"/>
          <w:sz w:val="28"/>
          <w:szCs w:val="28"/>
        </w:rPr>
        <w:t xml:space="preserve">the dominant urban mother tongue language. </w:t>
      </w:r>
      <w:r w:rsidR="00C33527" w:rsidRPr="003B3EF6">
        <w:rPr>
          <w:rFonts w:ascii="Times New Roman" w:hAnsi="Times New Roman" w:cs="Times New Roman"/>
          <w:sz w:val="28"/>
          <w:szCs w:val="28"/>
        </w:rPr>
        <w:t>Thus,</w:t>
      </w:r>
      <w:r w:rsidR="00547478" w:rsidRPr="003B3EF6">
        <w:rPr>
          <w:rFonts w:ascii="Times New Roman" w:hAnsi="Times New Roman" w:cs="Times New Roman"/>
          <w:sz w:val="28"/>
          <w:szCs w:val="28"/>
        </w:rPr>
        <w:t xml:space="preserve"> ma</w:t>
      </w:r>
      <w:r w:rsidRPr="003B3EF6">
        <w:rPr>
          <w:rFonts w:ascii="Times New Roman" w:hAnsi="Times New Roman" w:cs="Times New Roman"/>
          <w:sz w:val="28"/>
          <w:szCs w:val="28"/>
        </w:rPr>
        <w:t>ny have no option</w:t>
      </w:r>
      <w:r w:rsidR="00547478" w:rsidRPr="003B3EF6">
        <w:rPr>
          <w:rFonts w:ascii="Times New Roman" w:hAnsi="Times New Roman" w:cs="Times New Roman"/>
          <w:sz w:val="28"/>
          <w:szCs w:val="28"/>
        </w:rPr>
        <w:t xml:space="preserve"> </w:t>
      </w:r>
      <w:r w:rsidRPr="003B3EF6">
        <w:rPr>
          <w:rFonts w:ascii="Times New Roman" w:hAnsi="Times New Roman" w:cs="Times New Roman"/>
          <w:sz w:val="28"/>
          <w:szCs w:val="28"/>
        </w:rPr>
        <w:t xml:space="preserve">but </w:t>
      </w:r>
      <w:r w:rsidR="00E11762" w:rsidRPr="003B3EF6">
        <w:rPr>
          <w:rFonts w:ascii="Times New Roman" w:hAnsi="Times New Roman" w:cs="Times New Roman"/>
          <w:sz w:val="28"/>
          <w:szCs w:val="28"/>
        </w:rPr>
        <w:t xml:space="preserve">to </w:t>
      </w:r>
      <w:r w:rsidRPr="003B3EF6">
        <w:rPr>
          <w:rFonts w:ascii="Times New Roman" w:hAnsi="Times New Roman" w:cs="Times New Roman"/>
          <w:sz w:val="28"/>
          <w:szCs w:val="28"/>
        </w:rPr>
        <w:t>send their children to private schools</w:t>
      </w:r>
      <w:r w:rsidR="00235B7A">
        <w:rPr>
          <w:rFonts w:ascii="Times New Roman" w:hAnsi="Times New Roman" w:cs="Times New Roman"/>
          <w:sz w:val="28"/>
          <w:szCs w:val="28"/>
        </w:rPr>
        <w:t xml:space="preserve"> where metropolitan languages are the medium of instruction</w:t>
      </w:r>
      <w:r w:rsidRPr="003B3EF6">
        <w:rPr>
          <w:rFonts w:ascii="Times New Roman" w:hAnsi="Times New Roman" w:cs="Times New Roman"/>
          <w:sz w:val="28"/>
          <w:szCs w:val="28"/>
        </w:rPr>
        <w:t>. This also gives the</w:t>
      </w:r>
      <w:r w:rsidR="00547478" w:rsidRPr="003B3EF6">
        <w:rPr>
          <w:rFonts w:ascii="Times New Roman" w:hAnsi="Times New Roman" w:cs="Times New Roman"/>
          <w:sz w:val="28"/>
          <w:szCs w:val="28"/>
        </w:rPr>
        <w:t>m</w:t>
      </w:r>
      <w:r w:rsidRPr="003B3EF6">
        <w:rPr>
          <w:rFonts w:ascii="Times New Roman" w:hAnsi="Times New Roman" w:cs="Times New Roman"/>
          <w:sz w:val="28"/>
          <w:szCs w:val="28"/>
        </w:rPr>
        <w:t xml:space="preserve"> a </w:t>
      </w:r>
      <w:r w:rsidR="00C33527" w:rsidRPr="003B3EF6">
        <w:rPr>
          <w:rFonts w:ascii="Times New Roman" w:hAnsi="Times New Roman" w:cs="Times New Roman"/>
          <w:sz w:val="28"/>
          <w:szCs w:val="28"/>
        </w:rPr>
        <w:t>head start</w:t>
      </w:r>
      <w:r w:rsidRPr="003B3EF6">
        <w:rPr>
          <w:rFonts w:ascii="Times New Roman" w:hAnsi="Times New Roman" w:cs="Times New Roman"/>
          <w:sz w:val="28"/>
          <w:szCs w:val="28"/>
        </w:rPr>
        <w:t xml:space="preserve"> in </w:t>
      </w:r>
      <w:r w:rsidR="00235B7A">
        <w:rPr>
          <w:rFonts w:ascii="Times New Roman" w:hAnsi="Times New Roman" w:cs="Times New Roman"/>
          <w:sz w:val="28"/>
          <w:szCs w:val="28"/>
        </w:rPr>
        <w:t xml:space="preserve">very </w:t>
      </w:r>
      <w:r w:rsidRPr="003B3EF6">
        <w:rPr>
          <w:rFonts w:ascii="Times New Roman" w:hAnsi="Times New Roman" w:cs="Times New Roman"/>
          <w:sz w:val="28"/>
          <w:szCs w:val="28"/>
        </w:rPr>
        <w:t>competitive schooling system</w:t>
      </w:r>
      <w:r w:rsidR="00547478" w:rsidRPr="003B3EF6">
        <w:rPr>
          <w:rFonts w:ascii="Times New Roman" w:hAnsi="Times New Roman" w:cs="Times New Roman"/>
          <w:sz w:val="28"/>
          <w:szCs w:val="28"/>
        </w:rPr>
        <w:t>s</w:t>
      </w:r>
      <w:r w:rsidRPr="003B3EF6">
        <w:rPr>
          <w:rFonts w:ascii="Times New Roman" w:hAnsi="Times New Roman" w:cs="Times New Roman"/>
          <w:sz w:val="28"/>
          <w:szCs w:val="28"/>
        </w:rPr>
        <w:t xml:space="preserve"> where ultimate success in high-stakes examinations </w:t>
      </w:r>
      <w:r w:rsidR="00235B7A">
        <w:rPr>
          <w:rFonts w:ascii="Times New Roman" w:hAnsi="Times New Roman" w:cs="Times New Roman"/>
          <w:sz w:val="28"/>
          <w:szCs w:val="28"/>
        </w:rPr>
        <w:t xml:space="preserve">still mainly </w:t>
      </w:r>
      <w:r w:rsidRPr="003B3EF6">
        <w:rPr>
          <w:rFonts w:ascii="Times New Roman" w:hAnsi="Times New Roman" w:cs="Times New Roman"/>
          <w:sz w:val="28"/>
          <w:szCs w:val="28"/>
        </w:rPr>
        <w:t xml:space="preserve">depends </w:t>
      </w:r>
      <w:r w:rsidR="00235B7A">
        <w:rPr>
          <w:rFonts w:ascii="Times New Roman" w:hAnsi="Times New Roman" w:cs="Times New Roman"/>
          <w:sz w:val="28"/>
          <w:szCs w:val="28"/>
        </w:rPr>
        <w:t>on</w:t>
      </w:r>
      <w:r w:rsidR="00547478" w:rsidRPr="003B3EF6">
        <w:rPr>
          <w:rFonts w:ascii="Times New Roman" w:hAnsi="Times New Roman" w:cs="Times New Roman"/>
          <w:sz w:val="28"/>
          <w:szCs w:val="28"/>
        </w:rPr>
        <w:t xml:space="preserve"> being </w:t>
      </w:r>
      <w:r w:rsidRPr="003B3EF6">
        <w:rPr>
          <w:rFonts w:ascii="Times New Roman" w:hAnsi="Times New Roman" w:cs="Times New Roman"/>
          <w:sz w:val="28"/>
          <w:szCs w:val="28"/>
        </w:rPr>
        <w:t>competen</w:t>
      </w:r>
      <w:r w:rsidR="00547478" w:rsidRPr="003B3EF6">
        <w:rPr>
          <w:rFonts w:ascii="Times New Roman" w:hAnsi="Times New Roman" w:cs="Times New Roman"/>
          <w:sz w:val="28"/>
          <w:szCs w:val="28"/>
        </w:rPr>
        <w:t>t</w:t>
      </w:r>
      <w:r w:rsidRPr="003B3EF6">
        <w:rPr>
          <w:rFonts w:ascii="Times New Roman" w:hAnsi="Times New Roman" w:cs="Times New Roman"/>
          <w:sz w:val="28"/>
          <w:szCs w:val="28"/>
        </w:rPr>
        <w:t xml:space="preserve"> in these metrop</w:t>
      </w:r>
      <w:r w:rsidR="00E11762" w:rsidRPr="003B3EF6">
        <w:rPr>
          <w:rFonts w:ascii="Times New Roman" w:hAnsi="Times New Roman" w:cs="Times New Roman"/>
          <w:sz w:val="28"/>
          <w:szCs w:val="28"/>
        </w:rPr>
        <w:t>ol</w:t>
      </w:r>
      <w:r w:rsidRPr="003B3EF6">
        <w:rPr>
          <w:rFonts w:ascii="Times New Roman" w:hAnsi="Times New Roman" w:cs="Times New Roman"/>
          <w:sz w:val="28"/>
          <w:szCs w:val="28"/>
        </w:rPr>
        <w:t xml:space="preserve">itan languages. </w:t>
      </w:r>
    </w:p>
    <w:p w:rsidR="00AC5162" w:rsidRPr="005A21A8" w:rsidRDefault="005A21A8" w:rsidP="003133DF">
      <w:pPr>
        <w:spacing w:line="360" w:lineRule="auto"/>
        <w:jc w:val="both"/>
        <w:rPr>
          <w:rFonts w:ascii="Times New Roman" w:hAnsi="Times New Roman" w:cs="Times New Roman"/>
          <w:i/>
          <w:sz w:val="28"/>
          <w:szCs w:val="28"/>
        </w:rPr>
      </w:pPr>
      <w:r w:rsidRPr="005A21A8">
        <w:rPr>
          <w:rFonts w:ascii="Times New Roman" w:hAnsi="Times New Roman" w:cs="Times New Roman"/>
          <w:i/>
          <w:sz w:val="28"/>
          <w:szCs w:val="28"/>
        </w:rPr>
        <w:t>5</w:t>
      </w:r>
      <w:r w:rsidR="00AC5162" w:rsidRPr="005A21A8">
        <w:rPr>
          <w:rFonts w:ascii="Times New Roman" w:hAnsi="Times New Roman" w:cs="Times New Roman"/>
          <w:i/>
          <w:sz w:val="28"/>
          <w:szCs w:val="28"/>
        </w:rPr>
        <w:t>.2 Basic education</w:t>
      </w:r>
    </w:p>
    <w:p w:rsidR="00AA7D1E" w:rsidRPr="003B3EF6" w:rsidRDefault="0079398C" w:rsidP="003133DF">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UPE is part of the overall </w:t>
      </w:r>
      <w:r w:rsidR="00AC5162" w:rsidRPr="003B3EF6">
        <w:rPr>
          <w:rFonts w:ascii="Times New Roman" w:hAnsi="Times New Roman" w:cs="Times New Roman"/>
          <w:sz w:val="28"/>
          <w:szCs w:val="28"/>
        </w:rPr>
        <w:t>concept</w:t>
      </w:r>
      <w:r w:rsidRPr="003B3EF6">
        <w:rPr>
          <w:rFonts w:ascii="Times New Roman" w:hAnsi="Times New Roman" w:cs="Times New Roman"/>
          <w:sz w:val="28"/>
          <w:szCs w:val="28"/>
        </w:rPr>
        <w:t xml:space="preserve"> of Basic E</w:t>
      </w:r>
      <w:r w:rsidR="00AC5162" w:rsidRPr="003B3EF6">
        <w:rPr>
          <w:rFonts w:ascii="Times New Roman" w:hAnsi="Times New Roman" w:cs="Times New Roman"/>
          <w:sz w:val="28"/>
          <w:szCs w:val="28"/>
        </w:rPr>
        <w:t xml:space="preserve">ducation </w:t>
      </w:r>
      <w:r w:rsidRPr="003B3EF6">
        <w:rPr>
          <w:rFonts w:ascii="Times New Roman" w:hAnsi="Times New Roman" w:cs="Times New Roman"/>
          <w:sz w:val="28"/>
          <w:szCs w:val="28"/>
        </w:rPr>
        <w:t>which, broadly speaking</w:t>
      </w:r>
      <w:r w:rsidR="00235B7A">
        <w:rPr>
          <w:rFonts w:ascii="Times New Roman" w:hAnsi="Times New Roman" w:cs="Times New Roman"/>
          <w:sz w:val="28"/>
          <w:szCs w:val="28"/>
        </w:rPr>
        <w:t>,</w:t>
      </w:r>
      <w:r w:rsidRPr="003B3EF6">
        <w:rPr>
          <w:rFonts w:ascii="Times New Roman" w:hAnsi="Times New Roman" w:cs="Times New Roman"/>
          <w:sz w:val="28"/>
          <w:szCs w:val="28"/>
        </w:rPr>
        <w:t xml:space="preserve"> e</w:t>
      </w:r>
      <w:r w:rsidR="00AC5162" w:rsidRPr="003B3EF6">
        <w:rPr>
          <w:rFonts w:ascii="Times New Roman" w:hAnsi="Times New Roman" w:cs="Times New Roman"/>
          <w:sz w:val="28"/>
          <w:szCs w:val="28"/>
        </w:rPr>
        <w:t xml:space="preserve">ntails the extension of primary education to eight or nine years </w:t>
      </w:r>
      <w:r w:rsidR="00547478" w:rsidRPr="003B3EF6">
        <w:rPr>
          <w:rFonts w:ascii="Times New Roman" w:hAnsi="Times New Roman" w:cs="Times New Roman"/>
          <w:sz w:val="28"/>
          <w:szCs w:val="28"/>
        </w:rPr>
        <w:t xml:space="preserve">either </w:t>
      </w:r>
      <w:r w:rsidR="00AC5162" w:rsidRPr="003B3EF6">
        <w:rPr>
          <w:rFonts w:ascii="Times New Roman" w:hAnsi="Times New Roman" w:cs="Times New Roman"/>
          <w:sz w:val="28"/>
          <w:szCs w:val="28"/>
        </w:rPr>
        <w:t>through the incorporation of the lower second</w:t>
      </w:r>
      <w:r w:rsidRPr="003B3EF6">
        <w:rPr>
          <w:rFonts w:ascii="Times New Roman" w:hAnsi="Times New Roman" w:cs="Times New Roman"/>
          <w:sz w:val="28"/>
          <w:szCs w:val="28"/>
        </w:rPr>
        <w:t>a</w:t>
      </w:r>
      <w:r w:rsidR="00AC5162" w:rsidRPr="003B3EF6">
        <w:rPr>
          <w:rFonts w:ascii="Times New Roman" w:hAnsi="Times New Roman" w:cs="Times New Roman"/>
          <w:sz w:val="28"/>
          <w:szCs w:val="28"/>
        </w:rPr>
        <w:t xml:space="preserve">ry </w:t>
      </w:r>
      <w:r w:rsidR="00AA7D1E" w:rsidRPr="003B3EF6">
        <w:rPr>
          <w:rFonts w:ascii="Times New Roman" w:hAnsi="Times New Roman" w:cs="Times New Roman"/>
          <w:sz w:val="28"/>
          <w:szCs w:val="28"/>
        </w:rPr>
        <w:t xml:space="preserve">school grades </w:t>
      </w:r>
      <w:r w:rsidR="00AC5162" w:rsidRPr="003B3EF6">
        <w:rPr>
          <w:rFonts w:ascii="Times New Roman" w:hAnsi="Times New Roman" w:cs="Times New Roman"/>
          <w:sz w:val="28"/>
          <w:szCs w:val="28"/>
        </w:rPr>
        <w:t>into a new basic education cycle</w:t>
      </w:r>
      <w:r w:rsidR="006E59E1" w:rsidRPr="003B3EF6">
        <w:rPr>
          <w:rFonts w:ascii="Times New Roman" w:hAnsi="Times New Roman" w:cs="Times New Roman"/>
          <w:sz w:val="28"/>
          <w:szCs w:val="28"/>
        </w:rPr>
        <w:t xml:space="preserve"> or the extension of the primary education cycle to eight years</w:t>
      </w:r>
      <w:r w:rsidR="00AC5162" w:rsidRPr="003B3EF6">
        <w:rPr>
          <w:rFonts w:ascii="Times New Roman" w:hAnsi="Times New Roman" w:cs="Times New Roman"/>
          <w:sz w:val="28"/>
          <w:szCs w:val="28"/>
        </w:rPr>
        <w:t xml:space="preserve">. </w:t>
      </w:r>
      <w:r w:rsidR="006E59E1" w:rsidRPr="003B3EF6">
        <w:rPr>
          <w:rFonts w:ascii="Times New Roman" w:hAnsi="Times New Roman" w:cs="Times New Roman"/>
          <w:sz w:val="28"/>
          <w:szCs w:val="28"/>
        </w:rPr>
        <w:t>Th</w:t>
      </w:r>
      <w:r w:rsidR="00235B7A">
        <w:rPr>
          <w:rFonts w:ascii="Times New Roman" w:hAnsi="Times New Roman" w:cs="Times New Roman"/>
          <w:sz w:val="28"/>
          <w:szCs w:val="28"/>
        </w:rPr>
        <w:t>is</w:t>
      </w:r>
      <w:r w:rsidR="006E59E1" w:rsidRPr="003B3EF6">
        <w:rPr>
          <w:rFonts w:ascii="Times New Roman" w:hAnsi="Times New Roman" w:cs="Times New Roman"/>
          <w:sz w:val="28"/>
          <w:szCs w:val="28"/>
        </w:rPr>
        <w:t xml:space="preserve"> even more ambitious goal of Basic Education for All was s</w:t>
      </w:r>
      <w:r w:rsidR="00AC5162" w:rsidRPr="003B3EF6">
        <w:rPr>
          <w:rFonts w:ascii="Times New Roman" w:hAnsi="Times New Roman" w:cs="Times New Roman"/>
          <w:sz w:val="28"/>
          <w:szCs w:val="28"/>
        </w:rPr>
        <w:t>trongly supported by UNESCO and later the World Bank</w:t>
      </w:r>
      <w:r w:rsidR="00264228">
        <w:rPr>
          <w:rFonts w:ascii="Times New Roman" w:hAnsi="Times New Roman" w:cs="Times New Roman"/>
          <w:sz w:val="28"/>
          <w:szCs w:val="28"/>
        </w:rPr>
        <w:t xml:space="preserve"> during the 1990s</w:t>
      </w:r>
      <w:r w:rsidR="00AC5162" w:rsidRPr="003B3EF6">
        <w:rPr>
          <w:rFonts w:ascii="Times New Roman" w:hAnsi="Times New Roman" w:cs="Times New Roman"/>
          <w:sz w:val="28"/>
          <w:szCs w:val="28"/>
        </w:rPr>
        <w:t>.</w:t>
      </w:r>
      <w:r w:rsidR="006E59E1" w:rsidRPr="003B3EF6">
        <w:rPr>
          <w:rFonts w:ascii="Times New Roman" w:hAnsi="Times New Roman" w:cs="Times New Roman"/>
          <w:sz w:val="28"/>
          <w:szCs w:val="28"/>
        </w:rPr>
        <w:t xml:space="preserve"> However, </w:t>
      </w:r>
      <w:r w:rsidR="00050DE1" w:rsidRPr="003B3EF6">
        <w:rPr>
          <w:rFonts w:ascii="Times New Roman" w:hAnsi="Times New Roman" w:cs="Times New Roman"/>
          <w:sz w:val="28"/>
          <w:szCs w:val="28"/>
        </w:rPr>
        <w:t xml:space="preserve">comprehensive restructuring </w:t>
      </w:r>
      <w:r w:rsidR="006E59E1" w:rsidRPr="003B3EF6">
        <w:rPr>
          <w:rFonts w:ascii="Times New Roman" w:hAnsi="Times New Roman" w:cs="Times New Roman"/>
          <w:sz w:val="28"/>
          <w:szCs w:val="28"/>
        </w:rPr>
        <w:t>was only adopted in a limited number of countries (including Namibia and Zambia). The main reason for this was that the s</w:t>
      </w:r>
      <w:r w:rsidR="00AC5162" w:rsidRPr="003B3EF6">
        <w:rPr>
          <w:rFonts w:ascii="Times New Roman" w:hAnsi="Times New Roman" w:cs="Times New Roman"/>
          <w:sz w:val="28"/>
          <w:szCs w:val="28"/>
        </w:rPr>
        <w:t>egmentation of secondary education</w:t>
      </w:r>
      <w:r w:rsidR="006E59E1" w:rsidRPr="003B3EF6">
        <w:rPr>
          <w:rFonts w:ascii="Times New Roman" w:hAnsi="Times New Roman" w:cs="Times New Roman"/>
          <w:sz w:val="28"/>
          <w:szCs w:val="28"/>
        </w:rPr>
        <w:t xml:space="preserve"> was </w:t>
      </w:r>
      <w:r w:rsidR="00AC5162" w:rsidRPr="003B3EF6">
        <w:rPr>
          <w:rFonts w:ascii="Times New Roman" w:hAnsi="Times New Roman" w:cs="Times New Roman"/>
          <w:sz w:val="28"/>
          <w:szCs w:val="28"/>
        </w:rPr>
        <w:t xml:space="preserve">strongly opposed </w:t>
      </w:r>
      <w:r w:rsidR="006E59E1" w:rsidRPr="003B3EF6">
        <w:rPr>
          <w:rFonts w:ascii="Times New Roman" w:hAnsi="Times New Roman" w:cs="Times New Roman"/>
          <w:sz w:val="28"/>
          <w:szCs w:val="28"/>
        </w:rPr>
        <w:t xml:space="preserve">by powerful </w:t>
      </w:r>
      <w:r w:rsidR="00B601E6">
        <w:rPr>
          <w:rFonts w:ascii="Times New Roman" w:hAnsi="Times New Roman" w:cs="Times New Roman"/>
          <w:sz w:val="28"/>
          <w:szCs w:val="28"/>
        </w:rPr>
        <w:t xml:space="preserve">social </w:t>
      </w:r>
      <w:r w:rsidR="006E59E1" w:rsidRPr="003B3EF6">
        <w:rPr>
          <w:rFonts w:ascii="Times New Roman" w:hAnsi="Times New Roman" w:cs="Times New Roman"/>
          <w:sz w:val="28"/>
          <w:szCs w:val="28"/>
        </w:rPr>
        <w:t xml:space="preserve">class and </w:t>
      </w:r>
      <w:r w:rsidR="006E59E1" w:rsidRPr="003B3EF6">
        <w:rPr>
          <w:rFonts w:ascii="Times New Roman" w:hAnsi="Times New Roman" w:cs="Times New Roman"/>
          <w:sz w:val="28"/>
          <w:szCs w:val="28"/>
        </w:rPr>
        <w:lastRenderedPageBreak/>
        <w:t xml:space="preserve">stakeholder interests since it threatened </w:t>
      </w:r>
      <w:r w:rsidR="00AC5162" w:rsidRPr="003B3EF6">
        <w:rPr>
          <w:rFonts w:ascii="Times New Roman" w:hAnsi="Times New Roman" w:cs="Times New Roman"/>
          <w:sz w:val="28"/>
          <w:szCs w:val="28"/>
        </w:rPr>
        <w:t xml:space="preserve">to undermine the </w:t>
      </w:r>
      <w:r w:rsidR="006E59E1" w:rsidRPr="003B3EF6">
        <w:rPr>
          <w:rFonts w:ascii="Times New Roman" w:hAnsi="Times New Roman" w:cs="Times New Roman"/>
          <w:sz w:val="28"/>
          <w:szCs w:val="28"/>
        </w:rPr>
        <w:t xml:space="preserve">overall quality of secondary education as well as </w:t>
      </w:r>
      <w:r w:rsidR="00547478" w:rsidRPr="003B3EF6">
        <w:rPr>
          <w:rFonts w:ascii="Times New Roman" w:hAnsi="Times New Roman" w:cs="Times New Roman"/>
          <w:sz w:val="28"/>
          <w:szCs w:val="28"/>
        </w:rPr>
        <w:t xml:space="preserve">its </w:t>
      </w:r>
      <w:r w:rsidR="00AC5162" w:rsidRPr="003B3EF6">
        <w:rPr>
          <w:rFonts w:ascii="Times New Roman" w:hAnsi="Times New Roman" w:cs="Times New Roman"/>
          <w:sz w:val="28"/>
          <w:szCs w:val="28"/>
        </w:rPr>
        <w:t xml:space="preserve">key </w:t>
      </w:r>
      <w:r w:rsidR="00B601E6">
        <w:rPr>
          <w:rFonts w:ascii="Times New Roman" w:hAnsi="Times New Roman" w:cs="Times New Roman"/>
          <w:sz w:val="28"/>
          <w:szCs w:val="28"/>
        </w:rPr>
        <w:t xml:space="preserve">social </w:t>
      </w:r>
      <w:r w:rsidR="00AC5162" w:rsidRPr="003B3EF6">
        <w:rPr>
          <w:rFonts w:ascii="Times New Roman" w:hAnsi="Times New Roman" w:cs="Times New Roman"/>
          <w:sz w:val="28"/>
          <w:szCs w:val="28"/>
        </w:rPr>
        <w:t>filtering/selection role.</w:t>
      </w:r>
      <w:r w:rsidR="006E59E1" w:rsidRPr="003B3EF6">
        <w:rPr>
          <w:rFonts w:ascii="Times New Roman" w:hAnsi="Times New Roman" w:cs="Times New Roman"/>
          <w:sz w:val="28"/>
          <w:szCs w:val="28"/>
        </w:rPr>
        <w:t xml:space="preserve"> </w:t>
      </w:r>
    </w:p>
    <w:p w:rsidR="00AC5162" w:rsidRPr="003B3EF6" w:rsidRDefault="007B2F32" w:rsidP="003133D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006E59E1" w:rsidRPr="003B3EF6">
        <w:rPr>
          <w:rFonts w:ascii="Times New Roman" w:hAnsi="Times New Roman" w:cs="Times New Roman"/>
          <w:sz w:val="28"/>
          <w:szCs w:val="28"/>
        </w:rPr>
        <w:t>abandonment of the basic education restructuring in Zambia</w:t>
      </w:r>
      <w:r w:rsidR="00AC5162" w:rsidRPr="003B3EF6">
        <w:rPr>
          <w:rFonts w:ascii="Times New Roman" w:hAnsi="Times New Roman" w:cs="Times New Roman"/>
          <w:sz w:val="28"/>
          <w:szCs w:val="28"/>
        </w:rPr>
        <w:t xml:space="preserve"> </w:t>
      </w:r>
      <w:r w:rsidR="00547478" w:rsidRPr="003B3EF6">
        <w:rPr>
          <w:rFonts w:ascii="Times New Roman" w:hAnsi="Times New Roman" w:cs="Times New Roman"/>
          <w:sz w:val="28"/>
          <w:szCs w:val="28"/>
        </w:rPr>
        <w:t xml:space="preserve">in the </w:t>
      </w:r>
      <w:r w:rsidR="00C33527" w:rsidRPr="003B3EF6">
        <w:rPr>
          <w:rFonts w:ascii="Times New Roman" w:hAnsi="Times New Roman" w:cs="Times New Roman"/>
          <w:sz w:val="28"/>
          <w:szCs w:val="28"/>
        </w:rPr>
        <w:t>early</w:t>
      </w:r>
      <w:r w:rsidR="00547478" w:rsidRPr="003B3EF6">
        <w:rPr>
          <w:rFonts w:ascii="Times New Roman" w:hAnsi="Times New Roman" w:cs="Times New Roman"/>
          <w:sz w:val="28"/>
          <w:szCs w:val="28"/>
        </w:rPr>
        <w:t xml:space="preserve"> 2010s </w:t>
      </w:r>
      <w:r w:rsidR="006E59E1" w:rsidRPr="003B3EF6">
        <w:rPr>
          <w:rFonts w:ascii="Times New Roman" w:hAnsi="Times New Roman" w:cs="Times New Roman"/>
          <w:sz w:val="28"/>
          <w:szCs w:val="28"/>
        </w:rPr>
        <w:t xml:space="preserve">is the prime example of the potency of the political opposition to this reform. Concerted efforts were </w:t>
      </w:r>
      <w:r w:rsidR="00AE18E4" w:rsidRPr="003B3EF6">
        <w:rPr>
          <w:rFonts w:ascii="Times New Roman" w:hAnsi="Times New Roman" w:cs="Times New Roman"/>
          <w:sz w:val="28"/>
          <w:szCs w:val="28"/>
        </w:rPr>
        <w:t xml:space="preserve">also </w:t>
      </w:r>
      <w:r w:rsidR="006E59E1" w:rsidRPr="003B3EF6">
        <w:rPr>
          <w:rFonts w:ascii="Times New Roman" w:hAnsi="Times New Roman" w:cs="Times New Roman"/>
          <w:sz w:val="28"/>
          <w:szCs w:val="28"/>
        </w:rPr>
        <w:t xml:space="preserve">made in Kenya </w:t>
      </w:r>
      <w:r w:rsidR="00547478" w:rsidRPr="003B3EF6">
        <w:rPr>
          <w:rFonts w:ascii="Times New Roman" w:hAnsi="Times New Roman" w:cs="Times New Roman"/>
          <w:sz w:val="28"/>
          <w:szCs w:val="28"/>
        </w:rPr>
        <w:t xml:space="preserve">during the late 1990s </w:t>
      </w:r>
      <w:r w:rsidR="006E59E1" w:rsidRPr="003B3EF6">
        <w:rPr>
          <w:rFonts w:ascii="Times New Roman" w:hAnsi="Times New Roman" w:cs="Times New Roman"/>
          <w:sz w:val="28"/>
          <w:szCs w:val="28"/>
        </w:rPr>
        <w:t xml:space="preserve">to </w:t>
      </w:r>
      <w:r w:rsidR="00AE18E4" w:rsidRPr="003B3EF6">
        <w:rPr>
          <w:rFonts w:ascii="Times New Roman" w:hAnsi="Times New Roman" w:cs="Times New Roman"/>
          <w:sz w:val="28"/>
          <w:szCs w:val="28"/>
        </w:rPr>
        <w:t xml:space="preserve">abandon the new 8-4-4 education cycle. These were unsuccessful in part because the government placated the </w:t>
      </w:r>
      <w:r w:rsidR="00C33527" w:rsidRPr="003B3EF6">
        <w:rPr>
          <w:rFonts w:ascii="Times New Roman" w:hAnsi="Times New Roman" w:cs="Times New Roman"/>
          <w:sz w:val="28"/>
          <w:szCs w:val="28"/>
        </w:rPr>
        <w:t>predominantly</w:t>
      </w:r>
      <w:r w:rsidR="00AE18E4" w:rsidRPr="003B3EF6">
        <w:rPr>
          <w:rFonts w:ascii="Times New Roman" w:hAnsi="Times New Roman" w:cs="Times New Roman"/>
          <w:sz w:val="28"/>
          <w:szCs w:val="28"/>
        </w:rPr>
        <w:t xml:space="preserve"> middle class opposition by creating a strong enabling environment for the expansion of higher education (see below). </w:t>
      </w:r>
      <w:r w:rsidR="006E59E1" w:rsidRPr="003B3EF6">
        <w:rPr>
          <w:rFonts w:ascii="Times New Roman" w:hAnsi="Times New Roman" w:cs="Times New Roman"/>
          <w:sz w:val="28"/>
          <w:szCs w:val="28"/>
        </w:rPr>
        <w:t xml:space="preserve"> </w:t>
      </w:r>
    </w:p>
    <w:p w:rsidR="00EA16BF" w:rsidRPr="005A21A8" w:rsidRDefault="000140CE" w:rsidP="003133DF">
      <w:pPr>
        <w:spacing w:line="360" w:lineRule="auto"/>
        <w:rPr>
          <w:rFonts w:ascii="Times New Roman" w:hAnsi="Times New Roman" w:cs="Times New Roman"/>
          <w:i/>
          <w:sz w:val="28"/>
          <w:szCs w:val="28"/>
        </w:rPr>
      </w:pPr>
      <w:r>
        <w:rPr>
          <w:rFonts w:ascii="Times New Roman" w:hAnsi="Times New Roman" w:cs="Times New Roman"/>
          <w:i/>
          <w:sz w:val="28"/>
          <w:szCs w:val="28"/>
        </w:rPr>
        <w:t>5</w:t>
      </w:r>
      <w:r w:rsidR="00AC5162" w:rsidRPr="005A21A8">
        <w:rPr>
          <w:rFonts w:ascii="Times New Roman" w:hAnsi="Times New Roman" w:cs="Times New Roman"/>
          <w:i/>
          <w:sz w:val="28"/>
          <w:szCs w:val="28"/>
        </w:rPr>
        <w:t>.3 Secondary education</w:t>
      </w:r>
    </w:p>
    <w:p w:rsidR="00AC5162" w:rsidRPr="003B3EF6" w:rsidRDefault="00050DE1" w:rsidP="003133DF">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Politically, secondary education is the </w:t>
      </w:r>
      <w:r w:rsidR="00AC5162" w:rsidRPr="003B3EF6">
        <w:rPr>
          <w:rFonts w:ascii="Times New Roman" w:hAnsi="Times New Roman" w:cs="Times New Roman"/>
          <w:sz w:val="28"/>
          <w:szCs w:val="28"/>
        </w:rPr>
        <w:t xml:space="preserve">most powerful sub-sector of the education system </w:t>
      </w:r>
      <w:r w:rsidRPr="003B3EF6">
        <w:rPr>
          <w:rFonts w:ascii="Times New Roman" w:hAnsi="Times New Roman" w:cs="Times New Roman"/>
          <w:sz w:val="28"/>
          <w:szCs w:val="28"/>
        </w:rPr>
        <w:t>in most countries in SSA</w:t>
      </w:r>
      <w:r w:rsidR="0030657F">
        <w:rPr>
          <w:rStyle w:val="FootnoteReference"/>
          <w:rFonts w:ascii="Times New Roman" w:hAnsi="Times New Roman" w:cs="Times New Roman"/>
          <w:sz w:val="28"/>
          <w:szCs w:val="28"/>
        </w:rPr>
        <w:footnoteReference w:id="27"/>
      </w:r>
      <w:r w:rsidRPr="003B3EF6">
        <w:rPr>
          <w:rFonts w:ascii="Times New Roman" w:hAnsi="Times New Roman" w:cs="Times New Roman"/>
          <w:sz w:val="28"/>
          <w:szCs w:val="28"/>
        </w:rPr>
        <w:t>. G</w:t>
      </w:r>
      <w:r w:rsidR="00AC5162" w:rsidRPr="003B3EF6">
        <w:rPr>
          <w:rFonts w:ascii="Times New Roman" w:hAnsi="Times New Roman" w:cs="Times New Roman"/>
          <w:sz w:val="28"/>
          <w:szCs w:val="28"/>
        </w:rPr>
        <w:t>iven its central sorting function</w:t>
      </w:r>
      <w:r w:rsidRPr="003B3EF6">
        <w:rPr>
          <w:rFonts w:ascii="Times New Roman" w:hAnsi="Times New Roman" w:cs="Times New Roman"/>
          <w:sz w:val="28"/>
          <w:szCs w:val="28"/>
        </w:rPr>
        <w:t xml:space="preserve"> in reproducing the </w:t>
      </w:r>
      <w:r w:rsidR="00B601E6">
        <w:rPr>
          <w:rFonts w:ascii="Times New Roman" w:hAnsi="Times New Roman" w:cs="Times New Roman"/>
          <w:sz w:val="28"/>
          <w:szCs w:val="28"/>
        </w:rPr>
        <w:t xml:space="preserve">social </w:t>
      </w:r>
      <w:r w:rsidRPr="003B3EF6">
        <w:rPr>
          <w:rFonts w:ascii="Times New Roman" w:hAnsi="Times New Roman" w:cs="Times New Roman"/>
          <w:sz w:val="28"/>
          <w:szCs w:val="28"/>
        </w:rPr>
        <w:t xml:space="preserve">class system, it is heavily protected by powerful vested interests. The </w:t>
      </w:r>
      <w:r w:rsidR="00A11AD4" w:rsidRPr="003B3EF6">
        <w:rPr>
          <w:rFonts w:ascii="Times New Roman" w:hAnsi="Times New Roman" w:cs="Times New Roman"/>
          <w:sz w:val="28"/>
          <w:szCs w:val="28"/>
        </w:rPr>
        <w:t xml:space="preserve">potential </w:t>
      </w:r>
      <w:r w:rsidR="00AA7D1E" w:rsidRPr="003B3EF6">
        <w:rPr>
          <w:rFonts w:ascii="Times New Roman" w:hAnsi="Times New Roman" w:cs="Times New Roman"/>
          <w:sz w:val="28"/>
          <w:szCs w:val="28"/>
        </w:rPr>
        <w:t>impact</w:t>
      </w:r>
      <w:r w:rsidR="00A11AD4" w:rsidRPr="003B3EF6">
        <w:rPr>
          <w:rFonts w:ascii="Times New Roman" w:hAnsi="Times New Roman" w:cs="Times New Roman"/>
          <w:sz w:val="28"/>
          <w:szCs w:val="28"/>
        </w:rPr>
        <w:t>s</w:t>
      </w:r>
      <w:r w:rsidR="00AA7D1E" w:rsidRPr="003B3EF6">
        <w:rPr>
          <w:rFonts w:ascii="Times New Roman" w:hAnsi="Times New Roman" w:cs="Times New Roman"/>
          <w:sz w:val="28"/>
          <w:szCs w:val="28"/>
        </w:rPr>
        <w:t xml:space="preserve"> of too rapid </w:t>
      </w:r>
      <w:r w:rsidRPr="003B3EF6">
        <w:rPr>
          <w:rFonts w:ascii="Times New Roman" w:hAnsi="Times New Roman" w:cs="Times New Roman"/>
          <w:sz w:val="28"/>
          <w:szCs w:val="28"/>
        </w:rPr>
        <w:t xml:space="preserve">expansion of primary education </w:t>
      </w:r>
      <w:r w:rsidR="00AA7D1E" w:rsidRPr="003B3EF6">
        <w:rPr>
          <w:rFonts w:ascii="Times New Roman" w:hAnsi="Times New Roman" w:cs="Times New Roman"/>
          <w:sz w:val="28"/>
          <w:szCs w:val="28"/>
        </w:rPr>
        <w:t>on secondary education were serious</w:t>
      </w:r>
      <w:r w:rsidR="00AC5162" w:rsidRPr="003B3EF6">
        <w:rPr>
          <w:rFonts w:ascii="Times New Roman" w:hAnsi="Times New Roman" w:cs="Times New Roman"/>
          <w:sz w:val="28"/>
          <w:szCs w:val="28"/>
        </w:rPr>
        <w:t xml:space="preserve">. </w:t>
      </w:r>
      <w:r w:rsidR="00471367" w:rsidRPr="003B3EF6">
        <w:rPr>
          <w:rFonts w:ascii="Times New Roman" w:hAnsi="Times New Roman" w:cs="Times New Roman"/>
          <w:sz w:val="28"/>
          <w:szCs w:val="28"/>
        </w:rPr>
        <w:t>However, through a c</w:t>
      </w:r>
      <w:r w:rsidR="00AC5162" w:rsidRPr="003B3EF6">
        <w:rPr>
          <w:rFonts w:ascii="Times New Roman" w:hAnsi="Times New Roman" w:cs="Times New Roman"/>
          <w:sz w:val="28"/>
          <w:szCs w:val="28"/>
        </w:rPr>
        <w:t>ombination of high st</w:t>
      </w:r>
      <w:r w:rsidR="00B601E6">
        <w:rPr>
          <w:rFonts w:ascii="Times New Roman" w:hAnsi="Times New Roman" w:cs="Times New Roman"/>
          <w:sz w:val="28"/>
          <w:szCs w:val="28"/>
        </w:rPr>
        <w:t xml:space="preserve">akes examinations, </w:t>
      </w:r>
      <w:r w:rsidR="0086088C">
        <w:rPr>
          <w:rFonts w:ascii="Times New Roman" w:hAnsi="Times New Roman" w:cs="Times New Roman"/>
          <w:sz w:val="28"/>
          <w:szCs w:val="28"/>
        </w:rPr>
        <w:t xml:space="preserve">relatively high </w:t>
      </w:r>
      <w:r w:rsidR="00B601E6">
        <w:rPr>
          <w:rFonts w:ascii="Times New Roman" w:hAnsi="Times New Roman" w:cs="Times New Roman"/>
          <w:sz w:val="28"/>
          <w:szCs w:val="28"/>
        </w:rPr>
        <w:t>school fees</w:t>
      </w:r>
      <w:r w:rsidR="0086088C">
        <w:rPr>
          <w:rFonts w:ascii="Times New Roman" w:hAnsi="Times New Roman" w:cs="Times New Roman"/>
          <w:sz w:val="28"/>
          <w:szCs w:val="28"/>
        </w:rPr>
        <w:t xml:space="preserve"> (especially for poorer households)</w:t>
      </w:r>
      <w:r w:rsidR="00B601E6">
        <w:rPr>
          <w:rFonts w:ascii="Times New Roman" w:hAnsi="Times New Roman" w:cs="Times New Roman"/>
          <w:sz w:val="28"/>
          <w:szCs w:val="28"/>
        </w:rPr>
        <w:t xml:space="preserve"> as well as</w:t>
      </w:r>
      <w:r w:rsidR="00471367" w:rsidRPr="003B3EF6">
        <w:rPr>
          <w:rFonts w:ascii="Times New Roman" w:hAnsi="Times New Roman" w:cs="Times New Roman"/>
          <w:sz w:val="28"/>
          <w:szCs w:val="28"/>
        </w:rPr>
        <w:t xml:space="preserve"> </w:t>
      </w:r>
      <w:r w:rsidR="0086088C">
        <w:rPr>
          <w:rFonts w:ascii="Times New Roman" w:hAnsi="Times New Roman" w:cs="Times New Roman"/>
          <w:sz w:val="28"/>
          <w:szCs w:val="28"/>
        </w:rPr>
        <w:t xml:space="preserve">expanded </w:t>
      </w:r>
      <w:r w:rsidR="00471367" w:rsidRPr="003B3EF6">
        <w:rPr>
          <w:rFonts w:ascii="Times New Roman" w:hAnsi="Times New Roman" w:cs="Times New Roman"/>
          <w:sz w:val="28"/>
          <w:szCs w:val="28"/>
        </w:rPr>
        <w:t xml:space="preserve">private schooling, the fundamental </w:t>
      </w:r>
      <w:r w:rsidR="00AA7D1E" w:rsidRPr="003B3EF6">
        <w:rPr>
          <w:rFonts w:ascii="Times New Roman" w:hAnsi="Times New Roman" w:cs="Times New Roman"/>
          <w:sz w:val="28"/>
          <w:szCs w:val="28"/>
        </w:rPr>
        <w:t xml:space="preserve">sorting </w:t>
      </w:r>
      <w:r w:rsidR="00471367" w:rsidRPr="003B3EF6">
        <w:rPr>
          <w:rFonts w:ascii="Times New Roman" w:hAnsi="Times New Roman" w:cs="Times New Roman"/>
          <w:sz w:val="28"/>
          <w:szCs w:val="28"/>
        </w:rPr>
        <w:t>role of secondary education has been preserved in most countries.</w:t>
      </w:r>
      <w:r w:rsidR="00AC5162" w:rsidRPr="003B3EF6">
        <w:rPr>
          <w:rFonts w:ascii="Times New Roman" w:hAnsi="Times New Roman" w:cs="Times New Roman"/>
          <w:sz w:val="28"/>
          <w:szCs w:val="28"/>
        </w:rPr>
        <w:t xml:space="preserve">   </w:t>
      </w:r>
    </w:p>
    <w:p w:rsidR="0038592C" w:rsidRDefault="00A11AD4" w:rsidP="003133DF">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UPE has certainly led to large increases in secondary school enrolments in many countries. However, as </w:t>
      </w:r>
      <w:r w:rsidR="00C00B8B" w:rsidRPr="003B3EF6">
        <w:rPr>
          <w:rFonts w:ascii="Times New Roman" w:hAnsi="Times New Roman" w:cs="Times New Roman"/>
          <w:sz w:val="28"/>
          <w:szCs w:val="28"/>
        </w:rPr>
        <w:t>Table 5 shows</w:t>
      </w:r>
      <w:r w:rsidRPr="003B3EF6">
        <w:rPr>
          <w:rFonts w:ascii="Times New Roman" w:hAnsi="Times New Roman" w:cs="Times New Roman"/>
          <w:sz w:val="28"/>
          <w:szCs w:val="28"/>
        </w:rPr>
        <w:t xml:space="preserve">, </w:t>
      </w:r>
      <w:r w:rsidR="00CB497C" w:rsidRPr="003B3EF6">
        <w:rPr>
          <w:rFonts w:ascii="Times New Roman" w:hAnsi="Times New Roman" w:cs="Times New Roman"/>
          <w:sz w:val="28"/>
          <w:szCs w:val="28"/>
        </w:rPr>
        <w:t xml:space="preserve">lower </w:t>
      </w:r>
      <w:r w:rsidR="00C00B8B" w:rsidRPr="003B3EF6">
        <w:rPr>
          <w:rFonts w:ascii="Times New Roman" w:hAnsi="Times New Roman" w:cs="Times New Roman"/>
          <w:sz w:val="28"/>
          <w:szCs w:val="28"/>
        </w:rPr>
        <w:t xml:space="preserve">secondary school completion rates (SSCR) remain at below 30% in over half of the countries for which data is available. Equally significant, </w:t>
      </w:r>
      <w:r w:rsidR="00CB497C" w:rsidRPr="003B3EF6">
        <w:rPr>
          <w:rFonts w:ascii="Times New Roman" w:hAnsi="Times New Roman" w:cs="Times New Roman"/>
          <w:sz w:val="28"/>
          <w:szCs w:val="28"/>
        </w:rPr>
        <w:t xml:space="preserve">since the start of UPE, there have been </w:t>
      </w:r>
      <w:r w:rsidR="00C00B8B" w:rsidRPr="003B3EF6">
        <w:rPr>
          <w:rFonts w:ascii="Times New Roman" w:hAnsi="Times New Roman" w:cs="Times New Roman"/>
          <w:sz w:val="28"/>
          <w:szCs w:val="28"/>
        </w:rPr>
        <w:t xml:space="preserve">large percentage point increases in SSCRs (of more than 20) in </w:t>
      </w:r>
      <w:r w:rsidR="00CB497C" w:rsidRPr="003B3EF6">
        <w:rPr>
          <w:rFonts w:ascii="Times New Roman" w:hAnsi="Times New Roman" w:cs="Times New Roman"/>
          <w:sz w:val="28"/>
          <w:szCs w:val="28"/>
        </w:rPr>
        <w:t xml:space="preserve">only </w:t>
      </w:r>
      <w:r w:rsidR="00C00B8B" w:rsidRPr="003B3EF6">
        <w:rPr>
          <w:rFonts w:ascii="Times New Roman" w:hAnsi="Times New Roman" w:cs="Times New Roman"/>
          <w:sz w:val="28"/>
          <w:szCs w:val="28"/>
        </w:rPr>
        <w:t xml:space="preserve">a handful of countries most of which already had relatively high </w:t>
      </w:r>
      <w:r w:rsidR="00C33527" w:rsidRPr="003B3EF6">
        <w:rPr>
          <w:rFonts w:ascii="Times New Roman" w:hAnsi="Times New Roman" w:cs="Times New Roman"/>
          <w:sz w:val="28"/>
          <w:szCs w:val="28"/>
        </w:rPr>
        <w:t>initial</w:t>
      </w:r>
      <w:r w:rsidR="00C00B8B" w:rsidRPr="003B3EF6">
        <w:rPr>
          <w:rFonts w:ascii="Times New Roman" w:hAnsi="Times New Roman" w:cs="Times New Roman"/>
          <w:sz w:val="28"/>
          <w:szCs w:val="28"/>
        </w:rPr>
        <w:t xml:space="preserve"> SSCRs and are heavily concentrated in Southern Africa.</w:t>
      </w:r>
      <w:r w:rsidR="00B601E6">
        <w:rPr>
          <w:rFonts w:ascii="Times New Roman" w:hAnsi="Times New Roman" w:cs="Times New Roman"/>
          <w:sz w:val="28"/>
          <w:szCs w:val="28"/>
        </w:rPr>
        <w:t xml:space="preserve"> </w:t>
      </w:r>
      <w:r w:rsidRPr="003B3EF6">
        <w:rPr>
          <w:rFonts w:ascii="Times New Roman" w:hAnsi="Times New Roman" w:cs="Times New Roman"/>
          <w:sz w:val="28"/>
          <w:szCs w:val="28"/>
        </w:rPr>
        <w:t xml:space="preserve">The difference in SSCRs between the richest </w:t>
      </w:r>
      <w:r w:rsidRPr="003B3EF6">
        <w:rPr>
          <w:rFonts w:ascii="Times New Roman" w:hAnsi="Times New Roman" w:cs="Times New Roman"/>
          <w:sz w:val="28"/>
          <w:szCs w:val="28"/>
        </w:rPr>
        <w:lastRenderedPageBreak/>
        <w:t xml:space="preserve">and poorest wealth quintiles has also increased in seven out of the 11 countries for which data are available.  </w:t>
      </w:r>
    </w:p>
    <w:p w:rsidR="0038592C" w:rsidRPr="003B3EF6" w:rsidRDefault="0038592C" w:rsidP="003133DF">
      <w:pPr>
        <w:spacing w:line="360" w:lineRule="auto"/>
        <w:jc w:val="both"/>
        <w:rPr>
          <w:rFonts w:ascii="Times New Roman" w:hAnsi="Times New Roman" w:cs="Times New Roman"/>
          <w:sz w:val="28"/>
          <w:szCs w:val="28"/>
        </w:rPr>
      </w:pPr>
      <w:r>
        <w:rPr>
          <w:rFonts w:ascii="Times New Roman" w:hAnsi="Times New Roman" w:cs="Times New Roman"/>
          <w:sz w:val="28"/>
          <w:szCs w:val="28"/>
        </w:rPr>
        <w:t>C</w:t>
      </w:r>
      <w:r w:rsidRPr="003B3EF6">
        <w:rPr>
          <w:rFonts w:ascii="Times New Roman" w:hAnsi="Times New Roman" w:cs="Times New Roman"/>
          <w:sz w:val="28"/>
          <w:szCs w:val="28"/>
        </w:rPr>
        <w:t>entral Ministry of Education control over secondary education has been complicated by the fact that, in many countries, a sizeable proportion of schools were originally established by churches. While governments have increasingly taken responsibility for resourcing these schools (especially paying teacher salaries), church authorities remain a major political force</w:t>
      </w:r>
      <w:r w:rsidR="00EA39D4">
        <w:rPr>
          <w:rFonts w:ascii="Times New Roman" w:hAnsi="Times New Roman" w:cs="Times New Roman"/>
          <w:sz w:val="28"/>
          <w:szCs w:val="28"/>
        </w:rPr>
        <w:t xml:space="preserve"> in some countries</w:t>
      </w:r>
      <w:r w:rsidRPr="003B3EF6">
        <w:rPr>
          <w:rFonts w:ascii="Times New Roman" w:hAnsi="Times New Roman" w:cs="Times New Roman"/>
          <w:sz w:val="28"/>
          <w:szCs w:val="28"/>
        </w:rPr>
        <w:t xml:space="preserve">.  </w:t>
      </w:r>
    </w:p>
    <w:tbl>
      <w:tblPr>
        <w:tblW w:w="10693" w:type="dxa"/>
        <w:tblLook w:val="04A0" w:firstRow="1" w:lastRow="0" w:firstColumn="1" w:lastColumn="0" w:noHBand="0" w:noVBand="1"/>
      </w:tblPr>
      <w:tblGrid>
        <w:gridCol w:w="1678"/>
        <w:gridCol w:w="1824"/>
        <w:gridCol w:w="1547"/>
        <w:gridCol w:w="1291"/>
        <w:gridCol w:w="1454"/>
        <w:gridCol w:w="1479"/>
        <w:gridCol w:w="1420"/>
      </w:tblGrid>
      <w:tr w:rsidR="00F71C7F" w:rsidRPr="00F71C7F" w:rsidTr="00DF3AA4">
        <w:trPr>
          <w:trHeight w:val="314"/>
        </w:trPr>
        <w:tc>
          <w:tcPr>
            <w:tcW w:w="6340" w:type="dxa"/>
            <w:gridSpan w:val="4"/>
            <w:tcBorders>
              <w:top w:val="nil"/>
              <w:left w:val="nil"/>
              <w:bottom w:val="nil"/>
              <w:right w:val="nil"/>
            </w:tcBorders>
            <w:shd w:val="clear" w:color="auto" w:fill="auto"/>
            <w:noWrap/>
            <w:vAlign w:val="bottom"/>
            <w:hideMark/>
          </w:tcPr>
          <w:p w:rsidR="00F71C7F" w:rsidRPr="00F71C7F" w:rsidRDefault="00F71C7F" w:rsidP="00EA39D4">
            <w:pPr>
              <w:spacing w:after="0" w:line="240" w:lineRule="auto"/>
              <w:rPr>
                <w:rFonts w:ascii="Calibri" w:eastAsia="Times New Roman" w:hAnsi="Calibri" w:cs="Calibri"/>
                <w:b/>
                <w:bCs/>
                <w:color w:val="5F735C"/>
                <w:lang w:eastAsia="en-GB"/>
              </w:rPr>
            </w:pPr>
            <w:r w:rsidRPr="00F71C7F">
              <w:rPr>
                <w:rFonts w:ascii="Calibri" w:eastAsia="Times New Roman" w:hAnsi="Calibri" w:cs="Calibri"/>
                <w:b/>
                <w:bCs/>
                <w:color w:val="5F735C"/>
                <w:lang w:eastAsia="en-GB"/>
              </w:rPr>
              <w:t>Table 5: Lower secondary school completion rates</w:t>
            </w:r>
            <w:r w:rsidR="00EA39D4">
              <w:rPr>
                <w:rFonts w:ascii="Calibri" w:eastAsia="Times New Roman" w:hAnsi="Calibri" w:cs="Calibri"/>
                <w:b/>
                <w:bCs/>
                <w:color w:val="5F735C"/>
                <w:lang w:eastAsia="en-GB"/>
              </w:rPr>
              <w:t xml:space="preserve"> among the 18 24 age cohort</w:t>
            </w:r>
            <w:r w:rsidRPr="00F71C7F">
              <w:rPr>
                <w:rFonts w:ascii="Calibri" w:eastAsia="Times New Roman" w:hAnsi="Calibri" w:cs="Calibri"/>
                <w:b/>
                <w:bCs/>
                <w:color w:val="5F735C"/>
                <w:lang w:eastAsia="en-GB"/>
              </w:rPr>
              <w:t xml:space="preserve">, </w:t>
            </w:r>
            <w:r w:rsidR="00DF3AA4">
              <w:rPr>
                <w:rFonts w:ascii="Calibri" w:eastAsia="Times New Roman" w:hAnsi="Calibri" w:cs="Calibri"/>
                <w:b/>
                <w:bCs/>
                <w:color w:val="5F735C"/>
                <w:lang w:eastAsia="en-GB"/>
              </w:rPr>
              <w:t>2</w:t>
            </w:r>
            <w:r w:rsidRPr="00F71C7F">
              <w:rPr>
                <w:rFonts w:ascii="Calibri" w:eastAsia="Times New Roman" w:hAnsi="Calibri" w:cs="Calibri"/>
                <w:b/>
                <w:bCs/>
                <w:color w:val="5F735C"/>
                <w:lang w:eastAsia="en-GB"/>
              </w:rPr>
              <w:t>015/l</w:t>
            </w:r>
            <w:r w:rsidR="00EA39D4">
              <w:rPr>
                <w:rFonts w:ascii="Calibri" w:eastAsia="Times New Roman" w:hAnsi="Calibri" w:cs="Calibri"/>
                <w:b/>
                <w:bCs/>
                <w:color w:val="5F735C"/>
                <w:lang w:eastAsia="en-GB"/>
              </w:rPr>
              <w:t xml:space="preserve">atest </w:t>
            </w:r>
            <w:r w:rsidRPr="00F71C7F">
              <w:rPr>
                <w:rFonts w:ascii="Calibri" w:eastAsia="Times New Roman" w:hAnsi="Calibri" w:cs="Calibri"/>
                <w:b/>
                <w:bCs/>
                <w:color w:val="5F735C"/>
                <w:lang w:eastAsia="en-GB"/>
              </w:rPr>
              <w:t>y</w:t>
            </w:r>
            <w:r w:rsidR="00EA39D4">
              <w:rPr>
                <w:rFonts w:ascii="Calibri" w:eastAsia="Times New Roman" w:hAnsi="Calibri" w:cs="Calibri"/>
                <w:b/>
                <w:bCs/>
                <w:color w:val="5F735C"/>
                <w:lang w:eastAsia="en-GB"/>
              </w:rPr>
              <w:t xml:space="preserve">ear available </w:t>
            </w:r>
            <w:r w:rsidRPr="00F71C7F">
              <w:rPr>
                <w:rFonts w:ascii="Calibri" w:eastAsia="Times New Roman" w:hAnsi="Calibri" w:cs="Calibri"/>
                <w:b/>
                <w:bCs/>
                <w:color w:val="5F735C"/>
                <w:lang w:eastAsia="en-GB"/>
              </w:rPr>
              <w:t xml:space="preserve">  </w:t>
            </w:r>
          </w:p>
        </w:tc>
        <w:tc>
          <w:tcPr>
            <w:tcW w:w="1454"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rPr>
                <w:rFonts w:ascii="Calibri" w:eastAsia="Times New Roman" w:hAnsi="Calibri" w:cs="Calibri"/>
                <w:b/>
                <w:bCs/>
                <w:color w:val="5F735C"/>
                <w:lang w:eastAsia="en-GB"/>
              </w:rPr>
            </w:pPr>
          </w:p>
        </w:tc>
        <w:tc>
          <w:tcPr>
            <w:tcW w:w="1479"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rPr>
                <w:rFonts w:ascii="Times New Roman" w:eastAsia="Times New Roman" w:hAnsi="Times New Roman" w:cs="Times New Roman"/>
                <w:sz w:val="20"/>
                <w:szCs w:val="20"/>
                <w:lang w:eastAsia="en-GB"/>
              </w:rPr>
            </w:pPr>
          </w:p>
        </w:tc>
      </w:tr>
      <w:tr w:rsidR="00F71C7F" w:rsidRPr="00F71C7F" w:rsidTr="00DF3AA4">
        <w:trPr>
          <w:trHeight w:val="314"/>
        </w:trPr>
        <w:tc>
          <w:tcPr>
            <w:tcW w:w="1678" w:type="dxa"/>
            <w:tcBorders>
              <w:top w:val="single" w:sz="4" w:space="0" w:color="FFFFFF"/>
              <w:left w:val="single" w:sz="4" w:space="0" w:color="FFFFFF"/>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&lt;10%</w:t>
            </w:r>
          </w:p>
        </w:tc>
        <w:tc>
          <w:tcPr>
            <w:tcW w:w="1824" w:type="dxa"/>
            <w:tcBorders>
              <w:top w:val="single" w:sz="4" w:space="0" w:color="FFFFFF"/>
              <w:left w:val="nil"/>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11 to 20%</w:t>
            </w:r>
          </w:p>
        </w:tc>
        <w:tc>
          <w:tcPr>
            <w:tcW w:w="1547" w:type="dxa"/>
            <w:tcBorders>
              <w:top w:val="single" w:sz="4" w:space="0" w:color="FFFFFF"/>
              <w:left w:val="nil"/>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21 -30%</w:t>
            </w:r>
          </w:p>
        </w:tc>
        <w:tc>
          <w:tcPr>
            <w:tcW w:w="1291" w:type="dxa"/>
            <w:tcBorders>
              <w:top w:val="single" w:sz="4" w:space="0" w:color="FFFFFF"/>
              <w:left w:val="nil"/>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31-40%</w:t>
            </w:r>
          </w:p>
        </w:tc>
        <w:tc>
          <w:tcPr>
            <w:tcW w:w="1454" w:type="dxa"/>
            <w:tcBorders>
              <w:top w:val="single" w:sz="4" w:space="0" w:color="FFFFFF"/>
              <w:left w:val="nil"/>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41-50%</w:t>
            </w:r>
          </w:p>
        </w:tc>
        <w:tc>
          <w:tcPr>
            <w:tcW w:w="1479" w:type="dxa"/>
            <w:tcBorders>
              <w:top w:val="single" w:sz="4" w:space="0" w:color="FFFFFF"/>
              <w:left w:val="nil"/>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51-60%</w:t>
            </w:r>
          </w:p>
        </w:tc>
        <w:tc>
          <w:tcPr>
            <w:tcW w:w="1420" w:type="dxa"/>
            <w:tcBorders>
              <w:top w:val="single" w:sz="4" w:space="0" w:color="FFFFFF"/>
              <w:left w:val="nil"/>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60%&gt;</w:t>
            </w:r>
          </w:p>
        </w:tc>
      </w:tr>
      <w:tr w:rsidR="00F71C7F" w:rsidRPr="00F71C7F" w:rsidTr="00DF3AA4">
        <w:trPr>
          <w:trHeight w:val="314"/>
        </w:trPr>
        <w:tc>
          <w:tcPr>
            <w:tcW w:w="1678" w:type="dxa"/>
            <w:tcBorders>
              <w:top w:val="nil"/>
              <w:left w:val="single" w:sz="4" w:space="0" w:color="FFFFFF"/>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Burkina Faso (0)</w:t>
            </w:r>
          </w:p>
        </w:tc>
        <w:tc>
          <w:tcPr>
            <w:tcW w:w="1824"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Benin (7)</w:t>
            </w:r>
          </w:p>
        </w:tc>
        <w:tc>
          <w:tcPr>
            <w:tcW w:w="1547"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Burundi (25)</w:t>
            </w:r>
          </w:p>
        </w:tc>
        <w:tc>
          <w:tcPr>
            <w:tcW w:w="1291"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Gabon (10)</w:t>
            </w:r>
          </w:p>
        </w:tc>
        <w:tc>
          <w:tcPr>
            <w:tcW w:w="1454"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Cameroon (21)</w:t>
            </w:r>
          </w:p>
        </w:tc>
        <w:tc>
          <w:tcPr>
            <w:tcW w:w="1479"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Congo (21)</w:t>
            </w:r>
          </w:p>
        </w:tc>
        <w:tc>
          <w:tcPr>
            <w:tcW w:w="1420"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Kenya (26)</w:t>
            </w:r>
          </w:p>
        </w:tc>
      </w:tr>
      <w:tr w:rsidR="00F71C7F" w:rsidRPr="00F71C7F" w:rsidTr="00DF3AA4">
        <w:trPr>
          <w:trHeight w:val="314"/>
        </w:trPr>
        <w:tc>
          <w:tcPr>
            <w:tcW w:w="1678" w:type="dxa"/>
            <w:tcBorders>
              <w:top w:val="nil"/>
              <w:left w:val="single" w:sz="4" w:space="0" w:color="FFFFFF"/>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Niger (3)</w:t>
            </w:r>
          </w:p>
        </w:tc>
        <w:tc>
          <w:tcPr>
            <w:tcW w:w="1824"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CAR (4)</w:t>
            </w:r>
          </w:p>
        </w:tc>
        <w:tc>
          <w:tcPr>
            <w:tcW w:w="1547"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Cote d'Ivoire (15)</w:t>
            </w:r>
          </w:p>
        </w:tc>
        <w:tc>
          <w:tcPr>
            <w:tcW w:w="1291"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Guinea (18)</w:t>
            </w:r>
          </w:p>
        </w:tc>
        <w:tc>
          <w:tcPr>
            <w:tcW w:w="1454"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Gambia (15)</w:t>
            </w:r>
          </w:p>
        </w:tc>
        <w:tc>
          <w:tcPr>
            <w:tcW w:w="1479"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DRC (29)</w:t>
            </w:r>
          </w:p>
        </w:tc>
        <w:tc>
          <w:tcPr>
            <w:tcW w:w="1420"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Nigeria (27)</w:t>
            </w:r>
          </w:p>
        </w:tc>
      </w:tr>
      <w:tr w:rsidR="00F71C7F" w:rsidRPr="00F71C7F" w:rsidTr="00DF3AA4">
        <w:trPr>
          <w:trHeight w:val="314"/>
        </w:trPr>
        <w:tc>
          <w:tcPr>
            <w:tcW w:w="1678" w:type="dxa"/>
            <w:tcBorders>
              <w:top w:val="nil"/>
              <w:left w:val="single" w:sz="4" w:space="0" w:color="FFFFFF"/>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824"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Chad (4)</w:t>
            </w:r>
          </w:p>
        </w:tc>
        <w:tc>
          <w:tcPr>
            <w:tcW w:w="1547"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Ethiopia (15)</w:t>
            </w:r>
          </w:p>
        </w:tc>
        <w:tc>
          <w:tcPr>
            <w:tcW w:w="1291"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454"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Sierra Leone (29)</w:t>
            </w:r>
          </w:p>
        </w:tc>
        <w:tc>
          <w:tcPr>
            <w:tcW w:w="1479"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Eswatini (10)</w:t>
            </w:r>
          </w:p>
        </w:tc>
        <w:tc>
          <w:tcPr>
            <w:tcW w:w="1420"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South Africa (na)</w:t>
            </w:r>
          </w:p>
        </w:tc>
      </w:tr>
      <w:tr w:rsidR="00F71C7F" w:rsidRPr="00F71C7F" w:rsidTr="00DF3AA4">
        <w:trPr>
          <w:trHeight w:val="314"/>
        </w:trPr>
        <w:tc>
          <w:tcPr>
            <w:tcW w:w="1678" w:type="dxa"/>
            <w:tcBorders>
              <w:top w:val="nil"/>
              <w:left w:val="single" w:sz="4" w:space="0" w:color="FFFFFF"/>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824"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Madagascar (12)</w:t>
            </w:r>
          </w:p>
        </w:tc>
        <w:tc>
          <w:tcPr>
            <w:tcW w:w="1547"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Lesotho (15)</w:t>
            </w:r>
          </w:p>
        </w:tc>
        <w:tc>
          <w:tcPr>
            <w:tcW w:w="1291"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454"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479"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Ghana (1)</w:t>
            </w:r>
          </w:p>
        </w:tc>
        <w:tc>
          <w:tcPr>
            <w:tcW w:w="1420"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Zimbabwe (11)</w:t>
            </w:r>
          </w:p>
        </w:tc>
      </w:tr>
      <w:tr w:rsidR="00F71C7F" w:rsidRPr="00F71C7F" w:rsidTr="00DF3AA4">
        <w:trPr>
          <w:trHeight w:val="314"/>
        </w:trPr>
        <w:tc>
          <w:tcPr>
            <w:tcW w:w="1678" w:type="dxa"/>
            <w:tcBorders>
              <w:top w:val="nil"/>
              <w:left w:val="single" w:sz="4" w:space="0" w:color="FFFFFF"/>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824"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Mozambique (12)</w:t>
            </w:r>
          </w:p>
        </w:tc>
        <w:tc>
          <w:tcPr>
            <w:tcW w:w="1547"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Liberia (na)</w:t>
            </w:r>
          </w:p>
        </w:tc>
        <w:tc>
          <w:tcPr>
            <w:tcW w:w="1291"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454"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479"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Namibia (22)</w:t>
            </w:r>
          </w:p>
        </w:tc>
        <w:tc>
          <w:tcPr>
            <w:tcW w:w="1420"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r>
      <w:tr w:rsidR="00F71C7F" w:rsidRPr="00F71C7F" w:rsidTr="00DF3AA4">
        <w:trPr>
          <w:trHeight w:val="314"/>
        </w:trPr>
        <w:tc>
          <w:tcPr>
            <w:tcW w:w="1678" w:type="dxa"/>
            <w:tcBorders>
              <w:top w:val="nil"/>
              <w:left w:val="single" w:sz="4" w:space="0" w:color="FFFFFF"/>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824"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547"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Malawi (6)</w:t>
            </w:r>
          </w:p>
        </w:tc>
        <w:tc>
          <w:tcPr>
            <w:tcW w:w="1291"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454"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479"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Sudan (11)</w:t>
            </w:r>
          </w:p>
        </w:tc>
        <w:tc>
          <w:tcPr>
            <w:tcW w:w="1420"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r>
      <w:tr w:rsidR="00F71C7F" w:rsidRPr="00F71C7F" w:rsidTr="00DF3AA4">
        <w:trPr>
          <w:trHeight w:val="314"/>
        </w:trPr>
        <w:tc>
          <w:tcPr>
            <w:tcW w:w="1678" w:type="dxa"/>
            <w:tcBorders>
              <w:top w:val="nil"/>
              <w:left w:val="single" w:sz="4" w:space="0" w:color="FFFFFF"/>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824"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547"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Mali (20)</w:t>
            </w:r>
          </w:p>
        </w:tc>
        <w:tc>
          <w:tcPr>
            <w:tcW w:w="1291"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454"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479"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Zambia (20)</w:t>
            </w:r>
          </w:p>
        </w:tc>
        <w:tc>
          <w:tcPr>
            <w:tcW w:w="1420"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r>
      <w:tr w:rsidR="00F71C7F" w:rsidRPr="00F71C7F" w:rsidTr="00DF3AA4">
        <w:trPr>
          <w:trHeight w:val="314"/>
        </w:trPr>
        <w:tc>
          <w:tcPr>
            <w:tcW w:w="1678" w:type="dxa"/>
            <w:tcBorders>
              <w:top w:val="nil"/>
              <w:left w:val="single" w:sz="4" w:space="0" w:color="FFFFFF"/>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824"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547"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Rwanda (20)</w:t>
            </w:r>
          </w:p>
        </w:tc>
        <w:tc>
          <w:tcPr>
            <w:tcW w:w="1291"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454"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479"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420"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r>
      <w:tr w:rsidR="00F71C7F" w:rsidRPr="00F71C7F" w:rsidTr="00DF3AA4">
        <w:trPr>
          <w:trHeight w:val="314"/>
        </w:trPr>
        <w:tc>
          <w:tcPr>
            <w:tcW w:w="1678" w:type="dxa"/>
            <w:tcBorders>
              <w:top w:val="nil"/>
              <w:left w:val="single" w:sz="4" w:space="0" w:color="FFFFFF"/>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824"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547"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Senegal (14)</w:t>
            </w:r>
          </w:p>
        </w:tc>
        <w:tc>
          <w:tcPr>
            <w:tcW w:w="1291"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454"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479"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420"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r>
      <w:tr w:rsidR="00F71C7F" w:rsidRPr="00F71C7F" w:rsidTr="00DF3AA4">
        <w:trPr>
          <w:trHeight w:val="314"/>
        </w:trPr>
        <w:tc>
          <w:tcPr>
            <w:tcW w:w="1678" w:type="dxa"/>
            <w:tcBorders>
              <w:top w:val="nil"/>
              <w:left w:val="single" w:sz="4" w:space="0" w:color="FFFFFF"/>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824"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547"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Togo (12)</w:t>
            </w:r>
          </w:p>
        </w:tc>
        <w:tc>
          <w:tcPr>
            <w:tcW w:w="1291"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454"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479"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420"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r>
      <w:tr w:rsidR="00F71C7F" w:rsidRPr="00F71C7F" w:rsidTr="00DF3AA4">
        <w:trPr>
          <w:trHeight w:val="314"/>
        </w:trPr>
        <w:tc>
          <w:tcPr>
            <w:tcW w:w="1678" w:type="dxa"/>
            <w:tcBorders>
              <w:top w:val="nil"/>
              <w:left w:val="single" w:sz="4" w:space="0" w:color="FFFFFF"/>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824"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547"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Uganda (13)</w:t>
            </w:r>
          </w:p>
        </w:tc>
        <w:tc>
          <w:tcPr>
            <w:tcW w:w="1291"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454"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479"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420"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r>
      <w:tr w:rsidR="00F71C7F" w:rsidRPr="00F71C7F" w:rsidTr="00DF3AA4">
        <w:trPr>
          <w:trHeight w:val="314"/>
        </w:trPr>
        <w:tc>
          <w:tcPr>
            <w:tcW w:w="1678" w:type="dxa"/>
            <w:tcBorders>
              <w:top w:val="nil"/>
              <w:left w:val="single" w:sz="4" w:space="0" w:color="FFFFFF"/>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824"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547"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Tanzania (21)</w:t>
            </w:r>
          </w:p>
        </w:tc>
        <w:tc>
          <w:tcPr>
            <w:tcW w:w="1291"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454"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479"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420"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r>
      <w:tr w:rsidR="00F71C7F" w:rsidRPr="00F71C7F" w:rsidTr="00DF3AA4">
        <w:trPr>
          <w:trHeight w:val="314"/>
        </w:trPr>
        <w:tc>
          <w:tcPr>
            <w:tcW w:w="7794" w:type="dxa"/>
            <w:gridSpan w:val="5"/>
            <w:tcBorders>
              <w:top w:val="nil"/>
              <w:left w:val="nil"/>
              <w:bottom w:val="nil"/>
              <w:right w:val="nil"/>
            </w:tcBorders>
            <w:shd w:val="clear" w:color="auto" w:fill="auto"/>
            <w:noWrap/>
            <w:vAlign w:val="bottom"/>
            <w:hideMark/>
          </w:tcPr>
          <w:p w:rsidR="00F71C7F" w:rsidRPr="00F71C7F" w:rsidRDefault="00F71C7F" w:rsidP="00F71C7F">
            <w:pPr>
              <w:spacing w:after="0" w:line="240" w:lineRule="auto"/>
              <w:rPr>
                <w:rFonts w:ascii="Calibri" w:eastAsia="Times New Roman" w:hAnsi="Calibri" w:cs="Calibri"/>
                <w:b/>
                <w:bCs/>
                <w:color w:val="5F735C"/>
                <w:lang w:eastAsia="en-GB"/>
              </w:rPr>
            </w:pPr>
            <w:r w:rsidRPr="00F71C7F">
              <w:rPr>
                <w:rFonts w:ascii="Calibri" w:eastAsia="Times New Roman" w:hAnsi="Calibri" w:cs="Calibri"/>
                <w:b/>
                <w:bCs/>
                <w:color w:val="5F735C"/>
                <w:lang w:eastAsia="en-GB"/>
              </w:rPr>
              <w:t>Not</w:t>
            </w:r>
            <w:r w:rsidR="00DF3AA4">
              <w:rPr>
                <w:rFonts w:ascii="Calibri" w:eastAsia="Times New Roman" w:hAnsi="Calibri" w:cs="Calibri"/>
                <w:b/>
                <w:bCs/>
                <w:color w:val="5F735C"/>
                <w:lang w:eastAsia="en-GB"/>
              </w:rPr>
              <w:t>es: Figures in parentheses  per</w:t>
            </w:r>
            <w:r w:rsidRPr="00F71C7F">
              <w:rPr>
                <w:rFonts w:ascii="Calibri" w:eastAsia="Times New Roman" w:hAnsi="Calibri" w:cs="Calibri"/>
                <w:b/>
                <w:bCs/>
                <w:color w:val="5F735C"/>
                <w:lang w:eastAsia="en-GB"/>
              </w:rPr>
              <w:t xml:space="preserve">centage point increases between 2000/nya and 2015/lya </w:t>
            </w:r>
          </w:p>
        </w:tc>
        <w:tc>
          <w:tcPr>
            <w:tcW w:w="1479"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rPr>
                <w:rFonts w:ascii="Calibri" w:eastAsia="Times New Roman" w:hAnsi="Calibri" w:cs="Calibri"/>
                <w:b/>
                <w:bCs/>
                <w:color w:val="5F735C"/>
                <w:lang w:eastAsia="en-GB"/>
              </w:rPr>
            </w:pPr>
          </w:p>
        </w:tc>
        <w:tc>
          <w:tcPr>
            <w:tcW w:w="1420"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Times New Roman" w:eastAsia="Times New Roman" w:hAnsi="Times New Roman" w:cs="Times New Roman"/>
                <w:sz w:val="20"/>
                <w:szCs w:val="20"/>
                <w:lang w:eastAsia="en-GB"/>
              </w:rPr>
            </w:pPr>
          </w:p>
        </w:tc>
      </w:tr>
      <w:tr w:rsidR="00F71C7F" w:rsidRPr="00F71C7F" w:rsidTr="00DF3AA4">
        <w:trPr>
          <w:trHeight w:val="314"/>
        </w:trPr>
        <w:tc>
          <w:tcPr>
            <w:tcW w:w="1678"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rPr>
                <w:rFonts w:ascii="Calibri" w:eastAsia="Times New Roman" w:hAnsi="Calibri" w:cs="Calibri"/>
                <w:b/>
                <w:bCs/>
                <w:color w:val="5F735C"/>
                <w:lang w:eastAsia="en-GB"/>
              </w:rPr>
            </w:pPr>
            <w:r w:rsidRPr="00F71C7F">
              <w:rPr>
                <w:rFonts w:ascii="Calibri" w:eastAsia="Times New Roman" w:hAnsi="Calibri" w:cs="Calibri"/>
                <w:b/>
                <w:bCs/>
                <w:color w:val="5F735C"/>
                <w:lang w:eastAsia="en-GB"/>
              </w:rPr>
              <w:t>Source: UIS</w:t>
            </w:r>
          </w:p>
        </w:tc>
        <w:tc>
          <w:tcPr>
            <w:tcW w:w="1824"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rPr>
                <w:rFonts w:ascii="Calibri" w:eastAsia="Times New Roman" w:hAnsi="Calibri" w:cs="Calibri"/>
                <w:b/>
                <w:bCs/>
                <w:color w:val="5F735C"/>
                <w:lang w:eastAsia="en-GB"/>
              </w:rPr>
            </w:pPr>
          </w:p>
        </w:tc>
        <w:tc>
          <w:tcPr>
            <w:tcW w:w="1547"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rPr>
                <w:rFonts w:ascii="Times New Roman" w:eastAsia="Times New Roman" w:hAnsi="Times New Roman" w:cs="Times New Roman"/>
                <w:sz w:val="20"/>
                <w:szCs w:val="20"/>
                <w:lang w:eastAsia="en-GB"/>
              </w:rPr>
            </w:pPr>
          </w:p>
        </w:tc>
        <w:tc>
          <w:tcPr>
            <w:tcW w:w="1291"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rPr>
                <w:rFonts w:ascii="Times New Roman" w:eastAsia="Times New Roman" w:hAnsi="Times New Roman" w:cs="Times New Roman"/>
                <w:sz w:val="20"/>
                <w:szCs w:val="20"/>
                <w:lang w:eastAsia="en-GB"/>
              </w:rPr>
            </w:pPr>
          </w:p>
        </w:tc>
        <w:tc>
          <w:tcPr>
            <w:tcW w:w="1454"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rPr>
                <w:rFonts w:ascii="Times New Roman" w:eastAsia="Times New Roman" w:hAnsi="Times New Roman" w:cs="Times New Roman"/>
                <w:sz w:val="20"/>
                <w:szCs w:val="20"/>
                <w:lang w:eastAsia="en-GB"/>
              </w:rPr>
            </w:pPr>
          </w:p>
        </w:tc>
        <w:tc>
          <w:tcPr>
            <w:tcW w:w="1479"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rPr>
                <w:rFonts w:ascii="Times New Roman" w:eastAsia="Times New Roman" w:hAnsi="Times New Roman" w:cs="Times New Roman"/>
                <w:sz w:val="20"/>
                <w:szCs w:val="20"/>
                <w:lang w:eastAsia="en-GB"/>
              </w:rPr>
            </w:pPr>
          </w:p>
        </w:tc>
      </w:tr>
    </w:tbl>
    <w:p w:rsidR="00AC5162" w:rsidRPr="003B3EF6" w:rsidRDefault="00B601E6" w:rsidP="003133DF">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As the number of primary school leavers has grown, governments have come under growing political pressure to expand secondary education which has become itself an important component of the new educational political settlement. </w:t>
      </w:r>
      <w:r w:rsidR="00AB027A" w:rsidRPr="003B3EF6">
        <w:rPr>
          <w:rFonts w:ascii="Times New Roman" w:hAnsi="Times New Roman" w:cs="Times New Roman"/>
          <w:sz w:val="28"/>
          <w:szCs w:val="28"/>
        </w:rPr>
        <w:t xml:space="preserve">Ministries of Education have been strongly supportive especially in those countries where, as a result of decentralisation, direct responsibility for primary education has been transferred to Ministries of Local Government (see </w:t>
      </w:r>
      <w:r w:rsidR="00EA39D4">
        <w:rPr>
          <w:rFonts w:ascii="Times New Roman" w:hAnsi="Times New Roman" w:cs="Times New Roman"/>
          <w:sz w:val="28"/>
          <w:szCs w:val="28"/>
        </w:rPr>
        <w:t xml:space="preserve">second </w:t>
      </w:r>
      <w:r w:rsidR="00EA39D4">
        <w:rPr>
          <w:rFonts w:ascii="Times New Roman" w:hAnsi="Times New Roman" w:cs="Times New Roman"/>
          <w:sz w:val="28"/>
          <w:szCs w:val="28"/>
        </w:rPr>
        <w:lastRenderedPageBreak/>
        <w:t>article</w:t>
      </w:r>
      <w:r w:rsidR="00AB027A" w:rsidRPr="003B3EF6">
        <w:rPr>
          <w:rFonts w:ascii="Times New Roman" w:hAnsi="Times New Roman" w:cs="Times New Roman"/>
          <w:sz w:val="28"/>
          <w:szCs w:val="28"/>
        </w:rPr>
        <w:t xml:space="preserve">). </w:t>
      </w:r>
      <w:r w:rsidR="00AC5162" w:rsidRPr="003B3EF6">
        <w:rPr>
          <w:rFonts w:ascii="Times New Roman" w:hAnsi="Times New Roman" w:cs="Times New Roman"/>
          <w:sz w:val="28"/>
          <w:szCs w:val="28"/>
        </w:rPr>
        <w:t>A number of governments</w:t>
      </w:r>
      <w:r w:rsidR="00AC5162" w:rsidRPr="003B3EF6">
        <w:rPr>
          <w:rStyle w:val="FootnoteReference"/>
          <w:rFonts w:ascii="Times New Roman" w:hAnsi="Times New Roman" w:cs="Times New Roman"/>
          <w:sz w:val="28"/>
          <w:szCs w:val="28"/>
        </w:rPr>
        <w:footnoteReference w:id="28"/>
      </w:r>
      <w:r w:rsidR="00AC5162" w:rsidRPr="003B3EF6">
        <w:rPr>
          <w:rFonts w:ascii="Times New Roman" w:hAnsi="Times New Roman" w:cs="Times New Roman"/>
          <w:sz w:val="28"/>
          <w:szCs w:val="28"/>
        </w:rPr>
        <w:t xml:space="preserve"> have </w:t>
      </w:r>
      <w:r w:rsidR="00047EC2" w:rsidRPr="003B3EF6">
        <w:rPr>
          <w:rFonts w:ascii="Times New Roman" w:hAnsi="Times New Roman" w:cs="Times New Roman"/>
          <w:sz w:val="28"/>
          <w:szCs w:val="28"/>
        </w:rPr>
        <w:t xml:space="preserve">adopted </w:t>
      </w:r>
      <w:r w:rsidR="00AC5162" w:rsidRPr="003B3EF6">
        <w:rPr>
          <w:rFonts w:ascii="Times New Roman" w:hAnsi="Times New Roman" w:cs="Times New Roman"/>
          <w:sz w:val="28"/>
          <w:szCs w:val="28"/>
        </w:rPr>
        <w:t>free Universal Secondary Education policies</w:t>
      </w:r>
      <w:r w:rsidR="0060644D">
        <w:rPr>
          <w:rFonts w:ascii="Times New Roman" w:hAnsi="Times New Roman" w:cs="Times New Roman"/>
          <w:sz w:val="28"/>
          <w:szCs w:val="28"/>
        </w:rPr>
        <w:t>.</w:t>
      </w:r>
      <w:r w:rsidR="00AC5162" w:rsidRPr="003B3EF6">
        <w:rPr>
          <w:rFonts w:ascii="Times New Roman" w:hAnsi="Times New Roman" w:cs="Times New Roman"/>
          <w:sz w:val="28"/>
          <w:szCs w:val="28"/>
        </w:rPr>
        <w:t xml:space="preserve"> However, </w:t>
      </w:r>
      <w:r w:rsidR="00047EC2" w:rsidRPr="003B3EF6">
        <w:rPr>
          <w:rFonts w:ascii="Times New Roman" w:hAnsi="Times New Roman" w:cs="Times New Roman"/>
          <w:sz w:val="28"/>
          <w:szCs w:val="28"/>
        </w:rPr>
        <w:t xml:space="preserve">the resource implications of rolling out </w:t>
      </w:r>
      <w:r w:rsidR="00AC5162" w:rsidRPr="003B3EF6">
        <w:rPr>
          <w:rFonts w:ascii="Times New Roman" w:hAnsi="Times New Roman" w:cs="Times New Roman"/>
          <w:sz w:val="28"/>
          <w:szCs w:val="28"/>
        </w:rPr>
        <w:t xml:space="preserve">free USE </w:t>
      </w:r>
      <w:r w:rsidR="00047EC2" w:rsidRPr="003B3EF6">
        <w:rPr>
          <w:rFonts w:ascii="Times New Roman" w:hAnsi="Times New Roman" w:cs="Times New Roman"/>
          <w:sz w:val="28"/>
          <w:szCs w:val="28"/>
        </w:rPr>
        <w:t xml:space="preserve">have been so serious that </w:t>
      </w:r>
      <w:r w:rsidR="00EE47CE" w:rsidRPr="003B3EF6">
        <w:rPr>
          <w:rFonts w:ascii="Times New Roman" w:hAnsi="Times New Roman" w:cs="Times New Roman"/>
          <w:sz w:val="28"/>
          <w:szCs w:val="28"/>
        </w:rPr>
        <w:t xml:space="preserve">it </w:t>
      </w:r>
      <w:r w:rsidR="00AA7D1E" w:rsidRPr="003B3EF6">
        <w:rPr>
          <w:rFonts w:ascii="Times New Roman" w:hAnsi="Times New Roman" w:cs="Times New Roman"/>
          <w:sz w:val="28"/>
          <w:szCs w:val="28"/>
        </w:rPr>
        <w:t xml:space="preserve">has </w:t>
      </w:r>
      <w:r w:rsidR="00047EC2" w:rsidRPr="003B3EF6">
        <w:rPr>
          <w:rFonts w:ascii="Times New Roman" w:hAnsi="Times New Roman" w:cs="Times New Roman"/>
          <w:sz w:val="28"/>
          <w:szCs w:val="28"/>
        </w:rPr>
        <w:t xml:space="preserve">failed to </w:t>
      </w:r>
      <w:r w:rsidR="00AC5162" w:rsidRPr="003B3EF6">
        <w:rPr>
          <w:rFonts w:ascii="Times New Roman" w:hAnsi="Times New Roman" w:cs="Times New Roman"/>
          <w:sz w:val="28"/>
          <w:szCs w:val="28"/>
        </w:rPr>
        <w:t>get off the ground</w:t>
      </w:r>
      <w:r w:rsidR="00437603" w:rsidRPr="003B3EF6">
        <w:rPr>
          <w:rFonts w:ascii="Times New Roman" w:hAnsi="Times New Roman" w:cs="Times New Roman"/>
          <w:sz w:val="28"/>
          <w:szCs w:val="28"/>
        </w:rPr>
        <w:t xml:space="preserve"> and</w:t>
      </w:r>
      <w:r w:rsidR="00AA7D1E" w:rsidRPr="003B3EF6">
        <w:rPr>
          <w:rFonts w:ascii="Times New Roman" w:hAnsi="Times New Roman" w:cs="Times New Roman"/>
          <w:sz w:val="28"/>
          <w:szCs w:val="28"/>
        </w:rPr>
        <w:t>,</w:t>
      </w:r>
      <w:r w:rsidR="00437603" w:rsidRPr="003B3EF6">
        <w:rPr>
          <w:rFonts w:ascii="Times New Roman" w:hAnsi="Times New Roman" w:cs="Times New Roman"/>
          <w:sz w:val="28"/>
          <w:szCs w:val="28"/>
        </w:rPr>
        <w:t xml:space="preserve"> in some countries (for example, Uganda)</w:t>
      </w:r>
      <w:r w:rsidR="00AA7D1E" w:rsidRPr="003B3EF6">
        <w:rPr>
          <w:rFonts w:ascii="Times New Roman" w:hAnsi="Times New Roman" w:cs="Times New Roman"/>
          <w:sz w:val="28"/>
          <w:szCs w:val="28"/>
        </w:rPr>
        <w:t>,</w:t>
      </w:r>
      <w:r w:rsidR="00437603" w:rsidRPr="003B3EF6">
        <w:rPr>
          <w:rFonts w:ascii="Times New Roman" w:hAnsi="Times New Roman" w:cs="Times New Roman"/>
          <w:sz w:val="28"/>
          <w:szCs w:val="28"/>
        </w:rPr>
        <w:t xml:space="preserve"> has been abandoned altogether</w:t>
      </w:r>
      <w:r w:rsidR="00AC5162" w:rsidRPr="003B3EF6">
        <w:rPr>
          <w:rFonts w:ascii="Times New Roman" w:hAnsi="Times New Roman" w:cs="Times New Roman"/>
          <w:sz w:val="28"/>
          <w:szCs w:val="28"/>
        </w:rPr>
        <w:t xml:space="preserve">.  </w:t>
      </w:r>
    </w:p>
    <w:p w:rsidR="00AC5162" w:rsidRPr="003B3EF6" w:rsidRDefault="00047EC2" w:rsidP="003133DF">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The m</w:t>
      </w:r>
      <w:r w:rsidR="00AC5162" w:rsidRPr="003B3EF6">
        <w:rPr>
          <w:rFonts w:ascii="Times New Roman" w:hAnsi="Times New Roman" w:cs="Times New Roman"/>
          <w:sz w:val="28"/>
          <w:szCs w:val="28"/>
        </w:rPr>
        <w:t>aintenance of high stakes primary school leav</w:t>
      </w:r>
      <w:r w:rsidR="00444B29">
        <w:rPr>
          <w:rFonts w:ascii="Times New Roman" w:hAnsi="Times New Roman" w:cs="Times New Roman"/>
          <w:sz w:val="28"/>
          <w:szCs w:val="28"/>
        </w:rPr>
        <w:t>ing examinations enables better-</w:t>
      </w:r>
      <w:r w:rsidR="00AC5162" w:rsidRPr="003B3EF6">
        <w:rPr>
          <w:rFonts w:ascii="Times New Roman" w:hAnsi="Times New Roman" w:cs="Times New Roman"/>
          <w:sz w:val="28"/>
          <w:szCs w:val="28"/>
        </w:rPr>
        <w:t>off children to be filtered into top performing public secondary schools and, where they are not succe</w:t>
      </w:r>
      <w:r w:rsidR="00E17060" w:rsidRPr="003B3EF6">
        <w:rPr>
          <w:rFonts w:ascii="Times New Roman" w:hAnsi="Times New Roman" w:cs="Times New Roman"/>
          <w:sz w:val="28"/>
          <w:szCs w:val="28"/>
        </w:rPr>
        <w:t xml:space="preserve">ssful, to elite private schools. </w:t>
      </w:r>
      <w:r w:rsidR="00AC5162" w:rsidRPr="003B3EF6">
        <w:rPr>
          <w:rFonts w:ascii="Times New Roman" w:hAnsi="Times New Roman" w:cs="Times New Roman"/>
          <w:sz w:val="28"/>
          <w:szCs w:val="28"/>
        </w:rPr>
        <w:t>Tuition</w:t>
      </w:r>
      <w:r w:rsidRPr="003B3EF6">
        <w:rPr>
          <w:rFonts w:ascii="Times New Roman" w:hAnsi="Times New Roman" w:cs="Times New Roman"/>
          <w:sz w:val="28"/>
          <w:szCs w:val="28"/>
        </w:rPr>
        <w:t xml:space="preserve"> fees</w:t>
      </w:r>
      <w:r w:rsidR="00AC5162" w:rsidRPr="003B3EF6">
        <w:rPr>
          <w:rFonts w:ascii="Times New Roman" w:hAnsi="Times New Roman" w:cs="Times New Roman"/>
          <w:sz w:val="28"/>
          <w:szCs w:val="28"/>
        </w:rPr>
        <w:t xml:space="preserve"> and other costs are typically five-ten times higher </w:t>
      </w:r>
      <w:r w:rsidRPr="003B3EF6">
        <w:rPr>
          <w:rFonts w:ascii="Times New Roman" w:hAnsi="Times New Roman" w:cs="Times New Roman"/>
          <w:sz w:val="28"/>
          <w:szCs w:val="28"/>
        </w:rPr>
        <w:t>for secondary schooling than for p</w:t>
      </w:r>
      <w:r w:rsidR="00AC5162" w:rsidRPr="003B3EF6">
        <w:rPr>
          <w:rFonts w:ascii="Times New Roman" w:hAnsi="Times New Roman" w:cs="Times New Roman"/>
          <w:sz w:val="28"/>
          <w:szCs w:val="28"/>
        </w:rPr>
        <w:t>rimary schooling</w:t>
      </w:r>
      <w:r w:rsidRPr="003B3EF6">
        <w:rPr>
          <w:rFonts w:ascii="Times New Roman" w:hAnsi="Times New Roman" w:cs="Times New Roman"/>
          <w:sz w:val="28"/>
          <w:szCs w:val="28"/>
        </w:rPr>
        <w:t xml:space="preserve"> which makes secondary education prohibitively expensive for most of the poor. </w:t>
      </w:r>
      <w:r w:rsidR="00AC5162" w:rsidRPr="003B3EF6">
        <w:rPr>
          <w:rFonts w:ascii="Times New Roman" w:hAnsi="Times New Roman" w:cs="Times New Roman"/>
          <w:sz w:val="28"/>
          <w:szCs w:val="28"/>
        </w:rPr>
        <w:t>Official regulation of these fees</w:t>
      </w:r>
      <w:r w:rsidRPr="003B3EF6">
        <w:rPr>
          <w:rFonts w:ascii="Times New Roman" w:hAnsi="Times New Roman" w:cs="Times New Roman"/>
          <w:sz w:val="28"/>
          <w:szCs w:val="28"/>
        </w:rPr>
        <w:t xml:space="preserve"> and other expenses</w:t>
      </w:r>
      <w:r w:rsidR="00AC5162" w:rsidRPr="003B3EF6">
        <w:rPr>
          <w:rFonts w:ascii="Times New Roman" w:hAnsi="Times New Roman" w:cs="Times New Roman"/>
          <w:sz w:val="28"/>
          <w:szCs w:val="28"/>
        </w:rPr>
        <w:t xml:space="preserve"> is generally lax with the result that fee differentials </w:t>
      </w:r>
      <w:r w:rsidRPr="003B3EF6">
        <w:rPr>
          <w:rFonts w:ascii="Times New Roman" w:hAnsi="Times New Roman" w:cs="Times New Roman"/>
          <w:sz w:val="28"/>
          <w:szCs w:val="28"/>
        </w:rPr>
        <w:t xml:space="preserve">between schools </w:t>
      </w:r>
      <w:r w:rsidR="00AC5162" w:rsidRPr="003B3EF6">
        <w:rPr>
          <w:rFonts w:ascii="Times New Roman" w:hAnsi="Times New Roman" w:cs="Times New Roman"/>
          <w:sz w:val="28"/>
          <w:szCs w:val="28"/>
        </w:rPr>
        <w:t xml:space="preserve">are large. </w:t>
      </w:r>
      <w:r w:rsidR="00437603" w:rsidRPr="003B3EF6">
        <w:rPr>
          <w:rFonts w:ascii="Times New Roman" w:hAnsi="Times New Roman" w:cs="Times New Roman"/>
          <w:sz w:val="28"/>
          <w:szCs w:val="28"/>
        </w:rPr>
        <w:t>The costs of secondary schooling h</w:t>
      </w:r>
      <w:r w:rsidR="00AC5162" w:rsidRPr="003B3EF6">
        <w:rPr>
          <w:rFonts w:ascii="Times New Roman" w:hAnsi="Times New Roman" w:cs="Times New Roman"/>
          <w:sz w:val="28"/>
          <w:szCs w:val="28"/>
        </w:rPr>
        <w:t xml:space="preserve">as become a highly charged political issue with </w:t>
      </w:r>
      <w:r w:rsidR="00437603" w:rsidRPr="003B3EF6">
        <w:rPr>
          <w:rFonts w:ascii="Times New Roman" w:hAnsi="Times New Roman" w:cs="Times New Roman"/>
          <w:sz w:val="28"/>
          <w:szCs w:val="28"/>
        </w:rPr>
        <w:t xml:space="preserve">some countries convening </w:t>
      </w:r>
      <w:r w:rsidR="00AC5162" w:rsidRPr="003B3EF6">
        <w:rPr>
          <w:rFonts w:ascii="Times New Roman" w:hAnsi="Times New Roman" w:cs="Times New Roman"/>
          <w:sz w:val="28"/>
          <w:szCs w:val="28"/>
        </w:rPr>
        <w:t>special commissions to investigate and make recommendations</w:t>
      </w:r>
      <w:r w:rsidR="00AC5162" w:rsidRPr="003B3EF6">
        <w:rPr>
          <w:rStyle w:val="FootnoteReference"/>
          <w:rFonts w:ascii="Times New Roman" w:hAnsi="Times New Roman" w:cs="Times New Roman"/>
          <w:sz w:val="28"/>
          <w:szCs w:val="28"/>
        </w:rPr>
        <w:footnoteReference w:id="29"/>
      </w:r>
      <w:r w:rsidR="00AC5162" w:rsidRPr="003B3EF6">
        <w:rPr>
          <w:rFonts w:ascii="Times New Roman" w:hAnsi="Times New Roman" w:cs="Times New Roman"/>
          <w:sz w:val="28"/>
          <w:szCs w:val="28"/>
        </w:rPr>
        <w:t xml:space="preserve">   </w:t>
      </w:r>
    </w:p>
    <w:p w:rsidR="00AC5162" w:rsidRPr="003B3EF6" w:rsidRDefault="00AC5162" w:rsidP="003133DF">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In </w:t>
      </w:r>
      <w:r w:rsidR="00437603" w:rsidRPr="003B3EF6">
        <w:rPr>
          <w:rFonts w:ascii="Times New Roman" w:hAnsi="Times New Roman" w:cs="Times New Roman"/>
          <w:sz w:val="28"/>
          <w:szCs w:val="28"/>
        </w:rPr>
        <w:t xml:space="preserve">short, in </w:t>
      </w:r>
      <w:r w:rsidR="00E17060" w:rsidRPr="003B3EF6">
        <w:rPr>
          <w:rFonts w:ascii="Times New Roman" w:hAnsi="Times New Roman" w:cs="Times New Roman"/>
          <w:sz w:val="28"/>
          <w:szCs w:val="28"/>
        </w:rPr>
        <w:t xml:space="preserve">most </w:t>
      </w:r>
      <w:r w:rsidR="00437603" w:rsidRPr="003B3EF6">
        <w:rPr>
          <w:rFonts w:ascii="Times New Roman" w:hAnsi="Times New Roman" w:cs="Times New Roman"/>
          <w:sz w:val="28"/>
          <w:szCs w:val="28"/>
        </w:rPr>
        <w:t>countries in SSA</w:t>
      </w:r>
      <w:r w:rsidRPr="003B3EF6">
        <w:rPr>
          <w:rFonts w:ascii="Times New Roman" w:hAnsi="Times New Roman" w:cs="Times New Roman"/>
          <w:sz w:val="28"/>
          <w:szCs w:val="28"/>
        </w:rPr>
        <w:t xml:space="preserve">, secondary education </w:t>
      </w:r>
      <w:r w:rsidR="00437603" w:rsidRPr="003B3EF6">
        <w:rPr>
          <w:rFonts w:ascii="Times New Roman" w:hAnsi="Times New Roman" w:cs="Times New Roman"/>
          <w:sz w:val="28"/>
          <w:szCs w:val="28"/>
        </w:rPr>
        <w:t xml:space="preserve">continues to </w:t>
      </w:r>
      <w:r w:rsidRPr="003B3EF6">
        <w:rPr>
          <w:rFonts w:ascii="Times New Roman" w:hAnsi="Times New Roman" w:cs="Times New Roman"/>
          <w:sz w:val="28"/>
          <w:szCs w:val="28"/>
        </w:rPr>
        <w:t xml:space="preserve">benefit </w:t>
      </w:r>
      <w:r w:rsidR="00437603" w:rsidRPr="003B3EF6">
        <w:rPr>
          <w:rFonts w:ascii="Times New Roman" w:hAnsi="Times New Roman" w:cs="Times New Roman"/>
          <w:sz w:val="28"/>
          <w:szCs w:val="28"/>
        </w:rPr>
        <w:t xml:space="preserve">the relatively </w:t>
      </w:r>
      <w:r w:rsidRPr="003B3EF6">
        <w:rPr>
          <w:rFonts w:ascii="Times New Roman" w:hAnsi="Times New Roman" w:cs="Times New Roman"/>
          <w:sz w:val="28"/>
          <w:szCs w:val="28"/>
        </w:rPr>
        <w:t xml:space="preserve">better-off urban population </w:t>
      </w:r>
      <w:r w:rsidR="00437603" w:rsidRPr="003B3EF6">
        <w:rPr>
          <w:rFonts w:ascii="Times New Roman" w:hAnsi="Times New Roman" w:cs="Times New Roman"/>
          <w:sz w:val="28"/>
          <w:szCs w:val="28"/>
        </w:rPr>
        <w:t xml:space="preserve">and </w:t>
      </w:r>
      <w:r w:rsidRPr="003B3EF6">
        <w:rPr>
          <w:rFonts w:ascii="Times New Roman" w:hAnsi="Times New Roman" w:cs="Times New Roman"/>
          <w:sz w:val="28"/>
          <w:szCs w:val="28"/>
        </w:rPr>
        <w:t xml:space="preserve">remains inaccessible for rural populations. </w:t>
      </w:r>
      <w:r w:rsidR="003B5489" w:rsidRPr="003B3EF6">
        <w:rPr>
          <w:rFonts w:ascii="Times New Roman" w:hAnsi="Times New Roman" w:cs="Times New Roman"/>
          <w:sz w:val="28"/>
          <w:szCs w:val="28"/>
        </w:rPr>
        <w:t>In many rural locations, l</w:t>
      </w:r>
      <w:r w:rsidRPr="003B3EF6">
        <w:rPr>
          <w:rFonts w:ascii="Times New Roman" w:hAnsi="Times New Roman" w:cs="Times New Roman"/>
          <w:sz w:val="28"/>
          <w:szCs w:val="28"/>
        </w:rPr>
        <w:t xml:space="preserve">ong distances to the nearest </w:t>
      </w:r>
      <w:r w:rsidR="003B5489" w:rsidRPr="003B3EF6">
        <w:rPr>
          <w:rFonts w:ascii="Times New Roman" w:hAnsi="Times New Roman" w:cs="Times New Roman"/>
          <w:sz w:val="28"/>
          <w:szCs w:val="28"/>
        </w:rPr>
        <w:t xml:space="preserve">secondary </w:t>
      </w:r>
      <w:r w:rsidRPr="003B3EF6">
        <w:rPr>
          <w:rFonts w:ascii="Times New Roman" w:hAnsi="Times New Roman" w:cs="Times New Roman"/>
          <w:sz w:val="28"/>
          <w:szCs w:val="28"/>
        </w:rPr>
        <w:t>school is a key constraint.</w:t>
      </w:r>
    </w:p>
    <w:p w:rsidR="008C4711" w:rsidRPr="005A21A8" w:rsidRDefault="005A21A8" w:rsidP="003133DF">
      <w:pPr>
        <w:spacing w:line="360" w:lineRule="auto"/>
        <w:jc w:val="both"/>
        <w:rPr>
          <w:rFonts w:ascii="Times New Roman" w:hAnsi="Times New Roman" w:cs="Times New Roman"/>
          <w:i/>
          <w:sz w:val="28"/>
          <w:szCs w:val="28"/>
        </w:rPr>
      </w:pPr>
      <w:r>
        <w:rPr>
          <w:rFonts w:ascii="Times New Roman" w:hAnsi="Times New Roman" w:cs="Times New Roman"/>
          <w:i/>
          <w:sz w:val="28"/>
          <w:szCs w:val="28"/>
        </w:rPr>
        <w:t>5</w:t>
      </w:r>
      <w:r w:rsidR="00AC5162" w:rsidRPr="005A21A8">
        <w:rPr>
          <w:rFonts w:ascii="Times New Roman" w:hAnsi="Times New Roman" w:cs="Times New Roman"/>
          <w:i/>
          <w:sz w:val="28"/>
          <w:szCs w:val="28"/>
        </w:rPr>
        <w:t>.4</w:t>
      </w:r>
      <w:r w:rsidR="008C4711" w:rsidRPr="005A21A8">
        <w:rPr>
          <w:rFonts w:ascii="Times New Roman" w:hAnsi="Times New Roman" w:cs="Times New Roman"/>
          <w:i/>
          <w:sz w:val="28"/>
          <w:szCs w:val="28"/>
        </w:rPr>
        <w:t xml:space="preserve"> Higher education </w:t>
      </w:r>
      <w:r w:rsidR="00AC5162" w:rsidRPr="005A21A8">
        <w:rPr>
          <w:rFonts w:ascii="Times New Roman" w:hAnsi="Times New Roman" w:cs="Times New Roman"/>
          <w:i/>
          <w:sz w:val="28"/>
          <w:szCs w:val="28"/>
        </w:rPr>
        <w:t>and TVET</w:t>
      </w:r>
    </w:p>
    <w:p w:rsidR="00EA39D4" w:rsidRPr="003B3EF6" w:rsidRDefault="00EE47CE" w:rsidP="00EA39D4">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The </w:t>
      </w:r>
      <w:r w:rsidR="008C4711" w:rsidRPr="003B3EF6">
        <w:rPr>
          <w:rFonts w:ascii="Times New Roman" w:hAnsi="Times New Roman" w:cs="Times New Roman"/>
          <w:sz w:val="28"/>
          <w:szCs w:val="28"/>
        </w:rPr>
        <w:t xml:space="preserve">expansion of the higher education sector </w:t>
      </w:r>
      <w:r w:rsidR="00BB1095" w:rsidRPr="003B3EF6">
        <w:rPr>
          <w:rFonts w:ascii="Times New Roman" w:hAnsi="Times New Roman" w:cs="Times New Roman"/>
          <w:sz w:val="28"/>
          <w:szCs w:val="28"/>
        </w:rPr>
        <w:t xml:space="preserve">has been </w:t>
      </w:r>
      <w:r w:rsidR="008C4711" w:rsidRPr="003B3EF6">
        <w:rPr>
          <w:rFonts w:ascii="Times New Roman" w:hAnsi="Times New Roman" w:cs="Times New Roman"/>
          <w:sz w:val="28"/>
          <w:szCs w:val="28"/>
        </w:rPr>
        <w:t xml:space="preserve">central to the process of </w:t>
      </w:r>
      <w:r w:rsidRPr="003B3EF6">
        <w:rPr>
          <w:rFonts w:ascii="Times New Roman" w:hAnsi="Times New Roman" w:cs="Times New Roman"/>
          <w:sz w:val="28"/>
          <w:szCs w:val="28"/>
        </w:rPr>
        <w:t xml:space="preserve">neo-liberal </w:t>
      </w:r>
      <w:r w:rsidR="008C4711" w:rsidRPr="003B3EF6">
        <w:rPr>
          <w:rFonts w:ascii="Times New Roman" w:hAnsi="Times New Roman" w:cs="Times New Roman"/>
          <w:sz w:val="28"/>
          <w:szCs w:val="28"/>
        </w:rPr>
        <w:t>class formation and</w:t>
      </w:r>
      <w:r w:rsidRPr="003B3EF6">
        <w:rPr>
          <w:rFonts w:ascii="Times New Roman" w:hAnsi="Times New Roman" w:cs="Times New Roman"/>
          <w:sz w:val="28"/>
          <w:szCs w:val="28"/>
        </w:rPr>
        <w:t>, in particular, the</w:t>
      </w:r>
      <w:r w:rsidR="008C4711" w:rsidRPr="003B3EF6">
        <w:rPr>
          <w:rFonts w:ascii="Times New Roman" w:hAnsi="Times New Roman" w:cs="Times New Roman"/>
          <w:sz w:val="28"/>
          <w:szCs w:val="28"/>
        </w:rPr>
        <w:t xml:space="preserve"> consolidation of the economic and political power of the </w:t>
      </w:r>
      <w:r w:rsidR="0086088C">
        <w:rPr>
          <w:rFonts w:ascii="Times New Roman" w:hAnsi="Times New Roman" w:cs="Times New Roman"/>
          <w:sz w:val="28"/>
          <w:szCs w:val="28"/>
        </w:rPr>
        <w:t>newlt reconstituted middle class</w:t>
      </w:r>
      <w:r w:rsidR="008C4711" w:rsidRPr="003B3EF6">
        <w:rPr>
          <w:rFonts w:ascii="Times New Roman" w:hAnsi="Times New Roman" w:cs="Times New Roman"/>
          <w:sz w:val="28"/>
          <w:szCs w:val="28"/>
        </w:rPr>
        <w:t xml:space="preserve">. </w:t>
      </w:r>
      <w:r w:rsidR="00BB1095" w:rsidRPr="003B3EF6">
        <w:rPr>
          <w:rFonts w:ascii="Times New Roman" w:hAnsi="Times New Roman" w:cs="Times New Roman"/>
          <w:sz w:val="28"/>
          <w:szCs w:val="28"/>
        </w:rPr>
        <w:t xml:space="preserve"> The share of the richest groups attending higher education has increased dramatically during the last 20 years while barely any children from poor households ever attend these institutions (see table</w:t>
      </w:r>
      <w:r w:rsidRPr="003B3EF6">
        <w:rPr>
          <w:rFonts w:ascii="Times New Roman" w:hAnsi="Times New Roman" w:cs="Times New Roman"/>
          <w:sz w:val="28"/>
          <w:szCs w:val="28"/>
        </w:rPr>
        <w:t>s 6</w:t>
      </w:r>
      <w:r w:rsidR="00F32B50" w:rsidRPr="003B3EF6">
        <w:rPr>
          <w:rFonts w:ascii="Times New Roman" w:hAnsi="Times New Roman" w:cs="Times New Roman"/>
          <w:sz w:val="28"/>
          <w:szCs w:val="28"/>
        </w:rPr>
        <w:t xml:space="preserve"> and </w:t>
      </w:r>
      <w:r w:rsidRPr="003B3EF6">
        <w:rPr>
          <w:rFonts w:ascii="Times New Roman" w:hAnsi="Times New Roman" w:cs="Times New Roman"/>
          <w:sz w:val="28"/>
          <w:szCs w:val="28"/>
        </w:rPr>
        <w:t>7</w:t>
      </w:r>
      <w:r w:rsidR="00BB1095" w:rsidRPr="003B3EF6">
        <w:rPr>
          <w:rFonts w:ascii="Times New Roman" w:hAnsi="Times New Roman" w:cs="Times New Roman"/>
          <w:sz w:val="28"/>
          <w:szCs w:val="28"/>
        </w:rPr>
        <w:t>).</w:t>
      </w:r>
      <w:r w:rsidR="00AB027A" w:rsidRPr="00AB027A">
        <w:rPr>
          <w:rFonts w:ascii="Times New Roman" w:hAnsi="Times New Roman" w:cs="Times New Roman"/>
          <w:sz w:val="28"/>
          <w:szCs w:val="28"/>
        </w:rPr>
        <w:t xml:space="preserve"> </w:t>
      </w:r>
      <w:r w:rsidR="00AB027A" w:rsidRPr="003B3EF6">
        <w:rPr>
          <w:rFonts w:ascii="Times New Roman" w:hAnsi="Times New Roman" w:cs="Times New Roman"/>
          <w:sz w:val="28"/>
          <w:szCs w:val="28"/>
        </w:rPr>
        <w:t xml:space="preserve">For example, in Kenya, whereas only six percent of males aged 20-24 in the richest wealth income quintile attended </w:t>
      </w:r>
      <w:r w:rsidR="00EA39D4">
        <w:rPr>
          <w:rFonts w:ascii="Times New Roman" w:hAnsi="Times New Roman" w:cs="Times New Roman"/>
          <w:sz w:val="28"/>
          <w:szCs w:val="28"/>
        </w:rPr>
        <w:t xml:space="preserve">higher </w:t>
      </w:r>
      <w:r w:rsidR="00EA39D4">
        <w:rPr>
          <w:rFonts w:ascii="Times New Roman" w:hAnsi="Times New Roman" w:cs="Times New Roman"/>
          <w:sz w:val="28"/>
          <w:szCs w:val="28"/>
        </w:rPr>
        <w:lastRenderedPageBreak/>
        <w:t xml:space="preserve">education institutions </w:t>
      </w:r>
      <w:r w:rsidR="00AB027A" w:rsidRPr="003B3EF6">
        <w:rPr>
          <w:rFonts w:ascii="Times New Roman" w:hAnsi="Times New Roman" w:cs="Times New Roman"/>
          <w:sz w:val="28"/>
          <w:szCs w:val="28"/>
        </w:rPr>
        <w:t>in 2000, this had increased to almost half by 2014</w:t>
      </w:r>
      <w:r w:rsidR="00AB027A">
        <w:rPr>
          <w:rStyle w:val="FootnoteReference"/>
          <w:rFonts w:ascii="Times New Roman" w:hAnsi="Times New Roman" w:cs="Times New Roman"/>
          <w:sz w:val="28"/>
          <w:szCs w:val="28"/>
        </w:rPr>
        <w:footnoteReference w:id="30"/>
      </w:r>
      <w:r w:rsidR="00AB027A" w:rsidRPr="003B3EF6">
        <w:rPr>
          <w:rFonts w:ascii="Times New Roman" w:hAnsi="Times New Roman" w:cs="Times New Roman"/>
          <w:sz w:val="28"/>
          <w:szCs w:val="28"/>
        </w:rPr>
        <w:t>. With the exception of Lesotho, these percentage point increases were appreciably larger among males than females.</w:t>
      </w:r>
      <w:r w:rsidR="00E35231">
        <w:rPr>
          <w:rFonts w:ascii="Times New Roman" w:hAnsi="Times New Roman" w:cs="Times New Roman"/>
          <w:sz w:val="28"/>
          <w:szCs w:val="28"/>
        </w:rPr>
        <w:t xml:space="preserve"> </w:t>
      </w:r>
      <w:r w:rsidR="00AB027A" w:rsidRPr="003B3EF6">
        <w:rPr>
          <w:rFonts w:ascii="Times New Roman" w:hAnsi="Times New Roman" w:cs="Times New Roman"/>
          <w:sz w:val="28"/>
          <w:szCs w:val="28"/>
        </w:rPr>
        <w:t>Given domestic budgetary and political constraints and donor education priorities, the share of the public education budget allocated to higher education has not increased appreciably in most countries in SSA. However, new education policy regimes have promoted the liberalisation and privatisation of higher education with the commercialisation</w:t>
      </w:r>
      <w:r w:rsidR="00AB027A">
        <w:rPr>
          <w:rFonts w:ascii="Times New Roman" w:hAnsi="Times New Roman" w:cs="Times New Roman"/>
          <w:sz w:val="28"/>
          <w:szCs w:val="28"/>
        </w:rPr>
        <w:t xml:space="preserve"> </w:t>
      </w:r>
      <w:r w:rsidR="00AB027A" w:rsidRPr="003B3EF6">
        <w:rPr>
          <w:rFonts w:ascii="Times New Roman" w:hAnsi="Times New Roman" w:cs="Times New Roman"/>
          <w:sz w:val="28"/>
          <w:szCs w:val="28"/>
        </w:rPr>
        <w:t xml:space="preserve">of public universities (based on increased cost recovery) and the emergence of private universities with relatively permissive accreditation requirements. This </w:t>
      </w:r>
      <w:r w:rsidR="00EA39D4" w:rsidRPr="003B3EF6">
        <w:rPr>
          <w:rFonts w:ascii="Times New Roman" w:hAnsi="Times New Roman" w:cs="Times New Roman"/>
          <w:sz w:val="28"/>
          <w:szCs w:val="28"/>
        </w:rPr>
        <w:t xml:space="preserve">enabling environment has facilitated the continued appropriation (capture) of the higher education sector by the </w:t>
      </w:r>
      <w:r w:rsidR="0086088C">
        <w:rPr>
          <w:rFonts w:ascii="Times New Roman" w:hAnsi="Times New Roman" w:cs="Times New Roman"/>
          <w:sz w:val="28"/>
          <w:szCs w:val="28"/>
        </w:rPr>
        <w:t>expanding and increasingly powerful middle class</w:t>
      </w:r>
      <w:r w:rsidR="00EA39D4" w:rsidRPr="003B3EF6">
        <w:rPr>
          <w:rFonts w:ascii="Times New Roman" w:hAnsi="Times New Roman" w:cs="Times New Roman"/>
          <w:sz w:val="28"/>
          <w:szCs w:val="28"/>
        </w:rPr>
        <w:t>.</w:t>
      </w:r>
      <w:r w:rsidR="0086088C">
        <w:rPr>
          <w:rFonts w:ascii="Times New Roman" w:hAnsi="Times New Roman" w:cs="Times New Roman"/>
          <w:sz w:val="28"/>
          <w:szCs w:val="28"/>
        </w:rPr>
        <w:t xml:space="preserve"> </w:t>
      </w:r>
      <w:r w:rsidR="00EA39D4" w:rsidRPr="003B3EF6">
        <w:rPr>
          <w:rFonts w:ascii="Times New Roman" w:hAnsi="Times New Roman" w:cs="Times New Roman"/>
          <w:sz w:val="28"/>
          <w:szCs w:val="28"/>
        </w:rPr>
        <w:t xml:space="preserve">As with secondary education, the higher education sector in SSA is </w:t>
      </w:r>
    </w:p>
    <w:tbl>
      <w:tblPr>
        <w:tblW w:w="9026" w:type="dxa"/>
        <w:tblLook w:val="04A0" w:firstRow="1" w:lastRow="0" w:firstColumn="1" w:lastColumn="0" w:noHBand="0" w:noVBand="1"/>
      </w:tblPr>
      <w:tblGrid>
        <w:gridCol w:w="2426"/>
        <w:gridCol w:w="2327"/>
        <w:gridCol w:w="1343"/>
        <w:gridCol w:w="156"/>
        <w:gridCol w:w="328"/>
        <w:gridCol w:w="518"/>
        <w:gridCol w:w="518"/>
        <w:gridCol w:w="1410"/>
      </w:tblGrid>
      <w:tr w:rsidR="00F71C7F" w:rsidRPr="00F71C7F" w:rsidTr="00F71C7F">
        <w:trPr>
          <w:trHeight w:val="300"/>
        </w:trPr>
        <w:tc>
          <w:tcPr>
            <w:tcW w:w="9026" w:type="dxa"/>
            <w:gridSpan w:val="8"/>
            <w:tcBorders>
              <w:top w:val="nil"/>
              <w:left w:val="nil"/>
              <w:bottom w:val="nil"/>
              <w:right w:val="nil"/>
            </w:tcBorders>
            <w:shd w:val="clear" w:color="auto" w:fill="auto"/>
            <w:noWrap/>
            <w:vAlign w:val="bottom"/>
            <w:hideMark/>
          </w:tcPr>
          <w:p w:rsidR="00F71C7F" w:rsidRPr="00F71C7F" w:rsidRDefault="000140CE" w:rsidP="00B601E6">
            <w:pPr>
              <w:spacing w:after="0" w:line="240" w:lineRule="auto"/>
              <w:rPr>
                <w:rFonts w:ascii="Calibri" w:eastAsia="Times New Roman" w:hAnsi="Calibri" w:cs="Calibri"/>
                <w:b/>
                <w:bCs/>
                <w:color w:val="5F735C"/>
                <w:lang w:eastAsia="en-GB"/>
              </w:rPr>
            </w:pPr>
            <w:r>
              <w:br w:type="page"/>
            </w:r>
            <w:r w:rsidR="00F71C7F" w:rsidRPr="00F71C7F">
              <w:rPr>
                <w:rFonts w:ascii="Calibri" w:eastAsia="Times New Roman" w:hAnsi="Calibri" w:cs="Calibri"/>
                <w:b/>
                <w:bCs/>
                <w:color w:val="5F735C"/>
                <w:lang w:eastAsia="en-GB"/>
              </w:rPr>
              <w:t xml:space="preserve">Table 6: Higher education enrolment for each wealth </w:t>
            </w:r>
            <w:r w:rsidR="00B601E6">
              <w:rPr>
                <w:rFonts w:ascii="Calibri" w:eastAsia="Times New Roman" w:hAnsi="Calibri" w:cs="Calibri"/>
                <w:b/>
                <w:bCs/>
                <w:color w:val="5F735C"/>
                <w:lang w:eastAsia="en-GB"/>
              </w:rPr>
              <w:t>quintile</w:t>
            </w:r>
            <w:r w:rsidR="00F71C7F" w:rsidRPr="00F71C7F">
              <w:rPr>
                <w:rFonts w:ascii="Calibri" w:eastAsia="Times New Roman" w:hAnsi="Calibri" w:cs="Calibri"/>
                <w:b/>
                <w:bCs/>
                <w:color w:val="5F735C"/>
                <w:lang w:eastAsia="en-GB"/>
              </w:rPr>
              <w:t xml:space="preserve"> as a percentage</w:t>
            </w:r>
          </w:p>
        </w:tc>
      </w:tr>
      <w:tr w:rsidR="00F71C7F" w:rsidRPr="00F71C7F" w:rsidTr="00F71C7F">
        <w:trPr>
          <w:trHeight w:val="300"/>
        </w:trPr>
        <w:tc>
          <w:tcPr>
            <w:tcW w:w="9026" w:type="dxa"/>
            <w:gridSpan w:val="8"/>
            <w:tcBorders>
              <w:top w:val="nil"/>
              <w:left w:val="nil"/>
              <w:bottom w:val="nil"/>
              <w:right w:val="nil"/>
            </w:tcBorders>
            <w:shd w:val="clear" w:color="auto" w:fill="auto"/>
            <w:noWrap/>
            <w:vAlign w:val="bottom"/>
            <w:hideMark/>
          </w:tcPr>
          <w:p w:rsidR="00F71C7F" w:rsidRPr="00F71C7F" w:rsidRDefault="00F71C7F" w:rsidP="00F71C7F">
            <w:pPr>
              <w:spacing w:after="0" w:line="240" w:lineRule="auto"/>
              <w:rPr>
                <w:rFonts w:ascii="Calibri" w:eastAsia="Times New Roman" w:hAnsi="Calibri" w:cs="Calibri"/>
                <w:b/>
                <w:bCs/>
                <w:color w:val="5F735C"/>
                <w:lang w:eastAsia="en-GB"/>
              </w:rPr>
            </w:pPr>
            <w:r w:rsidRPr="00F71C7F">
              <w:rPr>
                <w:rFonts w:ascii="Calibri" w:eastAsia="Times New Roman" w:hAnsi="Calibri" w:cs="Calibri"/>
                <w:b/>
                <w:bCs/>
                <w:color w:val="5F735C"/>
                <w:lang w:eastAsia="en-GB"/>
              </w:rPr>
              <w:t>of total national higher education enrolment among 18-24 year olds, 2015/l</w:t>
            </w:r>
            <w:r w:rsidR="00444B29">
              <w:rPr>
                <w:rFonts w:ascii="Calibri" w:eastAsia="Times New Roman" w:hAnsi="Calibri" w:cs="Calibri"/>
                <w:b/>
                <w:bCs/>
                <w:color w:val="5F735C"/>
                <w:lang w:eastAsia="en-GB"/>
              </w:rPr>
              <w:t xml:space="preserve">ast </w:t>
            </w:r>
            <w:r w:rsidRPr="00F71C7F">
              <w:rPr>
                <w:rFonts w:ascii="Calibri" w:eastAsia="Times New Roman" w:hAnsi="Calibri" w:cs="Calibri"/>
                <w:b/>
                <w:bCs/>
                <w:color w:val="5F735C"/>
                <w:lang w:eastAsia="en-GB"/>
              </w:rPr>
              <w:t>y</w:t>
            </w:r>
            <w:r w:rsidR="00444B29">
              <w:rPr>
                <w:rFonts w:ascii="Calibri" w:eastAsia="Times New Roman" w:hAnsi="Calibri" w:cs="Calibri"/>
                <w:b/>
                <w:bCs/>
                <w:color w:val="5F735C"/>
                <w:lang w:eastAsia="en-GB"/>
              </w:rPr>
              <w:t xml:space="preserve">ear </w:t>
            </w:r>
            <w:r w:rsidRPr="00F71C7F">
              <w:rPr>
                <w:rFonts w:ascii="Calibri" w:eastAsia="Times New Roman" w:hAnsi="Calibri" w:cs="Calibri"/>
                <w:b/>
                <w:bCs/>
                <w:color w:val="5F735C"/>
                <w:lang w:eastAsia="en-GB"/>
              </w:rPr>
              <w:t>a</w:t>
            </w:r>
            <w:r w:rsidR="00444B29">
              <w:rPr>
                <w:rFonts w:ascii="Calibri" w:eastAsia="Times New Roman" w:hAnsi="Calibri" w:cs="Calibri"/>
                <w:b/>
                <w:bCs/>
                <w:color w:val="5F735C"/>
                <w:lang w:eastAsia="en-GB"/>
              </w:rPr>
              <w:t>vailable</w:t>
            </w:r>
            <w:r w:rsidRPr="00F71C7F">
              <w:rPr>
                <w:rFonts w:ascii="Calibri" w:eastAsia="Times New Roman" w:hAnsi="Calibri" w:cs="Calibri"/>
                <w:b/>
                <w:bCs/>
                <w:color w:val="5F735C"/>
                <w:lang w:eastAsia="en-GB"/>
              </w:rPr>
              <w:t xml:space="preserve"> (rounded percentages)</w:t>
            </w:r>
          </w:p>
        </w:tc>
      </w:tr>
      <w:tr w:rsidR="00F71C7F" w:rsidRPr="00F71C7F" w:rsidTr="00AB027A">
        <w:trPr>
          <w:trHeight w:val="300"/>
        </w:trPr>
        <w:tc>
          <w:tcPr>
            <w:tcW w:w="2426" w:type="dxa"/>
            <w:tcBorders>
              <w:top w:val="single" w:sz="4" w:space="0" w:color="FFFFFF"/>
              <w:left w:val="single" w:sz="4" w:space="0" w:color="FFFFFF"/>
              <w:bottom w:val="nil"/>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Country</w:t>
            </w:r>
          </w:p>
        </w:tc>
        <w:tc>
          <w:tcPr>
            <w:tcW w:w="2327" w:type="dxa"/>
            <w:tcBorders>
              <w:top w:val="single" w:sz="4" w:space="0" w:color="FFFFFF"/>
              <w:left w:val="nil"/>
              <w:bottom w:val="nil"/>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Sex/quintile</w:t>
            </w:r>
          </w:p>
        </w:tc>
        <w:tc>
          <w:tcPr>
            <w:tcW w:w="1343" w:type="dxa"/>
            <w:tcBorders>
              <w:top w:val="single" w:sz="4" w:space="0" w:color="FFFFFF"/>
              <w:left w:val="nil"/>
              <w:bottom w:val="nil"/>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Poorest</w:t>
            </w:r>
          </w:p>
        </w:tc>
        <w:tc>
          <w:tcPr>
            <w:tcW w:w="484" w:type="dxa"/>
            <w:gridSpan w:val="2"/>
            <w:tcBorders>
              <w:top w:val="single" w:sz="4" w:space="0" w:color="FFFFFF"/>
              <w:left w:val="nil"/>
              <w:bottom w:val="nil"/>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4</w:t>
            </w:r>
          </w:p>
        </w:tc>
        <w:tc>
          <w:tcPr>
            <w:tcW w:w="518" w:type="dxa"/>
            <w:tcBorders>
              <w:top w:val="single" w:sz="4" w:space="0" w:color="FFFFFF"/>
              <w:left w:val="nil"/>
              <w:bottom w:val="nil"/>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3</w:t>
            </w:r>
          </w:p>
        </w:tc>
        <w:tc>
          <w:tcPr>
            <w:tcW w:w="518" w:type="dxa"/>
            <w:tcBorders>
              <w:top w:val="single" w:sz="4" w:space="0" w:color="FFFFFF"/>
              <w:left w:val="nil"/>
              <w:bottom w:val="nil"/>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2</w:t>
            </w:r>
          </w:p>
        </w:tc>
        <w:tc>
          <w:tcPr>
            <w:tcW w:w="1410" w:type="dxa"/>
            <w:tcBorders>
              <w:top w:val="single" w:sz="4" w:space="0" w:color="FFFFFF"/>
              <w:left w:val="nil"/>
              <w:bottom w:val="nil"/>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Richest</w:t>
            </w:r>
          </w:p>
        </w:tc>
      </w:tr>
      <w:tr w:rsidR="00F71C7F" w:rsidRPr="00F71C7F" w:rsidTr="00AB027A">
        <w:trPr>
          <w:trHeight w:val="300"/>
        </w:trPr>
        <w:tc>
          <w:tcPr>
            <w:tcW w:w="2426" w:type="dxa"/>
            <w:tcBorders>
              <w:top w:val="single" w:sz="4" w:space="0" w:color="auto"/>
              <w:left w:val="single" w:sz="4" w:space="0" w:color="auto"/>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Congo</w:t>
            </w:r>
          </w:p>
        </w:tc>
        <w:tc>
          <w:tcPr>
            <w:tcW w:w="2327" w:type="dxa"/>
            <w:tcBorders>
              <w:top w:val="single" w:sz="4" w:space="0" w:color="auto"/>
              <w:left w:val="nil"/>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Female</w:t>
            </w:r>
          </w:p>
        </w:tc>
        <w:tc>
          <w:tcPr>
            <w:tcW w:w="1343" w:type="dxa"/>
            <w:tcBorders>
              <w:top w:val="single" w:sz="4" w:space="0" w:color="auto"/>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0</w:t>
            </w:r>
          </w:p>
        </w:tc>
        <w:tc>
          <w:tcPr>
            <w:tcW w:w="484" w:type="dxa"/>
            <w:gridSpan w:val="2"/>
            <w:tcBorders>
              <w:top w:val="single" w:sz="4" w:space="0" w:color="auto"/>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0</w:t>
            </w:r>
          </w:p>
        </w:tc>
        <w:tc>
          <w:tcPr>
            <w:tcW w:w="518" w:type="dxa"/>
            <w:tcBorders>
              <w:top w:val="single" w:sz="4" w:space="0" w:color="auto"/>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2</w:t>
            </w:r>
          </w:p>
        </w:tc>
        <w:tc>
          <w:tcPr>
            <w:tcW w:w="518" w:type="dxa"/>
            <w:tcBorders>
              <w:top w:val="single" w:sz="4" w:space="0" w:color="auto"/>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16</w:t>
            </w:r>
          </w:p>
        </w:tc>
        <w:tc>
          <w:tcPr>
            <w:tcW w:w="1410" w:type="dxa"/>
            <w:tcBorders>
              <w:top w:val="single" w:sz="4" w:space="0" w:color="auto"/>
              <w:left w:val="nil"/>
              <w:bottom w:val="single" w:sz="4" w:space="0" w:color="FFFFFF"/>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82</w:t>
            </w:r>
          </w:p>
        </w:tc>
      </w:tr>
      <w:tr w:rsidR="00F71C7F" w:rsidRPr="00F71C7F" w:rsidTr="00AB027A">
        <w:trPr>
          <w:trHeight w:val="300"/>
        </w:trPr>
        <w:tc>
          <w:tcPr>
            <w:tcW w:w="2426" w:type="dxa"/>
            <w:tcBorders>
              <w:top w:val="nil"/>
              <w:left w:val="single" w:sz="4" w:space="0" w:color="auto"/>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 </w:t>
            </w:r>
          </w:p>
        </w:tc>
        <w:tc>
          <w:tcPr>
            <w:tcW w:w="2327" w:type="dxa"/>
            <w:tcBorders>
              <w:top w:val="nil"/>
              <w:left w:val="nil"/>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Male</w:t>
            </w:r>
          </w:p>
        </w:tc>
        <w:tc>
          <w:tcPr>
            <w:tcW w:w="1343"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1</w:t>
            </w:r>
          </w:p>
        </w:tc>
        <w:tc>
          <w:tcPr>
            <w:tcW w:w="484" w:type="dxa"/>
            <w:gridSpan w:val="2"/>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0</w:t>
            </w:r>
          </w:p>
        </w:tc>
        <w:tc>
          <w:tcPr>
            <w:tcW w:w="518"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2</w:t>
            </w:r>
          </w:p>
        </w:tc>
        <w:tc>
          <w:tcPr>
            <w:tcW w:w="518"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20</w:t>
            </w:r>
          </w:p>
        </w:tc>
        <w:tc>
          <w:tcPr>
            <w:tcW w:w="1410" w:type="dxa"/>
            <w:tcBorders>
              <w:top w:val="nil"/>
              <w:left w:val="nil"/>
              <w:bottom w:val="single" w:sz="4" w:space="0" w:color="FFFFFF"/>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77</w:t>
            </w:r>
          </w:p>
        </w:tc>
      </w:tr>
      <w:tr w:rsidR="00F71C7F" w:rsidRPr="00F71C7F" w:rsidTr="00AB027A">
        <w:trPr>
          <w:trHeight w:val="300"/>
        </w:trPr>
        <w:tc>
          <w:tcPr>
            <w:tcW w:w="2426" w:type="dxa"/>
            <w:tcBorders>
              <w:top w:val="nil"/>
              <w:left w:val="single" w:sz="4" w:space="0" w:color="auto"/>
              <w:bottom w:val="single" w:sz="4" w:space="0" w:color="auto"/>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Cote d'Ivoire</w:t>
            </w:r>
          </w:p>
        </w:tc>
        <w:tc>
          <w:tcPr>
            <w:tcW w:w="2327" w:type="dxa"/>
            <w:tcBorders>
              <w:top w:val="nil"/>
              <w:left w:val="nil"/>
              <w:bottom w:val="single" w:sz="4" w:space="0" w:color="auto"/>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Female</w:t>
            </w:r>
          </w:p>
        </w:tc>
        <w:tc>
          <w:tcPr>
            <w:tcW w:w="1343" w:type="dxa"/>
            <w:tcBorders>
              <w:top w:val="nil"/>
              <w:left w:val="nil"/>
              <w:bottom w:val="single" w:sz="4" w:space="0" w:color="auto"/>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1</w:t>
            </w:r>
          </w:p>
        </w:tc>
        <w:tc>
          <w:tcPr>
            <w:tcW w:w="484" w:type="dxa"/>
            <w:gridSpan w:val="2"/>
            <w:tcBorders>
              <w:top w:val="nil"/>
              <w:left w:val="nil"/>
              <w:bottom w:val="single" w:sz="4" w:space="0" w:color="auto"/>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2</w:t>
            </w:r>
          </w:p>
        </w:tc>
        <w:tc>
          <w:tcPr>
            <w:tcW w:w="518" w:type="dxa"/>
            <w:tcBorders>
              <w:top w:val="nil"/>
              <w:left w:val="nil"/>
              <w:bottom w:val="single" w:sz="4" w:space="0" w:color="auto"/>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7</w:t>
            </w:r>
          </w:p>
        </w:tc>
        <w:tc>
          <w:tcPr>
            <w:tcW w:w="518" w:type="dxa"/>
            <w:tcBorders>
              <w:top w:val="nil"/>
              <w:left w:val="nil"/>
              <w:bottom w:val="single" w:sz="4" w:space="0" w:color="auto"/>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18</w:t>
            </w:r>
          </w:p>
        </w:tc>
        <w:tc>
          <w:tcPr>
            <w:tcW w:w="1410" w:type="dxa"/>
            <w:tcBorders>
              <w:top w:val="nil"/>
              <w:left w:val="nil"/>
              <w:bottom w:val="single" w:sz="4" w:space="0" w:color="auto"/>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73</w:t>
            </w:r>
          </w:p>
        </w:tc>
      </w:tr>
      <w:tr w:rsidR="00F71C7F" w:rsidRPr="00F71C7F" w:rsidTr="00AB027A">
        <w:trPr>
          <w:trHeight w:val="300"/>
        </w:trPr>
        <w:tc>
          <w:tcPr>
            <w:tcW w:w="2426" w:type="dxa"/>
            <w:tcBorders>
              <w:top w:val="nil"/>
              <w:left w:val="single" w:sz="4" w:space="0" w:color="auto"/>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 </w:t>
            </w:r>
          </w:p>
        </w:tc>
        <w:tc>
          <w:tcPr>
            <w:tcW w:w="2327" w:type="dxa"/>
            <w:tcBorders>
              <w:top w:val="nil"/>
              <w:left w:val="nil"/>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Male</w:t>
            </w:r>
          </w:p>
        </w:tc>
        <w:tc>
          <w:tcPr>
            <w:tcW w:w="1343"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0</w:t>
            </w:r>
          </w:p>
        </w:tc>
        <w:tc>
          <w:tcPr>
            <w:tcW w:w="484" w:type="dxa"/>
            <w:gridSpan w:val="2"/>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0</w:t>
            </w:r>
          </w:p>
        </w:tc>
        <w:tc>
          <w:tcPr>
            <w:tcW w:w="518"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3</w:t>
            </w:r>
          </w:p>
        </w:tc>
        <w:tc>
          <w:tcPr>
            <w:tcW w:w="518"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11</w:t>
            </w:r>
          </w:p>
        </w:tc>
        <w:tc>
          <w:tcPr>
            <w:tcW w:w="1410" w:type="dxa"/>
            <w:tcBorders>
              <w:top w:val="nil"/>
              <w:left w:val="nil"/>
              <w:bottom w:val="single" w:sz="4" w:space="0" w:color="FFFFFF"/>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85</w:t>
            </w:r>
          </w:p>
        </w:tc>
      </w:tr>
      <w:tr w:rsidR="00F71C7F" w:rsidRPr="00F71C7F" w:rsidTr="00AB027A">
        <w:trPr>
          <w:trHeight w:val="300"/>
        </w:trPr>
        <w:tc>
          <w:tcPr>
            <w:tcW w:w="2426" w:type="dxa"/>
            <w:tcBorders>
              <w:top w:val="nil"/>
              <w:left w:val="single" w:sz="4" w:space="0" w:color="auto"/>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Ghana</w:t>
            </w:r>
          </w:p>
        </w:tc>
        <w:tc>
          <w:tcPr>
            <w:tcW w:w="2327" w:type="dxa"/>
            <w:tcBorders>
              <w:top w:val="nil"/>
              <w:left w:val="nil"/>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Female</w:t>
            </w:r>
          </w:p>
        </w:tc>
        <w:tc>
          <w:tcPr>
            <w:tcW w:w="1343"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0</w:t>
            </w:r>
          </w:p>
        </w:tc>
        <w:tc>
          <w:tcPr>
            <w:tcW w:w="484" w:type="dxa"/>
            <w:gridSpan w:val="2"/>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2</w:t>
            </w:r>
          </w:p>
        </w:tc>
        <w:tc>
          <w:tcPr>
            <w:tcW w:w="518"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6</w:t>
            </w:r>
          </w:p>
        </w:tc>
        <w:tc>
          <w:tcPr>
            <w:tcW w:w="518"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19</w:t>
            </w:r>
          </w:p>
        </w:tc>
        <w:tc>
          <w:tcPr>
            <w:tcW w:w="1410" w:type="dxa"/>
            <w:tcBorders>
              <w:top w:val="nil"/>
              <w:left w:val="nil"/>
              <w:bottom w:val="single" w:sz="4" w:space="0" w:color="FFFFFF"/>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73</w:t>
            </w:r>
          </w:p>
        </w:tc>
      </w:tr>
      <w:tr w:rsidR="00F71C7F" w:rsidRPr="00F71C7F" w:rsidTr="00AB027A">
        <w:trPr>
          <w:trHeight w:val="300"/>
        </w:trPr>
        <w:tc>
          <w:tcPr>
            <w:tcW w:w="2426" w:type="dxa"/>
            <w:tcBorders>
              <w:top w:val="nil"/>
              <w:left w:val="single" w:sz="4" w:space="0" w:color="auto"/>
              <w:bottom w:val="single" w:sz="4" w:space="0" w:color="auto"/>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 </w:t>
            </w:r>
          </w:p>
        </w:tc>
        <w:tc>
          <w:tcPr>
            <w:tcW w:w="2327" w:type="dxa"/>
            <w:tcBorders>
              <w:top w:val="nil"/>
              <w:left w:val="nil"/>
              <w:bottom w:val="single" w:sz="4" w:space="0" w:color="auto"/>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Male</w:t>
            </w:r>
          </w:p>
        </w:tc>
        <w:tc>
          <w:tcPr>
            <w:tcW w:w="1343" w:type="dxa"/>
            <w:tcBorders>
              <w:top w:val="nil"/>
              <w:left w:val="nil"/>
              <w:bottom w:val="single" w:sz="4" w:space="0" w:color="auto"/>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2</w:t>
            </w:r>
          </w:p>
        </w:tc>
        <w:tc>
          <w:tcPr>
            <w:tcW w:w="484" w:type="dxa"/>
            <w:gridSpan w:val="2"/>
            <w:tcBorders>
              <w:top w:val="nil"/>
              <w:left w:val="nil"/>
              <w:bottom w:val="single" w:sz="4" w:space="0" w:color="auto"/>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2</w:t>
            </w:r>
          </w:p>
        </w:tc>
        <w:tc>
          <w:tcPr>
            <w:tcW w:w="518" w:type="dxa"/>
            <w:tcBorders>
              <w:top w:val="nil"/>
              <w:left w:val="nil"/>
              <w:bottom w:val="single" w:sz="4" w:space="0" w:color="auto"/>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8</w:t>
            </w:r>
          </w:p>
        </w:tc>
        <w:tc>
          <w:tcPr>
            <w:tcW w:w="518" w:type="dxa"/>
            <w:tcBorders>
              <w:top w:val="nil"/>
              <w:left w:val="nil"/>
              <w:bottom w:val="single" w:sz="4" w:space="0" w:color="auto"/>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21</w:t>
            </w:r>
          </w:p>
        </w:tc>
        <w:tc>
          <w:tcPr>
            <w:tcW w:w="1410" w:type="dxa"/>
            <w:tcBorders>
              <w:top w:val="nil"/>
              <w:left w:val="nil"/>
              <w:bottom w:val="single" w:sz="4" w:space="0" w:color="auto"/>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73</w:t>
            </w:r>
          </w:p>
        </w:tc>
      </w:tr>
      <w:tr w:rsidR="00F71C7F" w:rsidRPr="00F71C7F" w:rsidTr="00AB027A">
        <w:trPr>
          <w:trHeight w:val="300"/>
        </w:trPr>
        <w:tc>
          <w:tcPr>
            <w:tcW w:w="2426" w:type="dxa"/>
            <w:tcBorders>
              <w:top w:val="nil"/>
              <w:left w:val="single" w:sz="4" w:space="0" w:color="auto"/>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Kenya</w:t>
            </w:r>
          </w:p>
        </w:tc>
        <w:tc>
          <w:tcPr>
            <w:tcW w:w="2327" w:type="dxa"/>
            <w:tcBorders>
              <w:top w:val="nil"/>
              <w:left w:val="nil"/>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Female</w:t>
            </w:r>
          </w:p>
        </w:tc>
        <w:tc>
          <w:tcPr>
            <w:tcW w:w="1343"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1</w:t>
            </w:r>
          </w:p>
        </w:tc>
        <w:tc>
          <w:tcPr>
            <w:tcW w:w="484" w:type="dxa"/>
            <w:gridSpan w:val="2"/>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4</w:t>
            </w:r>
          </w:p>
        </w:tc>
        <w:tc>
          <w:tcPr>
            <w:tcW w:w="518"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11</w:t>
            </w:r>
          </w:p>
        </w:tc>
        <w:tc>
          <w:tcPr>
            <w:tcW w:w="518"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24</w:t>
            </w:r>
          </w:p>
        </w:tc>
        <w:tc>
          <w:tcPr>
            <w:tcW w:w="1410" w:type="dxa"/>
            <w:tcBorders>
              <w:top w:val="nil"/>
              <w:left w:val="nil"/>
              <w:bottom w:val="single" w:sz="4" w:space="0" w:color="FFFFFF"/>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60</w:t>
            </w:r>
          </w:p>
        </w:tc>
      </w:tr>
      <w:tr w:rsidR="00F71C7F" w:rsidRPr="00F71C7F" w:rsidTr="00AB027A">
        <w:trPr>
          <w:trHeight w:val="300"/>
        </w:trPr>
        <w:tc>
          <w:tcPr>
            <w:tcW w:w="2426" w:type="dxa"/>
            <w:tcBorders>
              <w:top w:val="nil"/>
              <w:left w:val="single" w:sz="4" w:space="0" w:color="auto"/>
              <w:bottom w:val="nil"/>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 </w:t>
            </w:r>
          </w:p>
        </w:tc>
        <w:tc>
          <w:tcPr>
            <w:tcW w:w="2327" w:type="dxa"/>
            <w:tcBorders>
              <w:top w:val="nil"/>
              <w:left w:val="nil"/>
              <w:bottom w:val="nil"/>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Male</w:t>
            </w:r>
          </w:p>
        </w:tc>
        <w:tc>
          <w:tcPr>
            <w:tcW w:w="1343" w:type="dxa"/>
            <w:tcBorders>
              <w:top w:val="nil"/>
              <w:left w:val="nil"/>
              <w:bottom w:val="nil"/>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3</w:t>
            </w:r>
          </w:p>
        </w:tc>
        <w:tc>
          <w:tcPr>
            <w:tcW w:w="484" w:type="dxa"/>
            <w:gridSpan w:val="2"/>
            <w:tcBorders>
              <w:top w:val="nil"/>
              <w:left w:val="nil"/>
              <w:bottom w:val="nil"/>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6</w:t>
            </w:r>
          </w:p>
        </w:tc>
        <w:tc>
          <w:tcPr>
            <w:tcW w:w="518" w:type="dxa"/>
            <w:tcBorders>
              <w:top w:val="nil"/>
              <w:left w:val="nil"/>
              <w:bottom w:val="nil"/>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14</w:t>
            </w:r>
          </w:p>
        </w:tc>
        <w:tc>
          <w:tcPr>
            <w:tcW w:w="518" w:type="dxa"/>
            <w:tcBorders>
              <w:top w:val="nil"/>
              <w:left w:val="nil"/>
              <w:bottom w:val="nil"/>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21</w:t>
            </w:r>
          </w:p>
        </w:tc>
        <w:tc>
          <w:tcPr>
            <w:tcW w:w="1410" w:type="dxa"/>
            <w:tcBorders>
              <w:top w:val="nil"/>
              <w:left w:val="nil"/>
              <w:bottom w:val="nil"/>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57</w:t>
            </w:r>
          </w:p>
        </w:tc>
      </w:tr>
      <w:tr w:rsidR="00F71C7F" w:rsidRPr="00F71C7F" w:rsidTr="00AB027A">
        <w:trPr>
          <w:trHeight w:val="300"/>
        </w:trPr>
        <w:tc>
          <w:tcPr>
            <w:tcW w:w="2426" w:type="dxa"/>
            <w:tcBorders>
              <w:top w:val="single" w:sz="4" w:space="0" w:color="auto"/>
              <w:left w:val="single" w:sz="4" w:space="0" w:color="auto"/>
              <w:bottom w:val="single" w:sz="4" w:space="0" w:color="auto"/>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Lesotho</w:t>
            </w:r>
          </w:p>
        </w:tc>
        <w:tc>
          <w:tcPr>
            <w:tcW w:w="2327" w:type="dxa"/>
            <w:tcBorders>
              <w:top w:val="single" w:sz="4" w:space="0" w:color="auto"/>
              <w:left w:val="nil"/>
              <w:bottom w:val="single" w:sz="4" w:space="0" w:color="auto"/>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Female</w:t>
            </w:r>
          </w:p>
        </w:tc>
        <w:tc>
          <w:tcPr>
            <w:tcW w:w="1343" w:type="dxa"/>
            <w:tcBorders>
              <w:top w:val="single" w:sz="4" w:space="0" w:color="auto"/>
              <w:left w:val="nil"/>
              <w:bottom w:val="single" w:sz="4" w:space="0" w:color="auto"/>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1</w:t>
            </w:r>
          </w:p>
        </w:tc>
        <w:tc>
          <w:tcPr>
            <w:tcW w:w="484" w:type="dxa"/>
            <w:gridSpan w:val="2"/>
            <w:tcBorders>
              <w:top w:val="single" w:sz="4" w:space="0" w:color="auto"/>
              <w:left w:val="nil"/>
              <w:bottom w:val="single" w:sz="4" w:space="0" w:color="auto"/>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3</w:t>
            </w:r>
          </w:p>
        </w:tc>
        <w:tc>
          <w:tcPr>
            <w:tcW w:w="518" w:type="dxa"/>
            <w:tcBorders>
              <w:top w:val="single" w:sz="4" w:space="0" w:color="auto"/>
              <w:left w:val="nil"/>
              <w:bottom w:val="single" w:sz="4" w:space="0" w:color="auto"/>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10</w:t>
            </w:r>
          </w:p>
        </w:tc>
        <w:tc>
          <w:tcPr>
            <w:tcW w:w="518" w:type="dxa"/>
            <w:tcBorders>
              <w:top w:val="single" w:sz="4" w:space="0" w:color="auto"/>
              <w:left w:val="nil"/>
              <w:bottom w:val="single" w:sz="4" w:space="0" w:color="auto"/>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24</w:t>
            </w:r>
          </w:p>
        </w:tc>
        <w:tc>
          <w:tcPr>
            <w:tcW w:w="1410" w:type="dxa"/>
            <w:tcBorders>
              <w:top w:val="single" w:sz="4" w:space="0" w:color="auto"/>
              <w:left w:val="nil"/>
              <w:bottom w:val="single" w:sz="4" w:space="0" w:color="auto"/>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62</w:t>
            </w:r>
          </w:p>
        </w:tc>
      </w:tr>
      <w:tr w:rsidR="00F71C7F" w:rsidRPr="00F71C7F" w:rsidTr="00AB027A">
        <w:trPr>
          <w:trHeight w:val="300"/>
        </w:trPr>
        <w:tc>
          <w:tcPr>
            <w:tcW w:w="2426" w:type="dxa"/>
            <w:tcBorders>
              <w:top w:val="single" w:sz="4" w:space="0" w:color="FFFFFF"/>
              <w:left w:val="single" w:sz="4" w:space="0" w:color="auto"/>
              <w:bottom w:val="single" w:sz="4" w:space="0" w:color="auto"/>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 </w:t>
            </w:r>
          </w:p>
        </w:tc>
        <w:tc>
          <w:tcPr>
            <w:tcW w:w="2327" w:type="dxa"/>
            <w:tcBorders>
              <w:top w:val="single" w:sz="4" w:space="0" w:color="FFFFFF"/>
              <w:left w:val="nil"/>
              <w:bottom w:val="single" w:sz="4" w:space="0" w:color="auto"/>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Male</w:t>
            </w:r>
          </w:p>
        </w:tc>
        <w:tc>
          <w:tcPr>
            <w:tcW w:w="1343" w:type="dxa"/>
            <w:tcBorders>
              <w:top w:val="single" w:sz="4" w:space="0" w:color="FFFFFF"/>
              <w:left w:val="nil"/>
              <w:bottom w:val="single" w:sz="4" w:space="0" w:color="auto"/>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2</w:t>
            </w:r>
          </w:p>
        </w:tc>
        <w:tc>
          <w:tcPr>
            <w:tcW w:w="484" w:type="dxa"/>
            <w:gridSpan w:val="2"/>
            <w:tcBorders>
              <w:top w:val="single" w:sz="4" w:space="0" w:color="FFFFFF"/>
              <w:left w:val="nil"/>
              <w:bottom w:val="single" w:sz="4" w:space="0" w:color="auto"/>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6</w:t>
            </w:r>
          </w:p>
        </w:tc>
        <w:tc>
          <w:tcPr>
            <w:tcW w:w="518" w:type="dxa"/>
            <w:tcBorders>
              <w:top w:val="single" w:sz="4" w:space="0" w:color="FFFFFF"/>
              <w:left w:val="nil"/>
              <w:bottom w:val="single" w:sz="4" w:space="0" w:color="auto"/>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9</w:t>
            </w:r>
          </w:p>
        </w:tc>
        <w:tc>
          <w:tcPr>
            <w:tcW w:w="518" w:type="dxa"/>
            <w:tcBorders>
              <w:top w:val="single" w:sz="4" w:space="0" w:color="FFFFFF"/>
              <w:left w:val="nil"/>
              <w:bottom w:val="single" w:sz="4" w:space="0" w:color="auto"/>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34</w:t>
            </w:r>
          </w:p>
        </w:tc>
        <w:tc>
          <w:tcPr>
            <w:tcW w:w="1410" w:type="dxa"/>
            <w:tcBorders>
              <w:top w:val="single" w:sz="4" w:space="0" w:color="FFFFFF"/>
              <w:left w:val="nil"/>
              <w:bottom w:val="single" w:sz="4" w:space="0" w:color="auto"/>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50</w:t>
            </w:r>
          </w:p>
        </w:tc>
      </w:tr>
      <w:tr w:rsidR="00F71C7F" w:rsidRPr="00F71C7F" w:rsidTr="00AB027A">
        <w:trPr>
          <w:trHeight w:val="300"/>
        </w:trPr>
        <w:tc>
          <w:tcPr>
            <w:tcW w:w="2426" w:type="dxa"/>
            <w:tcBorders>
              <w:top w:val="nil"/>
              <w:left w:val="single" w:sz="4" w:space="0" w:color="auto"/>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Malawi</w:t>
            </w:r>
          </w:p>
        </w:tc>
        <w:tc>
          <w:tcPr>
            <w:tcW w:w="2327" w:type="dxa"/>
            <w:tcBorders>
              <w:top w:val="nil"/>
              <w:left w:val="nil"/>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Female</w:t>
            </w:r>
          </w:p>
        </w:tc>
        <w:tc>
          <w:tcPr>
            <w:tcW w:w="1343"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0</w:t>
            </w:r>
          </w:p>
        </w:tc>
        <w:tc>
          <w:tcPr>
            <w:tcW w:w="484" w:type="dxa"/>
            <w:gridSpan w:val="2"/>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0</w:t>
            </w:r>
          </w:p>
        </w:tc>
        <w:tc>
          <w:tcPr>
            <w:tcW w:w="518"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0</w:t>
            </w:r>
          </w:p>
        </w:tc>
        <w:tc>
          <w:tcPr>
            <w:tcW w:w="518"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4</w:t>
            </w:r>
          </w:p>
        </w:tc>
        <w:tc>
          <w:tcPr>
            <w:tcW w:w="1410" w:type="dxa"/>
            <w:tcBorders>
              <w:top w:val="nil"/>
              <w:left w:val="nil"/>
              <w:bottom w:val="single" w:sz="4" w:space="0" w:color="FFFFFF"/>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96</w:t>
            </w:r>
          </w:p>
        </w:tc>
      </w:tr>
      <w:tr w:rsidR="00F71C7F" w:rsidRPr="00F71C7F" w:rsidTr="00AB027A">
        <w:trPr>
          <w:trHeight w:val="300"/>
        </w:trPr>
        <w:tc>
          <w:tcPr>
            <w:tcW w:w="2426" w:type="dxa"/>
            <w:tcBorders>
              <w:top w:val="nil"/>
              <w:left w:val="single" w:sz="4" w:space="0" w:color="auto"/>
              <w:bottom w:val="single" w:sz="4" w:space="0" w:color="auto"/>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 </w:t>
            </w:r>
          </w:p>
        </w:tc>
        <w:tc>
          <w:tcPr>
            <w:tcW w:w="2327" w:type="dxa"/>
            <w:tcBorders>
              <w:top w:val="nil"/>
              <w:left w:val="nil"/>
              <w:bottom w:val="single" w:sz="4" w:space="0" w:color="auto"/>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Male</w:t>
            </w:r>
          </w:p>
        </w:tc>
        <w:tc>
          <w:tcPr>
            <w:tcW w:w="1343" w:type="dxa"/>
            <w:tcBorders>
              <w:top w:val="nil"/>
              <w:left w:val="nil"/>
              <w:bottom w:val="single" w:sz="4" w:space="0" w:color="auto"/>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0</w:t>
            </w:r>
          </w:p>
        </w:tc>
        <w:tc>
          <w:tcPr>
            <w:tcW w:w="484" w:type="dxa"/>
            <w:gridSpan w:val="2"/>
            <w:tcBorders>
              <w:top w:val="nil"/>
              <w:left w:val="nil"/>
              <w:bottom w:val="single" w:sz="4" w:space="0" w:color="auto"/>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0</w:t>
            </w:r>
          </w:p>
        </w:tc>
        <w:tc>
          <w:tcPr>
            <w:tcW w:w="518" w:type="dxa"/>
            <w:tcBorders>
              <w:top w:val="nil"/>
              <w:left w:val="nil"/>
              <w:bottom w:val="single" w:sz="4" w:space="0" w:color="auto"/>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0</w:t>
            </w:r>
          </w:p>
        </w:tc>
        <w:tc>
          <w:tcPr>
            <w:tcW w:w="518" w:type="dxa"/>
            <w:tcBorders>
              <w:top w:val="nil"/>
              <w:left w:val="nil"/>
              <w:bottom w:val="single" w:sz="4" w:space="0" w:color="auto"/>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3</w:t>
            </w:r>
          </w:p>
        </w:tc>
        <w:tc>
          <w:tcPr>
            <w:tcW w:w="1410" w:type="dxa"/>
            <w:tcBorders>
              <w:top w:val="nil"/>
              <w:left w:val="nil"/>
              <w:bottom w:val="single" w:sz="4" w:space="0" w:color="auto"/>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97</w:t>
            </w:r>
          </w:p>
        </w:tc>
      </w:tr>
      <w:tr w:rsidR="00F71C7F" w:rsidRPr="00F71C7F" w:rsidTr="00AB027A">
        <w:trPr>
          <w:trHeight w:val="300"/>
        </w:trPr>
        <w:tc>
          <w:tcPr>
            <w:tcW w:w="4753" w:type="dxa"/>
            <w:gridSpan w:val="2"/>
            <w:tcBorders>
              <w:top w:val="nil"/>
              <w:left w:val="nil"/>
              <w:bottom w:val="nil"/>
              <w:right w:val="nil"/>
            </w:tcBorders>
            <w:shd w:val="clear" w:color="auto" w:fill="auto"/>
            <w:noWrap/>
            <w:vAlign w:val="bottom"/>
            <w:hideMark/>
          </w:tcPr>
          <w:p w:rsidR="00444B29" w:rsidRPr="00F71C7F" w:rsidRDefault="00444B29" w:rsidP="00F71C7F">
            <w:pPr>
              <w:spacing w:after="0" w:line="240" w:lineRule="auto"/>
              <w:rPr>
                <w:rFonts w:ascii="Calibri" w:eastAsia="Times New Roman" w:hAnsi="Calibri" w:cs="Calibri"/>
                <w:b/>
                <w:bCs/>
                <w:color w:val="5F735C"/>
                <w:lang w:eastAsia="en-GB"/>
              </w:rPr>
            </w:pPr>
          </w:p>
        </w:tc>
        <w:tc>
          <w:tcPr>
            <w:tcW w:w="1499" w:type="dxa"/>
            <w:gridSpan w:val="2"/>
            <w:tcBorders>
              <w:top w:val="nil"/>
              <w:left w:val="nil"/>
              <w:bottom w:val="nil"/>
              <w:right w:val="nil"/>
            </w:tcBorders>
            <w:shd w:val="clear" w:color="auto" w:fill="auto"/>
            <w:noWrap/>
            <w:vAlign w:val="bottom"/>
            <w:hideMark/>
          </w:tcPr>
          <w:p w:rsidR="00F71C7F" w:rsidRPr="00F71C7F" w:rsidRDefault="00F71C7F" w:rsidP="00F71C7F">
            <w:pPr>
              <w:spacing w:after="0" w:line="240" w:lineRule="auto"/>
              <w:rPr>
                <w:rFonts w:ascii="Calibri" w:eastAsia="Times New Roman" w:hAnsi="Calibri" w:cs="Calibri"/>
                <w:b/>
                <w:bCs/>
                <w:color w:val="5F735C"/>
                <w:lang w:eastAsia="en-GB"/>
              </w:rPr>
            </w:pPr>
          </w:p>
        </w:tc>
        <w:tc>
          <w:tcPr>
            <w:tcW w:w="328"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Times New Roman" w:eastAsia="Times New Roman" w:hAnsi="Times New Roman" w:cs="Times New Roman"/>
                <w:sz w:val="20"/>
                <w:szCs w:val="20"/>
                <w:lang w:eastAsia="en-GB"/>
              </w:rPr>
            </w:pPr>
          </w:p>
        </w:tc>
        <w:tc>
          <w:tcPr>
            <w:tcW w:w="518"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Times New Roman" w:eastAsia="Times New Roman" w:hAnsi="Times New Roman" w:cs="Times New Roman"/>
                <w:sz w:val="20"/>
                <w:szCs w:val="20"/>
                <w:lang w:eastAsia="en-GB"/>
              </w:rPr>
            </w:pPr>
          </w:p>
        </w:tc>
        <w:tc>
          <w:tcPr>
            <w:tcW w:w="518"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Times New Roman" w:eastAsia="Times New Roman" w:hAnsi="Times New Roman" w:cs="Times New Roman"/>
                <w:sz w:val="20"/>
                <w:szCs w:val="20"/>
                <w:lang w:eastAsia="en-GB"/>
              </w:rPr>
            </w:pPr>
          </w:p>
        </w:tc>
        <w:tc>
          <w:tcPr>
            <w:tcW w:w="1410"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Times New Roman" w:eastAsia="Times New Roman" w:hAnsi="Times New Roman" w:cs="Times New Roman"/>
                <w:sz w:val="20"/>
                <w:szCs w:val="20"/>
                <w:lang w:eastAsia="en-GB"/>
              </w:rPr>
            </w:pPr>
          </w:p>
        </w:tc>
      </w:tr>
    </w:tbl>
    <w:p w:rsidR="00EA39D4" w:rsidRDefault="00EA39D4">
      <w:r>
        <w:br w:type="page"/>
      </w:r>
    </w:p>
    <w:tbl>
      <w:tblPr>
        <w:tblW w:w="8146" w:type="dxa"/>
        <w:tblLook w:val="04A0" w:firstRow="1" w:lastRow="0" w:firstColumn="1" w:lastColumn="0" w:noHBand="0" w:noVBand="1"/>
      </w:tblPr>
      <w:tblGrid>
        <w:gridCol w:w="1978"/>
        <w:gridCol w:w="1102"/>
        <w:gridCol w:w="1174"/>
        <w:gridCol w:w="1248"/>
        <w:gridCol w:w="1174"/>
        <w:gridCol w:w="1248"/>
        <w:gridCol w:w="222"/>
      </w:tblGrid>
      <w:tr w:rsidR="00F71C7F" w:rsidRPr="00F71C7F" w:rsidTr="00EA39D4">
        <w:trPr>
          <w:trHeight w:val="300"/>
        </w:trPr>
        <w:tc>
          <w:tcPr>
            <w:tcW w:w="8146" w:type="dxa"/>
            <w:gridSpan w:val="7"/>
            <w:tcBorders>
              <w:top w:val="nil"/>
              <w:left w:val="nil"/>
              <w:bottom w:val="nil"/>
              <w:right w:val="nil"/>
            </w:tcBorders>
            <w:shd w:val="clear" w:color="auto" w:fill="auto"/>
            <w:noWrap/>
            <w:vAlign w:val="bottom"/>
            <w:hideMark/>
          </w:tcPr>
          <w:p w:rsidR="00F71C7F" w:rsidRPr="00F71C7F" w:rsidRDefault="00790052" w:rsidP="00F71C7F">
            <w:pPr>
              <w:spacing w:after="0" w:line="240" w:lineRule="auto"/>
              <w:rPr>
                <w:rFonts w:ascii="Calibri" w:eastAsia="Times New Roman" w:hAnsi="Calibri" w:cs="Calibri"/>
                <w:b/>
                <w:bCs/>
                <w:color w:val="5F735C"/>
                <w:lang w:eastAsia="en-GB"/>
              </w:rPr>
            </w:pPr>
            <w:r>
              <w:lastRenderedPageBreak/>
              <w:br w:type="page"/>
            </w:r>
            <w:r w:rsidR="0038592C">
              <w:br w:type="page"/>
            </w:r>
            <w:r w:rsidR="00F71C7F" w:rsidRPr="00F71C7F">
              <w:rPr>
                <w:rFonts w:ascii="Calibri" w:eastAsia="Times New Roman" w:hAnsi="Calibri" w:cs="Calibri"/>
                <w:b/>
                <w:bCs/>
                <w:color w:val="5F735C"/>
                <w:lang w:eastAsia="en-GB"/>
              </w:rPr>
              <w:t xml:space="preserve">Table 7: Percentage of richest and poorest wealth quintiles aged 20-24 who ever </w:t>
            </w:r>
          </w:p>
        </w:tc>
      </w:tr>
      <w:tr w:rsidR="00F71C7F" w:rsidRPr="00F71C7F" w:rsidTr="00EA39D4">
        <w:trPr>
          <w:trHeight w:val="300"/>
        </w:trPr>
        <w:tc>
          <w:tcPr>
            <w:tcW w:w="8146" w:type="dxa"/>
            <w:gridSpan w:val="7"/>
            <w:tcBorders>
              <w:top w:val="nil"/>
              <w:left w:val="nil"/>
              <w:bottom w:val="nil"/>
              <w:right w:val="nil"/>
            </w:tcBorders>
            <w:shd w:val="clear" w:color="auto" w:fill="auto"/>
            <w:noWrap/>
            <w:vAlign w:val="bottom"/>
            <w:hideMark/>
          </w:tcPr>
          <w:p w:rsidR="00F71C7F" w:rsidRPr="00F71C7F" w:rsidRDefault="00F71C7F" w:rsidP="00F71C7F">
            <w:pPr>
              <w:spacing w:after="0" w:line="240" w:lineRule="auto"/>
              <w:rPr>
                <w:rFonts w:ascii="Calibri" w:eastAsia="Times New Roman" w:hAnsi="Calibri" w:cs="Calibri"/>
                <w:b/>
                <w:bCs/>
                <w:color w:val="5F735C"/>
                <w:lang w:eastAsia="en-GB"/>
              </w:rPr>
            </w:pPr>
            <w:r w:rsidRPr="00F71C7F">
              <w:rPr>
                <w:rFonts w:ascii="Calibri" w:eastAsia="Times New Roman" w:hAnsi="Calibri" w:cs="Calibri"/>
                <w:b/>
                <w:bCs/>
                <w:color w:val="5F735C"/>
                <w:lang w:eastAsia="en-GB"/>
              </w:rPr>
              <w:t>attended a higher education institution, 2000/nya and 2014/lya (rounded percentages)</w:t>
            </w:r>
          </w:p>
        </w:tc>
      </w:tr>
      <w:tr w:rsidR="00F71C7F" w:rsidRPr="00F71C7F" w:rsidTr="00EA39D4">
        <w:trPr>
          <w:trHeight w:val="300"/>
        </w:trPr>
        <w:tc>
          <w:tcPr>
            <w:tcW w:w="1978" w:type="dxa"/>
            <w:tcBorders>
              <w:top w:val="single" w:sz="4" w:space="0" w:color="auto"/>
              <w:left w:val="single" w:sz="4" w:space="0" w:color="auto"/>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 </w:t>
            </w:r>
          </w:p>
        </w:tc>
        <w:tc>
          <w:tcPr>
            <w:tcW w:w="1102" w:type="dxa"/>
            <w:tcBorders>
              <w:top w:val="single" w:sz="4" w:space="0" w:color="auto"/>
              <w:left w:val="nil"/>
              <w:bottom w:val="single" w:sz="4" w:space="0" w:color="FFFFFF"/>
              <w:right w:val="single" w:sz="4" w:space="0" w:color="auto"/>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Survey</w:t>
            </w:r>
          </w:p>
        </w:tc>
        <w:tc>
          <w:tcPr>
            <w:tcW w:w="2422" w:type="dxa"/>
            <w:gridSpan w:val="2"/>
            <w:tcBorders>
              <w:top w:val="single" w:sz="4" w:space="0" w:color="auto"/>
              <w:left w:val="nil"/>
              <w:bottom w:val="single" w:sz="4" w:space="0" w:color="FFFFFF"/>
              <w:right w:val="single" w:sz="4" w:space="0" w:color="000000"/>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Female</w:t>
            </w:r>
          </w:p>
        </w:tc>
        <w:tc>
          <w:tcPr>
            <w:tcW w:w="2422" w:type="dxa"/>
            <w:gridSpan w:val="2"/>
            <w:tcBorders>
              <w:top w:val="single" w:sz="4" w:space="0" w:color="auto"/>
              <w:left w:val="nil"/>
              <w:bottom w:val="single" w:sz="4" w:space="0" w:color="FFFFFF"/>
              <w:right w:val="single" w:sz="4" w:space="0" w:color="000000"/>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Male</w:t>
            </w:r>
          </w:p>
        </w:tc>
        <w:tc>
          <w:tcPr>
            <w:tcW w:w="222"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p>
        </w:tc>
      </w:tr>
      <w:tr w:rsidR="00F71C7F" w:rsidRPr="00F71C7F" w:rsidTr="00EA39D4">
        <w:trPr>
          <w:trHeight w:val="300"/>
        </w:trPr>
        <w:tc>
          <w:tcPr>
            <w:tcW w:w="1978" w:type="dxa"/>
            <w:tcBorders>
              <w:top w:val="nil"/>
              <w:left w:val="single" w:sz="4" w:space="0" w:color="auto"/>
              <w:bottom w:val="nil"/>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Country</w:t>
            </w:r>
          </w:p>
        </w:tc>
        <w:tc>
          <w:tcPr>
            <w:tcW w:w="1102" w:type="dxa"/>
            <w:tcBorders>
              <w:top w:val="nil"/>
              <w:left w:val="nil"/>
              <w:bottom w:val="nil"/>
              <w:right w:val="single" w:sz="4" w:space="0" w:color="auto"/>
            </w:tcBorders>
            <w:shd w:val="clear" w:color="000000" w:fill="49723B"/>
            <w:noWrap/>
            <w:vAlign w:val="bottom"/>
            <w:hideMark/>
          </w:tcPr>
          <w:p w:rsidR="00F71C7F" w:rsidRPr="00F71C7F" w:rsidRDefault="0038592C"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Y</w:t>
            </w:r>
            <w:r w:rsidR="00F71C7F" w:rsidRPr="00F71C7F">
              <w:rPr>
                <w:rFonts w:ascii="Calibri" w:eastAsia="Times New Roman" w:hAnsi="Calibri" w:cs="Calibri"/>
                <w:b/>
                <w:bCs/>
                <w:color w:val="FFFFFF"/>
                <w:lang w:eastAsia="en-GB"/>
              </w:rPr>
              <w:t>ear</w:t>
            </w:r>
          </w:p>
        </w:tc>
        <w:tc>
          <w:tcPr>
            <w:tcW w:w="1174" w:type="dxa"/>
            <w:tcBorders>
              <w:top w:val="nil"/>
              <w:left w:val="nil"/>
              <w:bottom w:val="nil"/>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Richest</w:t>
            </w:r>
          </w:p>
        </w:tc>
        <w:tc>
          <w:tcPr>
            <w:tcW w:w="1248" w:type="dxa"/>
            <w:tcBorders>
              <w:top w:val="nil"/>
              <w:left w:val="nil"/>
              <w:bottom w:val="nil"/>
              <w:right w:val="single" w:sz="4" w:space="0" w:color="auto"/>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Poorest</w:t>
            </w:r>
          </w:p>
        </w:tc>
        <w:tc>
          <w:tcPr>
            <w:tcW w:w="1174" w:type="dxa"/>
            <w:tcBorders>
              <w:top w:val="nil"/>
              <w:left w:val="nil"/>
              <w:bottom w:val="nil"/>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Richest</w:t>
            </w:r>
          </w:p>
        </w:tc>
        <w:tc>
          <w:tcPr>
            <w:tcW w:w="1248" w:type="dxa"/>
            <w:tcBorders>
              <w:top w:val="nil"/>
              <w:left w:val="nil"/>
              <w:bottom w:val="nil"/>
              <w:right w:val="single" w:sz="4" w:space="0" w:color="auto"/>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Poorest</w:t>
            </w:r>
          </w:p>
        </w:tc>
        <w:tc>
          <w:tcPr>
            <w:tcW w:w="222"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p>
        </w:tc>
      </w:tr>
      <w:tr w:rsidR="00F71C7F" w:rsidRPr="00F71C7F" w:rsidTr="00EA39D4">
        <w:trPr>
          <w:trHeight w:val="300"/>
        </w:trPr>
        <w:tc>
          <w:tcPr>
            <w:tcW w:w="1978" w:type="dxa"/>
            <w:tcBorders>
              <w:top w:val="single" w:sz="4" w:space="0" w:color="auto"/>
              <w:left w:val="single" w:sz="4" w:space="0" w:color="auto"/>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Congo</w:t>
            </w:r>
          </w:p>
        </w:tc>
        <w:tc>
          <w:tcPr>
            <w:tcW w:w="1102" w:type="dxa"/>
            <w:tcBorders>
              <w:top w:val="single" w:sz="4" w:space="0" w:color="auto"/>
              <w:left w:val="nil"/>
              <w:bottom w:val="single" w:sz="4" w:space="0" w:color="FFFFFF"/>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2000</w:t>
            </w:r>
          </w:p>
        </w:tc>
        <w:tc>
          <w:tcPr>
            <w:tcW w:w="1174" w:type="dxa"/>
            <w:tcBorders>
              <w:top w:val="single" w:sz="4" w:space="0" w:color="auto"/>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2</w:t>
            </w:r>
          </w:p>
        </w:tc>
        <w:tc>
          <w:tcPr>
            <w:tcW w:w="1248" w:type="dxa"/>
            <w:tcBorders>
              <w:top w:val="single" w:sz="4" w:space="0" w:color="auto"/>
              <w:left w:val="nil"/>
              <w:bottom w:val="single" w:sz="4" w:space="0" w:color="FFFFFF"/>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0</w:t>
            </w:r>
          </w:p>
        </w:tc>
        <w:tc>
          <w:tcPr>
            <w:tcW w:w="1174" w:type="dxa"/>
            <w:tcBorders>
              <w:top w:val="single" w:sz="4" w:space="0" w:color="auto"/>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1</w:t>
            </w:r>
          </w:p>
        </w:tc>
        <w:tc>
          <w:tcPr>
            <w:tcW w:w="1248" w:type="dxa"/>
            <w:tcBorders>
              <w:top w:val="single" w:sz="4" w:space="0" w:color="auto"/>
              <w:left w:val="nil"/>
              <w:bottom w:val="single" w:sz="4" w:space="0" w:color="FFFFFF"/>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0</w:t>
            </w:r>
          </w:p>
        </w:tc>
        <w:tc>
          <w:tcPr>
            <w:tcW w:w="222"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p>
        </w:tc>
      </w:tr>
      <w:tr w:rsidR="00F71C7F" w:rsidRPr="00F71C7F" w:rsidTr="00EA39D4">
        <w:trPr>
          <w:trHeight w:val="300"/>
        </w:trPr>
        <w:tc>
          <w:tcPr>
            <w:tcW w:w="1978" w:type="dxa"/>
            <w:tcBorders>
              <w:top w:val="nil"/>
              <w:left w:val="single" w:sz="4" w:space="0" w:color="auto"/>
              <w:bottom w:val="single" w:sz="4" w:space="0" w:color="auto"/>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102" w:type="dxa"/>
            <w:tcBorders>
              <w:top w:val="nil"/>
              <w:left w:val="nil"/>
              <w:bottom w:val="single" w:sz="4" w:space="0" w:color="auto"/>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2019</w:t>
            </w:r>
          </w:p>
        </w:tc>
        <w:tc>
          <w:tcPr>
            <w:tcW w:w="1174" w:type="dxa"/>
            <w:tcBorders>
              <w:top w:val="nil"/>
              <w:left w:val="nil"/>
              <w:bottom w:val="single" w:sz="4" w:space="0" w:color="auto"/>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24</w:t>
            </w:r>
          </w:p>
        </w:tc>
        <w:tc>
          <w:tcPr>
            <w:tcW w:w="1248" w:type="dxa"/>
            <w:tcBorders>
              <w:top w:val="nil"/>
              <w:left w:val="nil"/>
              <w:bottom w:val="single" w:sz="4" w:space="0" w:color="auto"/>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0</w:t>
            </w:r>
          </w:p>
        </w:tc>
        <w:tc>
          <w:tcPr>
            <w:tcW w:w="1174" w:type="dxa"/>
            <w:tcBorders>
              <w:top w:val="nil"/>
              <w:left w:val="nil"/>
              <w:bottom w:val="single" w:sz="4" w:space="0" w:color="auto"/>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29</w:t>
            </w:r>
          </w:p>
        </w:tc>
        <w:tc>
          <w:tcPr>
            <w:tcW w:w="1248" w:type="dxa"/>
            <w:tcBorders>
              <w:top w:val="nil"/>
              <w:left w:val="nil"/>
              <w:bottom w:val="single" w:sz="4" w:space="0" w:color="auto"/>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0</w:t>
            </w:r>
          </w:p>
        </w:tc>
        <w:tc>
          <w:tcPr>
            <w:tcW w:w="222"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p>
        </w:tc>
      </w:tr>
      <w:tr w:rsidR="00F71C7F" w:rsidRPr="00F71C7F" w:rsidTr="00EA39D4">
        <w:trPr>
          <w:trHeight w:val="300"/>
        </w:trPr>
        <w:tc>
          <w:tcPr>
            <w:tcW w:w="1978" w:type="dxa"/>
            <w:tcBorders>
              <w:top w:val="nil"/>
              <w:left w:val="single" w:sz="4" w:space="0" w:color="auto"/>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Cote d'Ivoire</w:t>
            </w:r>
          </w:p>
        </w:tc>
        <w:tc>
          <w:tcPr>
            <w:tcW w:w="1102" w:type="dxa"/>
            <w:tcBorders>
              <w:top w:val="nil"/>
              <w:left w:val="nil"/>
              <w:bottom w:val="single" w:sz="4" w:space="0" w:color="FFFFFF"/>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2000</w:t>
            </w:r>
          </w:p>
        </w:tc>
        <w:tc>
          <w:tcPr>
            <w:tcW w:w="1174"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21</w:t>
            </w:r>
          </w:p>
        </w:tc>
        <w:tc>
          <w:tcPr>
            <w:tcW w:w="1248" w:type="dxa"/>
            <w:tcBorders>
              <w:top w:val="nil"/>
              <w:left w:val="nil"/>
              <w:bottom w:val="single" w:sz="4" w:space="0" w:color="FFFFFF"/>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0</w:t>
            </w:r>
          </w:p>
        </w:tc>
        <w:tc>
          <w:tcPr>
            <w:tcW w:w="1174"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11</w:t>
            </w:r>
          </w:p>
        </w:tc>
        <w:tc>
          <w:tcPr>
            <w:tcW w:w="1248" w:type="dxa"/>
            <w:tcBorders>
              <w:top w:val="nil"/>
              <w:left w:val="nil"/>
              <w:bottom w:val="single" w:sz="4" w:space="0" w:color="FFFFFF"/>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0</w:t>
            </w:r>
          </w:p>
        </w:tc>
        <w:tc>
          <w:tcPr>
            <w:tcW w:w="222"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p>
        </w:tc>
      </w:tr>
      <w:tr w:rsidR="00F71C7F" w:rsidRPr="00F71C7F" w:rsidTr="00EA39D4">
        <w:trPr>
          <w:trHeight w:val="300"/>
        </w:trPr>
        <w:tc>
          <w:tcPr>
            <w:tcW w:w="1978" w:type="dxa"/>
            <w:tcBorders>
              <w:top w:val="nil"/>
              <w:left w:val="single" w:sz="4" w:space="0" w:color="auto"/>
              <w:bottom w:val="single" w:sz="4" w:space="0" w:color="auto"/>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102" w:type="dxa"/>
            <w:tcBorders>
              <w:top w:val="nil"/>
              <w:left w:val="nil"/>
              <w:bottom w:val="single" w:sz="4" w:space="0" w:color="auto"/>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2016</w:t>
            </w:r>
          </w:p>
        </w:tc>
        <w:tc>
          <w:tcPr>
            <w:tcW w:w="1174" w:type="dxa"/>
            <w:tcBorders>
              <w:top w:val="nil"/>
              <w:left w:val="nil"/>
              <w:bottom w:val="single" w:sz="4" w:space="0" w:color="auto"/>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22</w:t>
            </w:r>
          </w:p>
        </w:tc>
        <w:tc>
          <w:tcPr>
            <w:tcW w:w="1248" w:type="dxa"/>
            <w:tcBorders>
              <w:top w:val="nil"/>
              <w:left w:val="nil"/>
              <w:bottom w:val="single" w:sz="4" w:space="0" w:color="auto"/>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0</w:t>
            </w:r>
          </w:p>
        </w:tc>
        <w:tc>
          <w:tcPr>
            <w:tcW w:w="1174" w:type="dxa"/>
            <w:tcBorders>
              <w:top w:val="nil"/>
              <w:left w:val="nil"/>
              <w:bottom w:val="single" w:sz="4" w:space="0" w:color="auto"/>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37</w:t>
            </w:r>
          </w:p>
        </w:tc>
        <w:tc>
          <w:tcPr>
            <w:tcW w:w="1248" w:type="dxa"/>
            <w:tcBorders>
              <w:top w:val="nil"/>
              <w:left w:val="nil"/>
              <w:bottom w:val="single" w:sz="4" w:space="0" w:color="auto"/>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1</w:t>
            </w:r>
          </w:p>
        </w:tc>
        <w:tc>
          <w:tcPr>
            <w:tcW w:w="222"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p>
        </w:tc>
      </w:tr>
      <w:tr w:rsidR="00F71C7F" w:rsidRPr="00F71C7F" w:rsidTr="00EA39D4">
        <w:trPr>
          <w:trHeight w:val="300"/>
        </w:trPr>
        <w:tc>
          <w:tcPr>
            <w:tcW w:w="1978" w:type="dxa"/>
            <w:tcBorders>
              <w:top w:val="nil"/>
              <w:left w:val="single" w:sz="4" w:space="0" w:color="auto"/>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Ghana</w:t>
            </w:r>
          </w:p>
        </w:tc>
        <w:tc>
          <w:tcPr>
            <w:tcW w:w="1102" w:type="dxa"/>
            <w:tcBorders>
              <w:top w:val="nil"/>
              <w:left w:val="nil"/>
              <w:bottom w:val="single" w:sz="4" w:space="0" w:color="FFFFFF"/>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2006</w:t>
            </w:r>
          </w:p>
        </w:tc>
        <w:tc>
          <w:tcPr>
            <w:tcW w:w="1174"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10</w:t>
            </w:r>
          </w:p>
        </w:tc>
        <w:tc>
          <w:tcPr>
            <w:tcW w:w="1248" w:type="dxa"/>
            <w:tcBorders>
              <w:top w:val="nil"/>
              <w:left w:val="nil"/>
              <w:bottom w:val="single" w:sz="4" w:space="0" w:color="FFFFFF"/>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0</w:t>
            </w:r>
          </w:p>
        </w:tc>
        <w:tc>
          <w:tcPr>
            <w:tcW w:w="1174"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10</w:t>
            </w:r>
          </w:p>
        </w:tc>
        <w:tc>
          <w:tcPr>
            <w:tcW w:w="1248" w:type="dxa"/>
            <w:tcBorders>
              <w:top w:val="nil"/>
              <w:left w:val="nil"/>
              <w:bottom w:val="single" w:sz="4" w:space="0" w:color="FFFFFF"/>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0</w:t>
            </w:r>
          </w:p>
        </w:tc>
        <w:tc>
          <w:tcPr>
            <w:tcW w:w="222"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p>
        </w:tc>
      </w:tr>
      <w:tr w:rsidR="00F71C7F" w:rsidRPr="00F71C7F" w:rsidTr="00EA39D4">
        <w:trPr>
          <w:trHeight w:val="300"/>
        </w:trPr>
        <w:tc>
          <w:tcPr>
            <w:tcW w:w="1978" w:type="dxa"/>
            <w:tcBorders>
              <w:top w:val="nil"/>
              <w:left w:val="single" w:sz="4" w:space="0" w:color="auto"/>
              <w:bottom w:val="single" w:sz="4" w:space="0" w:color="auto"/>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102" w:type="dxa"/>
            <w:tcBorders>
              <w:top w:val="nil"/>
              <w:left w:val="nil"/>
              <w:bottom w:val="single" w:sz="4" w:space="0" w:color="auto"/>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2018</w:t>
            </w:r>
          </w:p>
        </w:tc>
        <w:tc>
          <w:tcPr>
            <w:tcW w:w="1174" w:type="dxa"/>
            <w:tcBorders>
              <w:top w:val="nil"/>
              <w:left w:val="nil"/>
              <w:bottom w:val="single" w:sz="4" w:space="0" w:color="auto"/>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18</w:t>
            </w:r>
          </w:p>
        </w:tc>
        <w:tc>
          <w:tcPr>
            <w:tcW w:w="1248" w:type="dxa"/>
            <w:tcBorders>
              <w:top w:val="nil"/>
              <w:left w:val="nil"/>
              <w:bottom w:val="single" w:sz="4" w:space="0" w:color="auto"/>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0</w:t>
            </w:r>
          </w:p>
        </w:tc>
        <w:tc>
          <w:tcPr>
            <w:tcW w:w="1174" w:type="dxa"/>
            <w:tcBorders>
              <w:top w:val="nil"/>
              <w:left w:val="nil"/>
              <w:bottom w:val="single" w:sz="4" w:space="0" w:color="auto"/>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20</w:t>
            </w:r>
          </w:p>
        </w:tc>
        <w:tc>
          <w:tcPr>
            <w:tcW w:w="1248" w:type="dxa"/>
            <w:tcBorders>
              <w:top w:val="nil"/>
              <w:left w:val="nil"/>
              <w:bottom w:val="single" w:sz="4" w:space="0" w:color="auto"/>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0</w:t>
            </w:r>
          </w:p>
        </w:tc>
        <w:tc>
          <w:tcPr>
            <w:tcW w:w="222"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p>
        </w:tc>
      </w:tr>
      <w:tr w:rsidR="00F71C7F" w:rsidRPr="00F71C7F" w:rsidTr="00EA39D4">
        <w:trPr>
          <w:trHeight w:val="300"/>
        </w:trPr>
        <w:tc>
          <w:tcPr>
            <w:tcW w:w="1978" w:type="dxa"/>
            <w:tcBorders>
              <w:top w:val="nil"/>
              <w:left w:val="single" w:sz="4" w:space="0" w:color="auto"/>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Kenya</w:t>
            </w:r>
          </w:p>
        </w:tc>
        <w:tc>
          <w:tcPr>
            <w:tcW w:w="1102" w:type="dxa"/>
            <w:tcBorders>
              <w:top w:val="nil"/>
              <w:left w:val="nil"/>
              <w:bottom w:val="single" w:sz="4" w:space="0" w:color="FFFFFF"/>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2000</w:t>
            </w:r>
          </w:p>
        </w:tc>
        <w:tc>
          <w:tcPr>
            <w:tcW w:w="1174"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3</w:t>
            </w:r>
          </w:p>
        </w:tc>
        <w:tc>
          <w:tcPr>
            <w:tcW w:w="1248" w:type="dxa"/>
            <w:tcBorders>
              <w:top w:val="nil"/>
              <w:left w:val="nil"/>
              <w:bottom w:val="single" w:sz="4" w:space="0" w:color="FFFFFF"/>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0</w:t>
            </w:r>
          </w:p>
        </w:tc>
        <w:tc>
          <w:tcPr>
            <w:tcW w:w="1174"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6</w:t>
            </w:r>
          </w:p>
        </w:tc>
        <w:tc>
          <w:tcPr>
            <w:tcW w:w="1248" w:type="dxa"/>
            <w:tcBorders>
              <w:top w:val="nil"/>
              <w:left w:val="nil"/>
              <w:bottom w:val="single" w:sz="4" w:space="0" w:color="FFFFFF"/>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0</w:t>
            </w:r>
          </w:p>
        </w:tc>
        <w:tc>
          <w:tcPr>
            <w:tcW w:w="222"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p>
        </w:tc>
      </w:tr>
      <w:tr w:rsidR="00F71C7F" w:rsidRPr="00F71C7F" w:rsidTr="00EA39D4">
        <w:trPr>
          <w:trHeight w:val="300"/>
        </w:trPr>
        <w:tc>
          <w:tcPr>
            <w:tcW w:w="1978" w:type="dxa"/>
            <w:tcBorders>
              <w:top w:val="nil"/>
              <w:left w:val="single" w:sz="4" w:space="0" w:color="auto"/>
              <w:bottom w:val="single" w:sz="4" w:space="0" w:color="auto"/>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102" w:type="dxa"/>
            <w:tcBorders>
              <w:top w:val="nil"/>
              <w:left w:val="nil"/>
              <w:bottom w:val="single" w:sz="4" w:space="0" w:color="auto"/>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2014</w:t>
            </w:r>
          </w:p>
        </w:tc>
        <w:tc>
          <w:tcPr>
            <w:tcW w:w="1174" w:type="dxa"/>
            <w:tcBorders>
              <w:top w:val="nil"/>
              <w:left w:val="nil"/>
              <w:bottom w:val="single" w:sz="4" w:space="0" w:color="auto"/>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33</w:t>
            </w:r>
          </w:p>
        </w:tc>
        <w:tc>
          <w:tcPr>
            <w:tcW w:w="1248" w:type="dxa"/>
            <w:tcBorders>
              <w:top w:val="nil"/>
              <w:left w:val="nil"/>
              <w:bottom w:val="single" w:sz="4" w:space="0" w:color="auto"/>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1</w:t>
            </w:r>
          </w:p>
        </w:tc>
        <w:tc>
          <w:tcPr>
            <w:tcW w:w="1174" w:type="dxa"/>
            <w:tcBorders>
              <w:top w:val="nil"/>
              <w:left w:val="nil"/>
              <w:bottom w:val="single" w:sz="4" w:space="0" w:color="auto"/>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46</w:t>
            </w:r>
          </w:p>
        </w:tc>
        <w:tc>
          <w:tcPr>
            <w:tcW w:w="1248" w:type="dxa"/>
            <w:tcBorders>
              <w:top w:val="nil"/>
              <w:left w:val="nil"/>
              <w:bottom w:val="single" w:sz="4" w:space="0" w:color="auto"/>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3</w:t>
            </w:r>
          </w:p>
        </w:tc>
        <w:tc>
          <w:tcPr>
            <w:tcW w:w="222"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p>
        </w:tc>
      </w:tr>
      <w:tr w:rsidR="00F71C7F" w:rsidRPr="00F71C7F" w:rsidTr="00EA39D4">
        <w:trPr>
          <w:trHeight w:val="300"/>
        </w:trPr>
        <w:tc>
          <w:tcPr>
            <w:tcW w:w="1978" w:type="dxa"/>
            <w:tcBorders>
              <w:top w:val="nil"/>
              <w:left w:val="single" w:sz="4" w:space="0" w:color="auto"/>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Lesotho</w:t>
            </w:r>
          </w:p>
        </w:tc>
        <w:tc>
          <w:tcPr>
            <w:tcW w:w="1102" w:type="dxa"/>
            <w:tcBorders>
              <w:top w:val="nil"/>
              <w:left w:val="nil"/>
              <w:bottom w:val="single" w:sz="4" w:space="0" w:color="FFFFFF"/>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2000</w:t>
            </w:r>
          </w:p>
        </w:tc>
        <w:tc>
          <w:tcPr>
            <w:tcW w:w="1174"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9</w:t>
            </w:r>
          </w:p>
        </w:tc>
        <w:tc>
          <w:tcPr>
            <w:tcW w:w="1248" w:type="dxa"/>
            <w:tcBorders>
              <w:top w:val="nil"/>
              <w:left w:val="nil"/>
              <w:bottom w:val="single" w:sz="4" w:space="0" w:color="FFFFFF"/>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0</w:t>
            </w:r>
          </w:p>
        </w:tc>
        <w:tc>
          <w:tcPr>
            <w:tcW w:w="1174"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4</w:t>
            </w:r>
          </w:p>
        </w:tc>
        <w:tc>
          <w:tcPr>
            <w:tcW w:w="1248" w:type="dxa"/>
            <w:tcBorders>
              <w:top w:val="nil"/>
              <w:left w:val="nil"/>
              <w:bottom w:val="single" w:sz="4" w:space="0" w:color="FFFFFF"/>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0</w:t>
            </w:r>
          </w:p>
        </w:tc>
        <w:tc>
          <w:tcPr>
            <w:tcW w:w="222"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p>
        </w:tc>
      </w:tr>
      <w:tr w:rsidR="00F71C7F" w:rsidRPr="00F71C7F" w:rsidTr="00EA39D4">
        <w:trPr>
          <w:trHeight w:val="300"/>
        </w:trPr>
        <w:tc>
          <w:tcPr>
            <w:tcW w:w="1978" w:type="dxa"/>
            <w:tcBorders>
              <w:top w:val="nil"/>
              <w:left w:val="single" w:sz="4" w:space="0" w:color="auto"/>
              <w:bottom w:val="single" w:sz="4" w:space="0" w:color="auto"/>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102" w:type="dxa"/>
            <w:tcBorders>
              <w:top w:val="nil"/>
              <w:left w:val="nil"/>
              <w:bottom w:val="single" w:sz="4" w:space="0" w:color="auto"/>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2018</w:t>
            </w:r>
          </w:p>
        </w:tc>
        <w:tc>
          <w:tcPr>
            <w:tcW w:w="1174" w:type="dxa"/>
            <w:tcBorders>
              <w:top w:val="nil"/>
              <w:left w:val="nil"/>
              <w:bottom w:val="single" w:sz="4" w:space="0" w:color="auto"/>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26</w:t>
            </w:r>
          </w:p>
        </w:tc>
        <w:tc>
          <w:tcPr>
            <w:tcW w:w="1248" w:type="dxa"/>
            <w:tcBorders>
              <w:top w:val="nil"/>
              <w:left w:val="nil"/>
              <w:bottom w:val="single" w:sz="4" w:space="0" w:color="auto"/>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1</w:t>
            </w:r>
          </w:p>
        </w:tc>
        <w:tc>
          <w:tcPr>
            <w:tcW w:w="1174" w:type="dxa"/>
            <w:tcBorders>
              <w:top w:val="nil"/>
              <w:left w:val="nil"/>
              <w:bottom w:val="single" w:sz="4" w:space="0" w:color="auto"/>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16</w:t>
            </w:r>
          </w:p>
        </w:tc>
        <w:tc>
          <w:tcPr>
            <w:tcW w:w="1248" w:type="dxa"/>
            <w:tcBorders>
              <w:top w:val="nil"/>
              <w:left w:val="nil"/>
              <w:bottom w:val="single" w:sz="4" w:space="0" w:color="auto"/>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1</w:t>
            </w:r>
          </w:p>
        </w:tc>
        <w:tc>
          <w:tcPr>
            <w:tcW w:w="222"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p>
        </w:tc>
      </w:tr>
      <w:tr w:rsidR="00F71C7F" w:rsidRPr="00F71C7F" w:rsidTr="00EA39D4">
        <w:trPr>
          <w:trHeight w:val="300"/>
        </w:trPr>
        <w:tc>
          <w:tcPr>
            <w:tcW w:w="1978" w:type="dxa"/>
            <w:tcBorders>
              <w:top w:val="nil"/>
              <w:left w:val="single" w:sz="4" w:space="0" w:color="auto"/>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Madagascar</w:t>
            </w:r>
          </w:p>
        </w:tc>
        <w:tc>
          <w:tcPr>
            <w:tcW w:w="1102" w:type="dxa"/>
            <w:tcBorders>
              <w:top w:val="nil"/>
              <w:left w:val="nil"/>
              <w:bottom w:val="single" w:sz="4" w:space="0" w:color="FFFFFF"/>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2004</w:t>
            </w:r>
          </w:p>
        </w:tc>
        <w:tc>
          <w:tcPr>
            <w:tcW w:w="1174"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8</w:t>
            </w:r>
          </w:p>
        </w:tc>
        <w:tc>
          <w:tcPr>
            <w:tcW w:w="1248" w:type="dxa"/>
            <w:tcBorders>
              <w:top w:val="nil"/>
              <w:left w:val="nil"/>
              <w:bottom w:val="single" w:sz="4" w:space="0" w:color="FFFFFF"/>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0</w:t>
            </w:r>
          </w:p>
        </w:tc>
        <w:tc>
          <w:tcPr>
            <w:tcW w:w="1174"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7</w:t>
            </w:r>
          </w:p>
        </w:tc>
        <w:tc>
          <w:tcPr>
            <w:tcW w:w="1248" w:type="dxa"/>
            <w:tcBorders>
              <w:top w:val="nil"/>
              <w:left w:val="nil"/>
              <w:bottom w:val="single" w:sz="4" w:space="0" w:color="FFFFFF"/>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0</w:t>
            </w:r>
          </w:p>
        </w:tc>
        <w:tc>
          <w:tcPr>
            <w:tcW w:w="222"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p>
        </w:tc>
      </w:tr>
      <w:tr w:rsidR="00F71C7F" w:rsidRPr="00F71C7F" w:rsidTr="00EA39D4">
        <w:trPr>
          <w:trHeight w:val="300"/>
        </w:trPr>
        <w:tc>
          <w:tcPr>
            <w:tcW w:w="1978" w:type="dxa"/>
            <w:tcBorders>
              <w:top w:val="nil"/>
              <w:left w:val="single" w:sz="4" w:space="0" w:color="auto"/>
              <w:bottom w:val="single" w:sz="4" w:space="0" w:color="auto"/>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102" w:type="dxa"/>
            <w:tcBorders>
              <w:top w:val="nil"/>
              <w:left w:val="nil"/>
              <w:bottom w:val="single" w:sz="4" w:space="0" w:color="auto"/>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2018</w:t>
            </w:r>
          </w:p>
        </w:tc>
        <w:tc>
          <w:tcPr>
            <w:tcW w:w="1174" w:type="dxa"/>
            <w:tcBorders>
              <w:top w:val="nil"/>
              <w:left w:val="nil"/>
              <w:bottom w:val="single" w:sz="4" w:space="0" w:color="auto"/>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248" w:type="dxa"/>
            <w:tcBorders>
              <w:top w:val="nil"/>
              <w:left w:val="nil"/>
              <w:bottom w:val="single" w:sz="4" w:space="0" w:color="auto"/>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174" w:type="dxa"/>
            <w:tcBorders>
              <w:top w:val="nil"/>
              <w:left w:val="nil"/>
              <w:bottom w:val="single" w:sz="4" w:space="0" w:color="auto"/>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248" w:type="dxa"/>
            <w:tcBorders>
              <w:top w:val="nil"/>
              <w:left w:val="nil"/>
              <w:bottom w:val="single" w:sz="4" w:space="0" w:color="auto"/>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222"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p>
        </w:tc>
      </w:tr>
      <w:tr w:rsidR="00F71C7F" w:rsidRPr="00F71C7F" w:rsidTr="00EA39D4">
        <w:trPr>
          <w:trHeight w:val="300"/>
        </w:trPr>
        <w:tc>
          <w:tcPr>
            <w:tcW w:w="1978" w:type="dxa"/>
            <w:tcBorders>
              <w:top w:val="nil"/>
              <w:left w:val="single" w:sz="4" w:space="0" w:color="auto"/>
              <w:bottom w:val="single" w:sz="4" w:space="0" w:color="auto"/>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Malawi</w:t>
            </w:r>
          </w:p>
        </w:tc>
        <w:tc>
          <w:tcPr>
            <w:tcW w:w="1102" w:type="dxa"/>
            <w:tcBorders>
              <w:top w:val="nil"/>
              <w:left w:val="nil"/>
              <w:bottom w:val="single" w:sz="4" w:space="0" w:color="auto"/>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2014</w:t>
            </w:r>
          </w:p>
        </w:tc>
        <w:tc>
          <w:tcPr>
            <w:tcW w:w="1174" w:type="dxa"/>
            <w:tcBorders>
              <w:top w:val="nil"/>
              <w:left w:val="nil"/>
              <w:bottom w:val="single" w:sz="4" w:space="0" w:color="auto"/>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11</w:t>
            </w:r>
          </w:p>
        </w:tc>
        <w:tc>
          <w:tcPr>
            <w:tcW w:w="1248" w:type="dxa"/>
            <w:tcBorders>
              <w:top w:val="nil"/>
              <w:left w:val="nil"/>
              <w:bottom w:val="single" w:sz="4" w:space="0" w:color="auto"/>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0</w:t>
            </w:r>
          </w:p>
        </w:tc>
        <w:tc>
          <w:tcPr>
            <w:tcW w:w="1174" w:type="dxa"/>
            <w:tcBorders>
              <w:top w:val="nil"/>
              <w:left w:val="nil"/>
              <w:bottom w:val="single" w:sz="4" w:space="0" w:color="auto"/>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10</w:t>
            </w:r>
          </w:p>
        </w:tc>
        <w:tc>
          <w:tcPr>
            <w:tcW w:w="1248" w:type="dxa"/>
            <w:tcBorders>
              <w:top w:val="nil"/>
              <w:left w:val="nil"/>
              <w:bottom w:val="single" w:sz="4" w:space="0" w:color="auto"/>
              <w:right w:val="single" w:sz="4"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0</w:t>
            </w:r>
          </w:p>
        </w:tc>
        <w:tc>
          <w:tcPr>
            <w:tcW w:w="222"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p>
        </w:tc>
      </w:tr>
      <w:tr w:rsidR="00F71C7F" w:rsidRPr="00F71C7F" w:rsidTr="00EA39D4">
        <w:trPr>
          <w:trHeight w:val="300"/>
        </w:trPr>
        <w:tc>
          <w:tcPr>
            <w:tcW w:w="3080" w:type="dxa"/>
            <w:gridSpan w:val="2"/>
            <w:tcBorders>
              <w:top w:val="nil"/>
              <w:left w:val="nil"/>
              <w:bottom w:val="nil"/>
              <w:right w:val="nil"/>
            </w:tcBorders>
            <w:shd w:val="clear" w:color="auto" w:fill="auto"/>
            <w:noWrap/>
            <w:vAlign w:val="bottom"/>
            <w:hideMark/>
          </w:tcPr>
          <w:p w:rsidR="00F71C7F" w:rsidRDefault="00DF3AA4" w:rsidP="00F71C7F">
            <w:pPr>
              <w:spacing w:after="0" w:line="240" w:lineRule="auto"/>
              <w:rPr>
                <w:rFonts w:ascii="Calibri" w:eastAsia="Times New Roman" w:hAnsi="Calibri" w:cs="Calibri"/>
                <w:b/>
                <w:bCs/>
                <w:color w:val="5F735C"/>
                <w:lang w:eastAsia="en-GB"/>
              </w:rPr>
            </w:pPr>
            <w:r>
              <w:br w:type="page"/>
            </w:r>
          </w:p>
          <w:p w:rsidR="0038592C" w:rsidRDefault="0038592C" w:rsidP="0038592C">
            <w:pPr>
              <w:spacing w:after="0" w:line="240" w:lineRule="auto"/>
              <w:rPr>
                <w:rFonts w:ascii="Calibri" w:eastAsia="Times New Roman" w:hAnsi="Calibri" w:cs="Calibri"/>
                <w:b/>
                <w:bCs/>
                <w:color w:val="5F735C"/>
                <w:lang w:eastAsia="en-GB"/>
              </w:rPr>
            </w:pPr>
            <w:r w:rsidRPr="00F71C7F">
              <w:rPr>
                <w:rFonts w:ascii="Calibri" w:eastAsia="Times New Roman" w:hAnsi="Calibri" w:cs="Calibri"/>
                <w:b/>
                <w:bCs/>
                <w:color w:val="5F735C"/>
                <w:lang w:eastAsia="en-GB"/>
              </w:rPr>
              <w:t xml:space="preserve">Source: </w:t>
            </w:r>
            <w:r w:rsidR="00B601E6">
              <w:rPr>
                <w:rFonts w:ascii="Calibri" w:eastAsia="Times New Roman" w:hAnsi="Calibri" w:cs="Calibri"/>
                <w:b/>
                <w:bCs/>
                <w:color w:val="5F735C"/>
                <w:lang w:eastAsia="en-GB"/>
              </w:rPr>
              <w:t xml:space="preserve">DHS and </w:t>
            </w:r>
            <w:r w:rsidRPr="00F71C7F">
              <w:rPr>
                <w:rFonts w:ascii="Calibri" w:eastAsia="Times New Roman" w:hAnsi="Calibri" w:cs="Calibri"/>
                <w:b/>
                <w:bCs/>
                <w:color w:val="5F735C"/>
                <w:lang w:eastAsia="en-GB"/>
              </w:rPr>
              <w:t xml:space="preserve">MICS </w:t>
            </w:r>
          </w:p>
          <w:p w:rsidR="00F71C7F" w:rsidRPr="00F71C7F" w:rsidRDefault="00F71C7F" w:rsidP="00F71C7F">
            <w:pPr>
              <w:spacing w:after="0" w:line="240" w:lineRule="auto"/>
              <w:rPr>
                <w:rFonts w:ascii="Calibri" w:eastAsia="Times New Roman" w:hAnsi="Calibri" w:cs="Calibri"/>
                <w:b/>
                <w:bCs/>
                <w:color w:val="5F735C"/>
                <w:lang w:eastAsia="en-GB"/>
              </w:rPr>
            </w:pPr>
          </w:p>
        </w:tc>
        <w:tc>
          <w:tcPr>
            <w:tcW w:w="1174"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rPr>
                <w:rFonts w:ascii="Calibri" w:eastAsia="Times New Roman" w:hAnsi="Calibri" w:cs="Calibri"/>
                <w:b/>
                <w:bCs/>
                <w:color w:val="5F735C"/>
                <w:lang w:eastAsia="en-GB"/>
              </w:rPr>
            </w:pPr>
          </w:p>
        </w:tc>
        <w:tc>
          <w:tcPr>
            <w:tcW w:w="1248"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Times New Roman" w:eastAsia="Times New Roman" w:hAnsi="Times New Roman" w:cs="Times New Roman"/>
                <w:sz w:val="20"/>
                <w:szCs w:val="20"/>
                <w:lang w:eastAsia="en-GB"/>
              </w:rPr>
            </w:pPr>
          </w:p>
        </w:tc>
        <w:tc>
          <w:tcPr>
            <w:tcW w:w="1174"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Times New Roman" w:eastAsia="Times New Roman" w:hAnsi="Times New Roman" w:cs="Times New Roman"/>
                <w:sz w:val="20"/>
                <w:szCs w:val="20"/>
                <w:lang w:eastAsia="en-GB"/>
              </w:rPr>
            </w:pPr>
          </w:p>
        </w:tc>
        <w:tc>
          <w:tcPr>
            <w:tcW w:w="1248"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Times New Roman" w:eastAsia="Times New Roman" w:hAnsi="Times New Roman" w:cs="Times New Roman"/>
                <w:sz w:val="20"/>
                <w:szCs w:val="20"/>
                <w:lang w:eastAsia="en-GB"/>
              </w:rPr>
            </w:pPr>
          </w:p>
        </w:tc>
      </w:tr>
    </w:tbl>
    <w:p w:rsidR="00EA39D4" w:rsidRPr="003B3EF6" w:rsidRDefault="00EA39D4" w:rsidP="00EA39D4">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becoming increasingly institutionally differentiated - ranging from elite national and private universities to much lower cost providers. Moreover, the upper echelons of the </w:t>
      </w:r>
      <w:r w:rsidR="0086088C">
        <w:rPr>
          <w:rFonts w:ascii="Times New Roman" w:hAnsi="Times New Roman" w:cs="Times New Roman"/>
          <w:sz w:val="28"/>
          <w:szCs w:val="28"/>
        </w:rPr>
        <w:t xml:space="preserve">middle class are </w:t>
      </w:r>
      <w:r w:rsidRPr="003B3EF6">
        <w:rPr>
          <w:rFonts w:ascii="Times New Roman" w:hAnsi="Times New Roman" w:cs="Times New Roman"/>
          <w:sz w:val="28"/>
          <w:szCs w:val="28"/>
        </w:rPr>
        <w:t>increasingly send their children to overseas universities whose internationally recognised qualifications give them a preferential place in local job queues and also the possibility for permanent migration to higher paying jobs overseas</w:t>
      </w:r>
      <w:r w:rsidRPr="003B3EF6">
        <w:rPr>
          <w:rStyle w:val="FootnoteReference"/>
          <w:rFonts w:ascii="Times New Roman" w:hAnsi="Times New Roman" w:cs="Times New Roman"/>
          <w:sz w:val="28"/>
          <w:szCs w:val="28"/>
        </w:rPr>
        <w:footnoteReference w:id="31"/>
      </w:r>
      <w:r w:rsidRPr="003B3EF6">
        <w:rPr>
          <w:rFonts w:ascii="Times New Roman" w:hAnsi="Times New Roman" w:cs="Times New Roman"/>
          <w:sz w:val="28"/>
          <w:szCs w:val="28"/>
        </w:rPr>
        <w:t xml:space="preserve">. </w:t>
      </w:r>
    </w:p>
    <w:p w:rsidR="008C4711" w:rsidRPr="003B3EF6" w:rsidRDefault="00464E54" w:rsidP="003133DF">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In the past, technical and vocational education and training </w:t>
      </w:r>
      <w:r w:rsidR="00B601E6">
        <w:rPr>
          <w:rFonts w:ascii="Times New Roman" w:hAnsi="Times New Roman" w:cs="Times New Roman"/>
          <w:sz w:val="28"/>
          <w:szCs w:val="28"/>
        </w:rPr>
        <w:t xml:space="preserve">(TVET) </w:t>
      </w:r>
      <w:r w:rsidRPr="003B3EF6">
        <w:rPr>
          <w:rFonts w:ascii="Times New Roman" w:hAnsi="Times New Roman" w:cs="Times New Roman"/>
          <w:sz w:val="28"/>
          <w:szCs w:val="28"/>
        </w:rPr>
        <w:t>was an important pathway for both primary and secondary school leavers into skilled</w:t>
      </w:r>
      <w:r w:rsidR="00B601E6">
        <w:rPr>
          <w:rFonts w:ascii="Times New Roman" w:hAnsi="Times New Roman" w:cs="Times New Roman"/>
          <w:sz w:val="28"/>
          <w:szCs w:val="28"/>
        </w:rPr>
        <w:t>, mainly</w:t>
      </w:r>
      <w:r w:rsidRPr="003B3EF6">
        <w:rPr>
          <w:rFonts w:ascii="Times New Roman" w:hAnsi="Times New Roman" w:cs="Times New Roman"/>
          <w:sz w:val="28"/>
          <w:szCs w:val="28"/>
        </w:rPr>
        <w:t xml:space="preserve"> manual jobs. However, it is increasingly being s</w:t>
      </w:r>
      <w:r w:rsidR="008C4711" w:rsidRPr="003B3EF6">
        <w:rPr>
          <w:rFonts w:ascii="Times New Roman" w:hAnsi="Times New Roman" w:cs="Times New Roman"/>
          <w:sz w:val="28"/>
          <w:szCs w:val="28"/>
        </w:rPr>
        <w:t xml:space="preserve">upplanted by higher education because traditional TVET with its focus on </w:t>
      </w:r>
      <w:r w:rsidR="00D6092F" w:rsidRPr="003B3EF6">
        <w:rPr>
          <w:rFonts w:ascii="Times New Roman" w:hAnsi="Times New Roman" w:cs="Times New Roman"/>
          <w:sz w:val="28"/>
          <w:szCs w:val="28"/>
        </w:rPr>
        <w:t xml:space="preserve">the core </w:t>
      </w:r>
      <w:r w:rsidR="008C4711" w:rsidRPr="003B3EF6">
        <w:rPr>
          <w:rFonts w:ascii="Times New Roman" w:hAnsi="Times New Roman" w:cs="Times New Roman"/>
          <w:sz w:val="28"/>
          <w:szCs w:val="28"/>
        </w:rPr>
        <w:t xml:space="preserve">artisan trades </w:t>
      </w:r>
      <w:r w:rsidRPr="003B3EF6">
        <w:rPr>
          <w:rFonts w:ascii="Times New Roman" w:hAnsi="Times New Roman" w:cs="Times New Roman"/>
          <w:sz w:val="28"/>
          <w:szCs w:val="28"/>
        </w:rPr>
        <w:t>is no</w:t>
      </w:r>
      <w:r w:rsidR="00264228">
        <w:rPr>
          <w:rFonts w:ascii="Times New Roman" w:hAnsi="Times New Roman" w:cs="Times New Roman"/>
          <w:sz w:val="28"/>
          <w:szCs w:val="28"/>
        </w:rPr>
        <w:t xml:space="preserve"> longer</w:t>
      </w:r>
      <w:r w:rsidRPr="003B3EF6">
        <w:rPr>
          <w:rFonts w:ascii="Times New Roman" w:hAnsi="Times New Roman" w:cs="Times New Roman"/>
          <w:sz w:val="28"/>
          <w:szCs w:val="28"/>
        </w:rPr>
        <w:t xml:space="preserve"> </w:t>
      </w:r>
      <w:r w:rsidR="008C4711" w:rsidRPr="003B3EF6">
        <w:rPr>
          <w:rFonts w:ascii="Times New Roman" w:hAnsi="Times New Roman" w:cs="Times New Roman"/>
          <w:sz w:val="28"/>
          <w:szCs w:val="28"/>
        </w:rPr>
        <w:t>consistent with the skill requirements o</w:t>
      </w:r>
      <w:r w:rsidRPr="003B3EF6">
        <w:rPr>
          <w:rFonts w:ascii="Times New Roman" w:hAnsi="Times New Roman" w:cs="Times New Roman"/>
          <w:sz w:val="28"/>
          <w:szCs w:val="28"/>
        </w:rPr>
        <w:t>f the new resource and services-</w:t>
      </w:r>
      <w:r w:rsidR="008C4711" w:rsidRPr="003B3EF6">
        <w:rPr>
          <w:rFonts w:ascii="Times New Roman" w:hAnsi="Times New Roman" w:cs="Times New Roman"/>
          <w:sz w:val="28"/>
          <w:szCs w:val="28"/>
        </w:rPr>
        <w:t>driven development strategy. This largely explains the fairly widespread fai</w:t>
      </w:r>
      <w:r w:rsidRPr="003B3EF6">
        <w:rPr>
          <w:rFonts w:ascii="Times New Roman" w:hAnsi="Times New Roman" w:cs="Times New Roman"/>
          <w:sz w:val="28"/>
          <w:szCs w:val="28"/>
        </w:rPr>
        <w:t xml:space="preserve">lure </w:t>
      </w:r>
      <w:r w:rsidR="008C4711" w:rsidRPr="003B3EF6">
        <w:rPr>
          <w:rFonts w:ascii="Times New Roman" w:hAnsi="Times New Roman" w:cs="Times New Roman"/>
          <w:sz w:val="28"/>
          <w:szCs w:val="28"/>
        </w:rPr>
        <w:lastRenderedPageBreak/>
        <w:t>to re</w:t>
      </w:r>
      <w:r w:rsidRPr="003B3EF6">
        <w:rPr>
          <w:rFonts w:ascii="Times New Roman" w:hAnsi="Times New Roman" w:cs="Times New Roman"/>
          <w:sz w:val="28"/>
          <w:szCs w:val="28"/>
        </w:rPr>
        <w:t xml:space="preserve">form </w:t>
      </w:r>
      <w:r w:rsidR="008C4711" w:rsidRPr="003B3EF6">
        <w:rPr>
          <w:rFonts w:ascii="Times New Roman" w:hAnsi="Times New Roman" w:cs="Times New Roman"/>
          <w:sz w:val="28"/>
          <w:szCs w:val="28"/>
        </w:rPr>
        <w:t>TVET</w:t>
      </w:r>
      <w:r w:rsidR="00103669" w:rsidRPr="003B3EF6">
        <w:rPr>
          <w:rFonts w:ascii="Times New Roman" w:hAnsi="Times New Roman" w:cs="Times New Roman"/>
          <w:sz w:val="28"/>
          <w:szCs w:val="28"/>
        </w:rPr>
        <w:t xml:space="preserve"> systems</w:t>
      </w:r>
      <w:r w:rsidRPr="003B3EF6">
        <w:rPr>
          <w:rFonts w:ascii="Times New Roman" w:hAnsi="Times New Roman" w:cs="Times New Roman"/>
          <w:sz w:val="28"/>
          <w:szCs w:val="28"/>
        </w:rPr>
        <w:t xml:space="preserve"> in</w:t>
      </w:r>
      <w:r w:rsidR="0083278E" w:rsidRPr="003B3EF6">
        <w:rPr>
          <w:rFonts w:ascii="Times New Roman" w:hAnsi="Times New Roman" w:cs="Times New Roman"/>
          <w:sz w:val="28"/>
          <w:szCs w:val="28"/>
        </w:rPr>
        <w:t xml:space="preserve"> SSA in</w:t>
      </w:r>
      <w:r w:rsidRPr="003B3EF6">
        <w:rPr>
          <w:rFonts w:ascii="Times New Roman" w:hAnsi="Times New Roman" w:cs="Times New Roman"/>
          <w:sz w:val="28"/>
          <w:szCs w:val="28"/>
        </w:rPr>
        <w:t xml:space="preserve"> particular by making </w:t>
      </w:r>
      <w:r w:rsidR="00103669" w:rsidRPr="003B3EF6">
        <w:rPr>
          <w:rFonts w:ascii="Times New Roman" w:hAnsi="Times New Roman" w:cs="Times New Roman"/>
          <w:sz w:val="28"/>
          <w:szCs w:val="28"/>
        </w:rPr>
        <w:t>them</w:t>
      </w:r>
      <w:r w:rsidRPr="003B3EF6">
        <w:rPr>
          <w:rFonts w:ascii="Times New Roman" w:hAnsi="Times New Roman" w:cs="Times New Roman"/>
          <w:sz w:val="28"/>
          <w:szCs w:val="28"/>
        </w:rPr>
        <w:t xml:space="preserve"> demand rather than supply</w:t>
      </w:r>
      <w:r w:rsidR="00103669" w:rsidRPr="003B3EF6">
        <w:rPr>
          <w:rFonts w:ascii="Times New Roman" w:hAnsi="Times New Roman" w:cs="Times New Roman"/>
          <w:sz w:val="28"/>
          <w:szCs w:val="28"/>
        </w:rPr>
        <w:t>-</w:t>
      </w:r>
      <w:r w:rsidRPr="003B3EF6">
        <w:rPr>
          <w:rFonts w:ascii="Times New Roman" w:hAnsi="Times New Roman" w:cs="Times New Roman"/>
          <w:sz w:val="28"/>
          <w:szCs w:val="28"/>
        </w:rPr>
        <w:t>driven</w:t>
      </w:r>
      <w:r w:rsidR="008C4711" w:rsidRPr="003B3EF6">
        <w:rPr>
          <w:rFonts w:ascii="Times New Roman" w:hAnsi="Times New Roman" w:cs="Times New Roman"/>
          <w:sz w:val="28"/>
          <w:szCs w:val="28"/>
        </w:rPr>
        <w:t xml:space="preserve">. </w:t>
      </w:r>
      <w:r w:rsidRPr="003B3EF6">
        <w:rPr>
          <w:rFonts w:ascii="Times New Roman" w:hAnsi="Times New Roman" w:cs="Times New Roman"/>
          <w:sz w:val="28"/>
          <w:szCs w:val="28"/>
        </w:rPr>
        <w:t xml:space="preserve"> Most p</w:t>
      </w:r>
      <w:r w:rsidR="008C4711" w:rsidRPr="003B3EF6">
        <w:rPr>
          <w:rFonts w:ascii="Times New Roman" w:hAnsi="Times New Roman" w:cs="Times New Roman"/>
          <w:sz w:val="28"/>
          <w:szCs w:val="28"/>
        </w:rPr>
        <w:t xml:space="preserve">rivate sector </w:t>
      </w:r>
      <w:r w:rsidRPr="003B3EF6">
        <w:rPr>
          <w:rFonts w:ascii="Times New Roman" w:hAnsi="Times New Roman" w:cs="Times New Roman"/>
          <w:sz w:val="28"/>
          <w:szCs w:val="28"/>
        </w:rPr>
        <w:t xml:space="preserve">enterprises have shown little </w:t>
      </w:r>
      <w:r w:rsidR="008C4711" w:rsidRPr="003B3EF6">
        <w:rPr>
          <w:rFonts w:ascii="Times New Roman" w:hAnsi="Times New Roman" w:cs="Times New Roman"/>
          <w:sz w:val="28"/>
          <w:szCs w:val="28"/>
        </w:rPr>
        <w:t>interest</w:t>
      </w:r>
      <w:r w:rsidRPr="003B3EF6">
        <w:rPr>
          <w:rFonts w:ascii="Times New Roman" w:hAnsi="Times New Roman" w:cs="Times New Roman"/>
          <w:sz w:val="28"/>
          <w:szCs w:val="28"/>
        </w:rPr>
        <w:t xml:space="preserve"> in this reform strategy especially when it includes the </w:t>
      </w:r>
      <w:r w:rsidR="008C4711" w:rsidRPr="003B3EF6">
        <w:rPr>
          <w:rFonts w:ascii="Times New Roman" w:hAnsi="Times New Roman" w:cs="Times New Roman"/>
          <w:sz w:val="28"/>
          <w:szCs w:val="28"/>
        </w:rPr>
        <w:t xml:space="preserve">introduction of </w:t>
      </w:r>
      <w:r w:rsidR="00103669" w:rsidRPr="003B3EF6">
        <w:rPr>
          <w:rFonts w:ascii="Times New Roman" w:hAnsi="Times New Roman" w:cs="Times New Roman"/>
          <w:sz w:val="28"/>
          <w:szCs w:val="28"/>
        </w:rPr>
        <w:t>costly</w:t>
      </w:r>
      <w:r w:rsidR="008C4711" w:rsidRPr="003B3EF6">
        <w:rPr>
          <w:rFonts w:ascii="Times New Roman" w:hAnsi="Times New Roman" w:cs="Times New Roman"/>
          <w:sz w:val="28"/>
          <w:szCs w:val="28"/>
        </w:rPr>
        <w:t xml:space="preserve"> payro</w:t>
      </w:r>
      <w:r w:rsidRPr="003B3EF6">
        <w:rPr>
          <w:rFonts w:ascii="Times New Roman" w:hAnsi="Times New Roman" w:cs="Times New Roman"/>
          <w:sz w:val="28"/>
          <w:szCs w:val="28"/>
        </w:rPr>
        <w:t>ll training levies</w:t>
      </w:r>
      <w:r w:rsidR="00EA39D4">
        <w:rPr>
          <w:rFonts w:ascii="Times New Roman" w:hAnsi="Times New Roman" w:cs="Times New Roman"/>
          <w:sz w:val="28"/>
          <w:szCs w:val="28"/>
        </w:rPr>
        <w:t xml:space="preserve"> (see </w:t>
      </w:r>
      <w:r w:rsidR="009D3064">
        <w:rPr>
          <w:rFonts w:ascii="Times New Roman" w:hAnsi="Times New Roman" w:cs="Times New Roman"/>
          <w:sz w:val="28"/>
          <w:szCs w:val="28"/>
        </w:rPr>
        <w:t>Bennell</w:t>
      </w:r>
      <w:r w:rsidR="00EA39D4">
        <w:rPr>
          <w:rFonts w:ascii="Times New Roman" w:hAnsi="Times New Roman" w:cs="Times New Roman"/>
          <w:sz w:val="28"/>
          <w:szCs w:val="28"/>
        </w:rPr>
        <w:t>, 2020</w:t>
      </w:r>
      <w:r w:rsidR="008C4711" w:rsidRPr="003B3EF6">
        <w:rPr>
          <w:rFonts w:ascii="Times New Roman" w:hAnsi="Times New Roman" w:cs="Times New Roman"/>
          <w:sz w:val="28"/>
          <w:szCs w:val="28"/>
        </w:rPr>
        <w:t>)</w:t>
      </w:r>
      <w:r w:rsidRPr="003B3EF6">
        <w:rPr>
          <w:rFonts w:ascii="Times New Roman" w:hAnsi="Times New Roman" w:cs="Times New Roman"/>
          <w:sz w:val="28"/>
          <w:szCs w:val="28"/>
        </w:rPr>
        <w:t xml:space="preserve">.  As a result, </w:t>
      </w:r>
      <w:r w:rsidR="00264228">
        <w:rPr>
          <w:rFonts w:ascii="Times New Roman" w:hAnsi="Times New Roman" w:cs="Times New Roman"/>
          <w:sz w:val="28"/>
          <w:szCs w:val="28"/>
        </w:rPr>
        <w:t xml:space="preserve">levels of </w:t>
      </w:r>
      <w:r w:rsidRPr="003B3EF6">
        <w:rPr>
          <w:rFonts w:ascii="Times New Roman" w:hAnsi="Times New Roman" w:cs="Times New Roman"/>
          <w:sz w:val="28"/>
          <w:szCs w:val="28"/>
        </w:rPr>
        <w:t xml:space="preserve">political commitment </w:t>
      </w:r>
      <w:r w:rsidR="00264228">
        <w:rPr>
          <w:rFonts w:ascii="Times New Roman" w:hAnsi="Times New Roman" w:cs="Times New Roman"/>
          <w:sz w:val="28"/>
          <w:szCs w:val="28"/>
        </w:rPr>
        <w:t xml:space="preserve">have been insufficient </w:t>
      </w:r>
      <w:r w:rsidRPr="003B3EF6">
        <w:rPr>
          <w:rFonts w:ascii="Times New Roman" w:hAnsi="Times New Roman" w:cs="Times New Roman"/>
          <w:sz w:val="28"/>
          <w:szCs w:val="28"/>
        </w:rPr>
        <w:t>to push through these reforms.</w:t>
      </w:r>
    </w:p>
    <w:p w:rsidR="00375EDB" w:rsidRPr="00B601E6" w:rsidRDefault="00B601E6" w:rsidP="003133DF">
      <w:pPr>
        <w:spacing w:line="360" w:lineRule="auto"/>
        <w:jc w:val="both"/>
        <w:rPr>
          <w:rFonts w:ascii="Times New Roman" w:hAnsi="Times New Roman" w:cs="Times New Roman"/>
          <w:b/>
          <w:sz w:val="28"/>
          <w:szCs w:val="28"/>
        </w:rPr>
      </w:pPr>
      <w:r w:rsidRPr="00B601E6">
        <w:rPr>
          <w:rFonts w:ascii="Times New Roman" w:hAnsi="Times New Roman" w:cs="Times New Roman"/>
          <w:b/>
          <w:sz w:val="28"/>
          <w:szCs w:val="28"/>
        </w:rPr>
        <w:t>6</w:t>
      </w:r>
      <w:r w:rsidR="00375EDB" w:rsidRPr="00B601E6">
        <w:rPr>
          <w:rFonts w:ascii="Times New Roman" w:hAnsi="Times New Roman" w:cs="Times New Roman"/>
          <w:b/>
          <w:sz w:val="28"/>
          <w:szCs w:val="28"/>
        </w:rPr>
        <w:t>. T</w:t>
      </w:r>
      <w:r w:rsidRPr="00B601E6">
        <w:rPr>
          <w:rFonts w:ascii="Times New Roman" w:hAnsi="Times New Roman" w:cs="Times New Roman"/>
          <w:b/>
          <w:sz w:val="28"/>
          <w:szCs w:val="28"/>
        </w:rPr>
        <w:t>he economic benefits of UPE</w:t>
      </w:r>
    </w:p>
    <w:p w:rsidR="00B4324E" w:rsidRPr="00B601E6" w:rsidRDefault="00B601E6" w:rsidP="003133DF">
      <w:pPr>
        <w:spacing w:line="360" w:lineRule="auto"/>
        <w:jc w:val="both"/>
        <w:rPr>
          <w:rFonts w:ascii="Times New Roman" w:hAnsi="Times New Roman" w:cs="Times New Roman"/>
          <w:i/>
          <w:sz w:val="28"/>
          <w:szCs w:val="28"/>
        </w:rPr>
      </w:pPr>
      <w:r w:rsidRPr="00B601E6">
        <w:rPr>
          <w:rFonts w:ascii="Times New Roman" w:hAnsi="Times New Roman" w:cs="Times New Roman"/>
          <w:i/>
          <w:sz w:val="28"/>
          <w:szCs w:val="28"/>
        </w:rPr>
        <w:t>6</w:t>
      </w:r>
      <w:r w:rsidR="00E17060" w:rsidRPr="00B601E6">
        <w:rPr>
          <w:rFonts w:ascii="Times New Roman" w:hAnsi="Times New Roman" w:cs="Times New Roman"/>
          <w:i/>
          <w:sz w:val="28"/>
          <w:szCs w:val="28"/>
        </w:rPr>
        <w:t xml:space="preserve">.1 </w:t>
      </w:r>
      <w:r w:rsidR="00B4324E" w:rsidRPr="00B601E6">
        <w:rPr>
          <w:rFonts w:ascii="Times New Roman" w:hAnsi="Times New Roman" w:cs="Times New Roman"/>
          <w:i/>
          <w:sz w:val="28"/>
          <w:szCs w:val="28"/>
        </w:rPr>
        <w:t xml:space="preserve">Individual and </w:t>
      </w:r>
      <w:r w:rsidR="00E17060" w:rsidRPr="00B601E6">
        <w:rPr>
          <w:rFonts w:ascii="Times New Roman" w:hAnsi="Times New Roman" w:cs="Times New Roman"/>
          <w:i/>
          <w:sz w:val="28"/>
          <w:szCs w:val="28"/>
        </w:rPr>
        <w:t>household</w:t>
      </w:r>
      <w:r w:rsidR="000140CE">
        <w:rPr>
          <w:rFonts w:ascii="Times New Roman" w:hAnsi="Times New Roman" w:cs="Times New Roman"/>
          <w:i/>
          <w:sz w:val="28"/>
          <w:szCs w:val="28"/>
        </w:rPr>
        <w:t xml:space="preserve"> demand for primary education</w:t>
      </w:r>
      <w:r w:rsidR="00E17060" w:rsidRPr="00B601E6">
        <w:rPr>
          <w:rFonts w:ascii="Times New Roman" w:hAnsi="Times New Roman" w:cs="Times New Roman"/>
          <w:i/>
          <w:sz w:val="28"/>
          <w:szCs w:val="28"/>
        </w:rPr>
        <w:t xml:space="preserve"> </w:t>
      </w:r>
    </w:p>
    <w:p w:rsidR="00EC7008" w:rsidRPr="003B3EF6" w:rsidRDefault="00EC7008" w:rsidP="003133DF">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The key factor shaping household and individual decisions about primary school attendance and completion is the expected economic returns. </w:t>
      </w:r>
      <w:r w:rsidR="00E17060" w:rsidRPr="003B3EF6">
        <w:rPr>
          <w:rFonts w:ascii="Times New Roman" w:hAnsi="Times New Roman" w:cs="Times New Roman"/>
          <w:sz w:val="28"/>
          <w:szCs w:val="28"/>
        </w:rPr>
        <w:t>Initially, these were e</w:t>
      </w:r>
      <w:r w:rsidRPr="003B3EF6">
        <w:rPr>
          <w:rFonts w:ascii="Times New Roman" w:hAnsi="Times New Roman" w:cs="Times New Roman"/>
          <w:sz w:val="28"/>
          <w:szCs w:val="28"/>
        </w:rPr>
        <w:t>xpected to be high but</w:t>
      </w:r>
      <w:r w:rsidR="00464E54" w:rsidRPr="003B3EF6">
        <w:rPr>
          <w:rFonts w:ascii="Times New Roman" w:hAnsi="Times New Roman" w:cs="Times New Roman"/>
          <w:sz w:val="28"/>
          <w:szCs w:val="28"/>
        </w:rPr>
        <w:t>,</w:t>
      </w:r>
      <w:r w:rsidRPr="003B3EF6">
        <w:rPr>
          <w:rFonts w:ascii="Times New Roman" w:hAnsi="Times New Roman" w:cs="Times New Roman"/>
          <w:sz w:val="28"/>
          <w:szCs w:val="28"/>
        </w:rPr>
        <w:t xml:space="preserve"> for the reasons discussed below</w:t>
      </w:r>
      <w:r w:rsidR="00E17060" w:rsidRPr="003B3EF6">
        <w:rPr>
          <w:rFonts w:ascii="Times New Roman" w:hAnsi="Times New Roman" w:cs="Times New Roman"/>
          <w:sz w:val="28"/>
          <w:szCs w:val="28"/>
        </w:rPr>
        <w:t>,</w:t>
      </w:r>
      <w:r w:rsidRPr="003B3EF6">
        <w:rPr>
          <w:rFonts w:ascii="Times New Roman" w:hAnsi="Times New Roman" w:cs="Times New Roman"/>
          <w:sz w:val="28"/>
          <w:szCs w:val="28"/>
        </w:rPr>
        <w:t xml:space="preserve"> these have not materialised and may even have deteriorated for a significant section of the po</w:t>
      </w:r>
      <w:r w:rsidR="00E17060" w:rsidRPr="003B3EF6">
        <w:rPr>
          <w:rFonts w:ascii="Times New Roman" w:hAnsi="Times New Roman" w:cs="Times New Roman"/>
          <w:sz w:val="28"/>
          <w:szCs w:val="28"/>
        </w:rPr>
        <w:t>pulation</w:t>
      </w:r>
      <w:r w:rsidRPr="003B3EF6">
        <w:rPr>
          <w:rFonts w:ascii="Times New Roman" w:hAnsi="Times New Roman" w:cs="Times New Roman"/>
          <w:sz w:val="28"/>
          <w:szCs w:val="28"/>
        </w:rPr>
        <w:t xml:space="preserve"> </w:t>
      </w:r>
      <w:r w:rsidR="00E17060" w:rsidRPr="003B3EF6">
        <w:rPr>
          <w:rFonts w:ascii="Times New Roman" w:hAnsi="Times New Roman" w:cs="Times New Roman"/>
          <w:sz w:val="28"/>
          <w:szCs w:val="28"/>
        </w:rPr>
        <w:t xml:space="preserve">and </w:t>
      </w:r>
      <w:r w:rsidRPr="003B3EF6">
        <w:rPr>
          <w:rFonts w:ascii="Times New Roman" w:hAnsi="Times New Roman" w:cs="Times New Roman"/>
          <w:sz w:val="28"/>
          <w:szCs w:val="28"/>
        </w:rPr>
        <w:t xml:space="preserve">especially </w:t>
      </w:r>
      <w:r w:rsidR="00C33527" w:rsidRPr="003B3EF6">
        <w:rPr>
          <w:rFonts w:ascii="Times New Roman" w:hAnsi="Times New Roman" w:cs="Times New Roman"/>
          <w:sz w:val="28"/>
          <w:szCs w:val="28"/>
        </w:rPr>
        <w:t>among the</w:t>
      </w:r>
      <w:r w:rsidRPr="003B3EF6">
        <w:rPr>
          <w:rFonts w:ascii="Times New Roman" w:hAnsi="Times New Roman" w:cs="Times New Roman"/>
          <w:sz w:val="28"/>
          <w:szCs w:val="28"/>
        </w:rPr>
        <w:t xml:space="preserve"> poorest rural households. </w:t>
      </w:r>
    </w:p>
    <w:p w:rsidR="0060644D" w:rsidRDefault="00B77BC3" w:rsidP="003133DF">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In the majority of countries in SSA, UPE has enabled most of the poor to access primary schooling. However, as a result of </w:t>
      </w:r>
      <w:r w:rsidR="00C879B6" w:rsidRPr="003B3EF6">
        <w:rPr>
          <w:rFonts w:ascii="Times New Roman" w:hAnsi="Times New Roman" w:cs="Times New Roman"/>
          <w:sz w:val="28"/>
          <w:szCs w:val="28"/>
        </w:rPr>
        <w:t xml:space="preserve">low </w:t>
      </w:r>
      <w:r w:rsidRPr="003B3EF6">
        <w:rPr>
          <w:rFonts w:ascii="Times New Roman" w:hAnsi="Times New Roman" w:cs="Times New Roman"/>
          <w:sz w:val="28"/>
          <w:szCs w:val="28"/>
        </w:rPr>
        <w:t xml:space="preserve">and often declining </w:t>
      </w:r>
      <w:r w:rsidR="00C879B6" w:rsidRPr="003B3EF6">
        <w:rPr>
          <w:rFonts w:ascii="Times New Roman" w:hAnsi="Times New Roman" w:cs="Times New Roman"/>
          <w:sz w:val="28"/>
          <w:szCs w:val="28"/>
        </w:rPr>
        <w:t xml:space="preserve">learning outcomes </w:t>
      </w:r>
      <w:r w:rsidRPr="003B3EF6">
        <w:rPr>
          <w:rFonts w:ascii="Times New Roman" w:hAnsi="Times New Roman" w:cs="Times New Roman"/>
          <w:sz w:val="28"/>
          <w:szCs w:val="28"/>
        </w:rPr>
        <w:t xml:space="preserve">coupled with still low completion rates, this has not led to a </w:t>
      </w:r>
      <w:r w:rsidR="00C33527" w:rsidRPr="003B3EF6">
        <w:rPr>
          <w:rFonts w:ascii="Times New Roman" w:hAnsi="Times New Roman" w:cs="Times New Roman"/>
          <w:sz w:val="28"/>
          <w:szCs w:val="28"/>
        </w:rPr>
        <w:t>significant</w:t>
      </w:r>
      <w:r w:rsidRPr="003B3EF6">
        <w:rPr>
          <w:rFonts w:ascii="Times New Roman" w:hAnsi="Times New Roman" w:cs="Times New Roman"/>
          <w:sz w:val="28"/>
          <w:szCs w:val="28"/>
        </w:rPr>
        <w:t xml:space="preserve"> increase in their human capital.</w:t>
      </w:r>
      <w:r w:rsidR="00182B9A" w:rsidRPr="003B3EF6">
        <w:rPr>
          <w:rFonts w:ascii="Times New Roman" w:hAnsi="Times New Roman" w:cs="Times New Roman"/>
          <w:sz w:val="28"/>
          <w:szCs w:val="28"/>
        </w:rPr>
        <w:t xml:space="preserve"> Even if it did, for the majority of households, t</w:t>
      </w:r>
      <w:r w:rsidR="0099170E" w:rsidRPr="003B3EF6">
        <w:rPr>
          <w:rFonts w:ascii="Times New Roman" w:hAnsi="Times New Roman" w:cs="Times New Roman"/>
          <w:sz w:val="28"/>
          <w:szCs w:val="28"/>
        </w:rPr>
        <w:t xml:space="preserve">he </w:t>
      </w:r>
      <w:r w:rsidR="00464E54" w:rsidRPr="003B3EF6">
        <w:rPr>
          <w:rFonts w:ascii="Times New Roman" w:hAnsi="Times New Roman" w:cs="Times New Roman"/>
          <w:sz w:val="28"/>
          <w:szCs w:val="28"/>
        </w:rPr>
        <w:t xml:space="preserve">main </w:t>
      </w:r>
      <w:r w:rsidR="0099170E" w:rsidRPr="003B3EF6">
        <w:rPr>
          <w:rFonts w:ascii="Times New Roman" w:hAnsi="Times New Roman" w:cs="Times New Roman"/>
          <w:sz w:val="28"/>
          <w:szCs w:val="28"/>
        </w:rPr>
        <w:t xml:space="preserve">motivation for </w:t>
      </w:r>
      <w:r w:rsidR="0083278E" w:rsidRPr="003B3EF6">
        <w:rPr>
          <w:rFonts w:ascii="Times New Roman" w:hAnsi="Times New Roman" w:cs="Times New Roman"/>
          <w:sz w:val="28"/>
          <w:szCs w:val="28"/>
        </w:rPr>
        <w:t>their chi</w:t>
      </w:r>
      <w:r w:rsidR="00103669" w:rsidRPr="003B3EF6">
        <w:rPr>
          <w:rFonts w:ascii="Times New Roman" w:hAnsi="Times New Roman" w:cs="Times New Roman"/>
          <w:sz w:val="28"/>
          <w:szCs w:val="28"/>
        </w:rPr>
        <w:t>l</w:t>
      </w:r>
      <w:r w:rsidR="0083278E" w:rsidRPr="003B3EF6">
        <w:rPr>
          <w:rFonts w:ascii="Times New Roman" w:hAnsi="Times New Roman" w:cs="Times New Roman"/>
          <w:sz w:val="28"/>
          <w:szCs w:val="28"/>
        </w:rPr>
        <w:t xml:space="preserve">dren </w:t>
      </w:r>
      <w:r w:rsidR="0099170E" w:rsidRPr="003B3EF6">
        <w:rPr>
          <w:rFonts w:ascii="Times New Roman" w:hAnsi="Times New Roman" w:cs="Times New Roman"/>
          <w:sz w:val="28"/>
          <w:szCs w:val="28"/>
        </w:rPr>
        <w:t xml:space="preserve">attending and completing </w:t>
      </w:r>
      <w:r w:rsidR="00464E54" w:rsidRPr="003B3EF6">
        <w:rPr>
          <w:rFonts w:ascii="Times New Roman" w:hAnsi="Times New Roman" w:cs="Times New Roman"/>
          <w:sz w:val="28"/>
          <w:szCs w:val="28"/>
        </w:rPr>
        <w:t xml:space="preserve">primary education </w:t>
      </w:r>
      <w:r w:rsidR="0099170E" w:rsidRPr="003B3EF6">
        <w:rPr>
          <w:rFonts w:ascii="Times New Roman" w:hAnsi="Times New Roman" w:cs="Times New Roman"/>
          <w:sz w:val="28"/>
          <w:szCs w:val="28"/>
        </w:rPr>
        <w:t>is not to acquire foundational skills</w:t>
      </w:r>
      <w:r w:rsidR="002D2170">
        <w:rPr>
          <w:rFonts w:ascii="Times New Roman" w:hAnsi="Times New Roman" w:cs="Times New Roman"/>
          <w:sz w:val="28"/>
          <w:szCs w:val="28"/>
        </w:rPr>
        <w:t xml:space="preserve"> per se</w:t>
      </w:r>
      <w:r w:rsidR="0099170E" w:rsidRPr="003B3EF6">
        <w:rPr>
          <w:rFonts w:ascii="Times New Roman" w:hAnsi="Times New Roman" w:cs="Times New Roman"/>
          <w:sz w:val="28"/>
          <w:szCs w:val="28"/>
        </w:rPr>
        <w:t xml:space="preserve"> (especially literacy and numeracy) but to pass </w:t>
      </w:r>
      <w:r w:rsidR="0086088C">
        <w:rPr>
          <w:rFonts w:ascii="Times New Roman" w:hAnsi="Times New Roman" w:cs="Times New Roman"/>
          <w:sz w:val="28"/>
          <w:szCs w:val="28"/>
        </w:rPr>
        <w:t xml:space="preserve">terminal </w:t>
      </w:r>
      <w:r w:rsidR="0099170E" w:rsidRPr="003B3EF6">
        <w:rPr>
          <w:rFonts w:ascii="Times New Roman" w:hAnsi="Times New Roman" w:cs="Times New Roman"/>
          <w:sz w:val="28"/>
          <w:szCs w:val="28"/>
        </w:rPr>
        <w:t xml:space="preserve">exams </w:t>
      </w:r>
      <w:r w:rsidR="00C879B6" w:rsidRPr="003B3EF6">
        <w:rPr>
          <w:rFonts w:ascii="Times New Roman" w:hAnsi="Times New Roman" w:cs="Times New Roman"/>
          <w:sz w:val="28"/>
          <w:szCs w:val="28"/>
        </w:rPr>
        <w:t xml:space="preserve">in order to </w:t>
      </w:r>
      <w:r w:rsidR="0099170E" w:rsidRPr="003B3EF6">
        <w:rPr>
          <w:rFonts w:ascii="Times New Roman" w:hAnsi="Times New Roman" w:cs="Times New Roman"/>
          <w:sz w:val="28"/>
          <w:szCs w:val="28"/>
        </w:rPr>
        <w:t xml:space="preserve">gain access and </w:t>
      </w:r>
      <w:r w:rsidR="0086088C">
        <w:rPr>
          <w:rFonts w:ascii="Times New Roman" w:hAnsi="Times New Roman" w:cs="Times New Roman"/>
          <w:sz w:val="28"/>
          <w:szCs w:val="28"/>
        </w:rPr>
        <w:t xml:space="preserve">then </w:t>
      </w:r>
      <w:r w:rsidR="0099170E" w:rsidRPr="003B3EF6">
        <w:rPr>
          <w:rFonts w:ascii="Times New Roman" w:hAnsi="Times New Roman" w:cs="Times New Roman"/>
          <w:sz w:val="28"/>
          <w:szCs w:val="28"/>
        </w:rPr>
        <w:t xml:space="preserve">successfully complete secondary education </w:t>
      </w:r>
      <w:r w:rsidR="00C879B6" w:rsidRPr="003B3EF6">
        <w:rPr>
          <w:rFonts w:ascii="Times New Roman" w:hAnsi="Times New Roman" w:cs="Times New Roman"/>
          <w:sz w:val="28"/>
          <w:szCs w:val="28"/>
        </w:rPr>
        <w:t xml:space="preserve">which </w:t>
      </w:r>
      <w:r w:rsidR="0083278E" w:rsidRPr="003B3EF6">
        <w:rPr>
          <w:rFonts w:ascii="Times New Roman" w:hAnsi="Times New Roman" w:cs="Times New Roman"/>
          <w:sz w:val="28"/>
          <w:szCs w:val="28"/>
        </w:rPr>
        <w:t xml:space="preserve">gives them </w:t>
      </w:r>
      <w:r w:rsidR="00C879B6" w:rsidRPr="003B3EF6">
        <w:rPr>
          <w:rFonts w:ascii="Times New Roman" w:hAnsi="Times New Roman" w:cs="Times New Roman"/>
          <w:sz w:val="28"/>
          <w:szCs w:val="28"/>
        </w:rPr>
        <w:t xml:space="preserve">some chance of getting a good job in the </w:t>
      </w:r>
      <w:r w:rsidR="0099170E" w:rsidRPr="003B3EF6">
        <w:rPr>
          <w:rFonts w:ascii="Times New Roman" w:hAnsi="Times New Roman" w:cs="Times New Roman"/>
          <w:sz w:val="28"/>
          <w:szCs w:val="28"/>
        </w:rPr>
        <w:t>formal</w:t>
      </w:r>
      <w:r w:rsidR="00C879B6" w:rsidRPr="003B3EF6">
        <w:rPr>
          <w:rFonts w:ascii="Times New Roman" w:hAnsi="Times New Roman" w:cs="Times New Roman"/>
          <w:sz w:val="28"/>
          <w:szCs w:val="28"/>
        </w:rPr>
        <w:t xml:space="preserve"> sector</w:t>
      </w:r>
      <w:r w:rsidR="00DE7363">
        <w:rPr>
          <w:rStyle w:val="FootnoteReference"/>
          <w:rFonts w:ascii="Times New Roman" w:hAnsi="Times New Roman" w:cs="Times New Roman"/>
          <w:sz w:val="28"/>
          <w:szCs w:val="28"/>
        </w:rPr>
        <w:footnoteReference w:id="32"/>
      </w:r>
      <w:r w:rsidR="00C879B6" w:rsidRPr="003B3EF6">
        <w:rPr>
          <w:rFonts w:ascii="Times New Roman" w:hAnsi="Times New Roman" w:cs="Times New Roman"/>
          <w:sz w:val="28"/>
          <w:szCs w:val="28"/>
        </w:rPr>
        <w:t>.</w:t>
      </w:r>
    </w:p>
    <w:p w:rsidR="006814E1" w:rsidRPr="002D2170" w:rsidRDefault="002D2170" w:rsidP="003133DF">
      <w:pPr>
        <w:spacing w:line="360" w:lineRule="auto"/>
        <w:jc w:val="both"/>
        <w:rPr>
          <w:rFonts w:ascii="Times New Roman" w:hAnsi="Times New Roman" w:cs="Times New Roman"/>
          <w:i/>
          <w:sz w:val="28"/>
          <w:szCs w:val="28"/>
        </w:rPr>
      </w:pPr>
      <w:r>
        <w:rPr>
          <w:rFonts w:ascii="Times New Roman" w:hAnsi="Times New Roman" w:cs="Times New Roman"/>
          <w:i/>
          <w:sz w:val="28"/>
          <w:szCs w:val="28"/>
        </w:rPr>
        <w:t>6</w:t>
      </w:r>
      <w:r w:rsidR="00524B5C" w:rsidRPr="002D2170">
        <w:rPr>
          <w:rFonts w:ascii="Times New Roman" w:hAnsi="Times New Roman" w:cs="Times New Roman"/>
          <w:i/>
          <w:sz w:val="28"/>
          <w:szCs w:val="28"/>
        </w:rPr>
        <w:t>.2</w:t>
      </w:r>
      <w:r w:rsidR="00375EDB" w:rsidRPr="002D2170">
        <w:rPr>
          <w:rFonts w:ascii="Times New Roman" w:hAnsi="Times New Roman" w:cs="Times New Roman"/>
          <w:i/>
          <w:sz w:val="28"/>
          <w:szCs w:val="28"/>
        </w:rPr>
        <w:t xml:space="preserve"> </w:t>
      </w:r>
      <w:r w:rsidR="006814E1" w:rsidRPr="002D2170">
        <w:rPr>
          <w:rFonts w:ascii="Times New Roman" w:hAnsi="Times New Roman" w:cs="Times New Roman"/>
          <w:i/>
          <w:sz w:val="28"/>
          <w:szCs w:val="28"/>
        </w:rPr>
        <w:t>Job competition: education-employment linkages</w:t>
      </w:r>
    </w:p>
    <w:p w:rsidR="00C575F6" w:rsidRDefault="00487A28" w:rsidP="003133DF">
      <w:pPr>
        <w:spacing w:line="360" w:lineRule="auto"/>
        <w:jc w:val="both"/>
        <w:rPr>
          <w:rFonts w:ascii="Times New Roman" w:hAnsi="Times New Roman" w:cs="Times New Roman"/>
          <w:sz w:val="28"/>
          <w:szCs w:val="28"/>
        </w:rPr>
      </w:pPr>
      <w:r w:rsidRPr="003B3EF6">
        <w:rPr>
          <w:rFonts w:ascii="Times New Roman" w:hAnsi="Times New Roman" w:cs="Times New Roman"/>
          <w:i/>
          <w:sz w:val="28"/>
          <w:szCs w:val="28"/>
        </w:rPr>
        <w:t>J</w:t>
      </w:r>
      <w:r w:rsidR="0046241C" w:rsidRPr="003B3EF6">
        <w:rPr>
          <w:rFonts w:ascii="Times New Roman" w:hAnsi="Times New Roman" w:cs="Times New Roman"/>
          <w:i/>
          <w:sz w:val="28"/>
          <w:szCs w:val="28"/>
        </w:rPr>
        <w:t>obless growth</w:t>
      </w:r>
      <w:r w:rsidR="002D2170">
        <w:rPr>
          <w:rFonts w:ascii="Times New Roman" w:hAnsi="Times New Roman" w:cs="Times New Roman"/>
          <w:i/>
          <w:sz w:val="28"/>
          <w:szCs w:val="28"/>
        </w:rPr>
        <w:t xml:space="preserve">: </w:t>
      </w:r>
      <w:r w:rsidR="00C575F6" w:rsidRPr="003B3EF6">
        <w:rPr>
          <w:rFonts w:ascii="Times New Roman" w:hAnsi="Times New Roman" w:cs="Times New Roman"/>
          <w:sz w:val="28"/>
          <w:szCs w:val="28"/>
        </w:rPr>
        <w:t xml:space="preserve">Despite the outpouring of concern about ‘jobless growth’ in SSA, robust data on trends in formal sector wage employment is surprisingly scarce.  </w:t>
      </w:r>
      <w:r w:rsidR="00C575F6" w:rsidRPr="003B3EF6">
        <w:rPr>
          <w:rFonts w:ascii="Times New Roman" w:hAnsi="Times New Roman" w:cs="Times New Roman"/>
          <w:sz w:val="28"/>
          <w:szCs w:val="28"/>
        </w:rPr>
        <w:lastRenderedPageBreak/>
        <w:t>Formal sector employment is typically less than 15% of total employment</w:t>
      </w:r>
      <w:r w:rsidR="007327EC">
        <w:rPr>
          <w:rFonts w:ascii="Times New Roman" w:hAnsi="Times New Roman" w:cs="Times New Roman"/>
          <w:sz w:val="28"/>
          <w:szCs w:val="28"/>
        </w:rPr>
        <w:t xml:space="preserve"> (see table 8)</w:t>
      </w:r>
      <w:r w:rsidR="00C575F6" w:rsidRPr="003B3EF6">
        <w:rPr>
          <w:rFonts w:ascii="Times New Roman" w:hAnsi="Times New Roman" w:cs="Times New Roman"/>
          <w:sz w:val="28"/>
          <w:szCs w:val="28"/>
        </w:rPr>
        <w:t xml:space="preserve"> and</w:t>
      </w:r>
      <w:r w:rsidR="00524B5C" w:rsidRPr="003B3EF6">
        <w:rPr>
          <w:rFonts w:ascii="Times New Roman" w:hAnsi="Times New Roman" w:cs="Times New Roman"/>
          <w:sz w:val="28"/>
          <w:szCs w:val="28"/>
        </w:rPr>
        <w:t xml:space="preserve">, in many countries, </w:t>
      </w:r>
      <w:r w:rsidR="00C575F6" w:rsidRPr="003B3EF6">
        <w:rPr>
          <w:rFonts w:ascii="Times New Roman" w:hAnsi="Times New Roman" w:cs="Times New Roman"/>
          <w:sz w:val="28"/>
          <w:szCs w:val="28"/>
        </w:rPr>
        <w:t>this share continues to decline</w:t>
      </w:r>
      <w:r w:rsidR="00322532" w:rsidRPr="003B3EF6">
        <w:rPr>
          <w:rStyle w:val="FootnoteReference"/>
          <w:rFonts w:ascii="Times New Roman" w:hAnsi="Times New Roman" w:cs="Times New Roman"/>
          <w:sz w:val="28"/>
          <w:szCs w:val="28"/>
        </w:rPr>
        <w:footnoteReference w:id="33"/>
      </w:r>
      <w:r w:rsidR="00C575F6" w:rsidRPr="003B3EF6">
        <w:rPr>
          <w:rFonts w:ascii="Times New Roman" w:hAnsi="Times New Roman" w:cs="Times New Roman"/>
          <w:sz w:val="28"/>
          <w:szCs w:val="28"/>
        </w:rPr>
        <w:t xml:space="preserve"> especially with rapid population-growth driven increases in the labour force</w:t>
      </w:r>
      <w:r w:rsidR="00C575F6" w:rsidRPr="003B3EF6">
        <w:rPr>
          <w:rStyle w:val="FootnoteReference"/>
          <w:rFonts w:ascii="Times New Roman" w:hAnsi="Times New Roman" w:cs="Times New Roman"/>
          <w:sz w:val="28"/>
          <w:szCs w:val="28"/>
        </w:rPr>
        <w:footnoteReference w:id="34"/>
      </w:r>
      <w:r w:rsidR="00C575F6" w:rsidRPr="003B3EF6">
        <w:rPr>
          <w:rFonts w:ascii="Times New Roman" w:hAnsi="Times New Roman" w:cs="Times New Roman"/>
          <w:sz w:val="28"/>
          <w:szCs w:val="28"/>
        </w:rPr>
        <w:t xml:space="preserve">. </w:t>
      </w:r>
    </w:p>
    <w:tbl>
      <w:tblPr>
        <w:tblW w:w="8400" w:type="dxa"/>
        <w:tblLook w:val="04A0" w:firstRow="1" w:lastRow="0" w:firstColumn="1" w:lastColumn="0" w:noHBand="0" w:noVBand="1"/>
      </w:tblPr>
      <w:tblGrid>
        <w:gridCol w:w="1981"/>
        <w:gridCol w:w="1764"/>
        <w:gridCol w:w="1437"/>
        <w:gridCol w:w="1486"/>
        <w:gridCol w:w="1732"/>
      </w:tblGrid>
      <w:tr w:rsidR="00F71C7F" w:rsidRPr="00F71C7F" w:rsidTr="00F71C7F">
        <w:trPr>
          <w:trHeight w:val="300"/>
        </w:trPr>
        <w:tc>
          <w:tcPr>
            <w:tcW w:w="8400" w:type="dxa"/>
            <w:gridSpan w:val="5"/>
            <w:tcBorders>
              <w:top w:val="nil"/>
              <w:left w:val="nil"/>
              <w:bottom w:val="nil"/>
              <w:right w:val="nil"/>
            </w:tcBorders>
            <w:shd w:val="clear" w:color="auto" w:fill="auto"/>
            <w:noWrap/>
            <w:vAlign w:val="bottom"/>
            <w:hideMark/>
          </w:tcPr>
          <w:p w:rsidR="00F71C7F" w:rsidRPr="00F71C7F" w:rsidRDefault="00F71C7F" w:rsidP="00444B29">
            <w:pPr>
              <w:spacing w:after="0" w:line="240" w:lineRule="auto"/>
              <w:rPr>
                <w:rFonts w:ascii="Calibri" w:eastAsia="Times New Roman" w:hAnsi="Calibri" w:cs="Calibri"/>
                <w:b/>
                <w:bCs/>
                <w:color w:val="5F735C"/>
                <w:lang w:eastAsia="en-GB"/>
              </w:rPr>
            </w:pPr>
            <w:r w:rsidRPr="00F71C7F">
              <w:rPr>
                <w:rFonts w:ascii="Calibri" w:eastAsia="Times New Roman" w:hAnsi="Calibri" w:cs="Calibri"/>
                <w:b/>
                <w:bCs/>
                <w:color w:val="5F735C"/>
                <w:lang w:eastAsia="en-GB"/>
              </w:rPr>
              <w:t xml:space="preserve">Table 8: Share of </w:t>
            </w:r>
            <w:r w:rsidR="008B7C79" w:rsidRPr="00F71C7F">
              <w:rPr>
                <w:rFonts w:ascii="Calibri" w:eastAsia="Times New Roman" w:hAnsi="Calibri" w:cs="Calibri"/>
                <w:b/>
                <w:bCs/>
                <w:color w:val="5F735C"/>
                <w:lang w:eastAsia="en-GB"/>
              </w:rPr>
              <w:t>formal</w:t>
            </w:r>
            <w:r w:rsidRPr="00F71C7F">
              <w:rPr>
                <w:rFonts w:ascii="Calibri" w:eastAsia="Times New Roman" w:hAnsi="Calibri" w:cs="Calibri"/>
                <w:b/>
                <w:bCs/>
                <w:color w:val="5F735C"/>
                <w:lang w:eastAsia="en-GB"/>
              </w:rPr>
              <w:t xml:space="preserve"> sector employment in total employment, 2015/l</w:t>
            </w:r>
            <w:r w:rsidR="00444B29">
              <w:rPr>
                <w:rFonts w:ascii="Calibri" w:eastAsia="Times New Roman" w:hAnsi="Calibri" w:cs="Calibri"/>
                <w:b/>
                <w:bCs/>
                <w:color w:val="5F735C"/>
                <w:lang w:eastAsia="en-GB"/>
              </w:rPr>
              <w:t xml:space="preserve">atest </w:t>
            </w:r>
            <w:r w:rsidRPr="00F71C7F">
              <w:rPr>
                <w:rFonts w:ascii="Calibri" w:eastAsia="Times New Roman" w:hAnsi="Calibri" w:cs="Calibri"/>
                <w:b/>
                <w:bCs/>
                <w:color w:val="5F735C"/>
                <w:lang w:eastAsia="en-GB"/>
              </w:rPr>
              <w:t>y</w:t>
            </w:r>
            <w:r w:rsidR="00444B29">
              <w:rPr>
                <w:rFonts w:ascii="Calibri" w:eastAsia="Times New Roman" w:hAnsi="Calibri" w:cs="Calibri"/>
                <w:b/>
                <w:bCs/>
                <w:color w:val="5F735C"/>
                <w:lang w:eastAsia="en-GB"/>
              </w:rPr>
              <w:t xml:space="preserve">ear </w:t>
            </w:r>
            <w:r w:rsidRPr="00F71C7F">
              <w:rPr>
                <w:rFonts w:ascii="Calibri" w:eastAsia="Times New Roman" w:hAnsi="Calibri" w:cs="Calibri"/>
                <w:b/>
                <w:bCs/>
                <w:color w:val="5F735C"/>
                <w:lang w:eastAsia="en-GB"/>
              </w:rPr>
              <w:t>a</w:t>
            </w:r>
            <w:r w:rsidR="00444B29">
              <w:rPr>
                <w:rFonts w:ascii="Calibri" w:eastAsia="Times New Roman" w:hAnsi="Calibri" w:cs="Calibri"/>
                <w:b/>
                <w:bCs/>
                <w:color w:val="5F735C"/>
                <w:lang w:eastAsia="en-GB"/>
              </w:rPr>
              <w:t>vailable</w:t>
            </w:r>
          </w:p>
        </w:tc>
      </w:tr>
      <w:tr w:rsidR="00F71C7F" w:rsidRPr="00F71C7F" w:rsidTr="00F71C7F">
        <w:trPr>
          <w:trHeight w:val="300"/>
        </w:trPr>
        <w:tc>
          <w:tcPr>
            <w:tcW w:w="1981"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rPr>
                <w:rFonts w:ascii="Calibri" w:eastAsia="Times New Roman" w:hAnsi="Calibri" w:cs="Calibri"/>
                <w:b/>
                <w:bCs/>
                <w:color w:val="5F735C"/>
                <w:lang w:eastAsia="en-GB"/>
              </w:rPr>
            </w:pPr>
            <w:r w:rsidRPr="00F71C7F">
              <w:rPr>
                <w:rFonts w:ascii="Calibri" w:eastAsia="Times New Roman" w:hAnsi="Calibri" w:cs="Calibri"/>
                <w:b/>
                <w:bCs/>
                <w:color w:val="5F735C"/>
                <w:lang w:eastAsia="en-GB"/>
              </w:rPr>
              <w:t>(percentages)</w:t>
            </w:r>
          </w:p>
        </w:tc>
        <w:tc>
          <w:tcPr>
            <w:tcW w:w="1764"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rPr>
                <w:rFonts w:ascii="Calibri" w:eastAsia="Times New Roman" w:hAnsi="Calibri" w:cs="Calibri"/>
                <w:b/>
                <w:bCs/>
                <w:color w:val="5F735C"/>
                <w:lang w:eastAsia="en-GB"/>
              </w:rPr>
            </w:pPr>
          </w:p>
        </w:tc>
        <w:tc>
          <w:tcPr>
            <w:tcW w:w="1437"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rPr>
                <w:rFonts w:ascii="Times New Roman" w:eastAsia="Times New Roman" w:hAnsi="Times New Roman" w:cs="Times New Roman"/>
                <w:sz w:val="20"/>
                <w:szCs w:val="20"/>
                <w:lang w:eastAsia="en-GB"/>
              </w:rPr>
            </w:pPr>
          </w:p>
        </w:tc>
        <w:tc>
          <w:tcPr>
            <w:tcW w:w="1732"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rPr>
                <w:rFonts w:ascii="Times New Roman" w:eastAsia="Times New Roman" w:hAnsi="Times New Roman" w:cs="Times New Roman"/>
                <w:sz w:val="20"/>
                <w:szCs w:val="20"/>
                <w:lang w:eastAsia="en-GB"/>
              </w:rPr>
            </w:pPr>
          </w:p>
        </w:tc>
      </w:tr>
      <w:tr w:rsidR="00F71C7F" w:rsidRPr="00F71C7F" w:rsidTr="00F71C7F">
        <w:trPr>
          <w:trHeight w:val="300"/>
        </w:trPr>
        <w:tc>
          <w:tcPr>
            <w:tcW w:w="1981" w:type="dxa"/>
            <w:tcBorders>
              <w:top w:val="single" w:sz="4" w:space="0" w:color="FFFFFF"/>
              <w:left w:val="single" w:sz="4" w:space="0" w:color="FFFFFF"/>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&lt;5%</w:t>
            </w:r>
          </w:p>
        </w:tc>
        <w:tc>
          <w:tcPr>
            <w:tcW w:w="1764" w:type="dxa"/>
            <w:tcBorders>
              <w:top w:val="single" w:sz="4" w:space="0" w:color="FFFFFF"/>
              <w:left w:val="nil"/>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6 to 10%</w:t>
            </w:r>
          </w:p>
        </w:tc>
        <w:tc>
          <w:tcPr>
            <w:tcW w:w="1437" w:type="dxa"/>
            <w:tcBorders>
              <w:top w:val="single" w:sz="4" w:space="0" w:color="FFFFFF"/>
              <w:left w:val="nil"/>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10 to 15%</w:t>
            </w:r>
          </w:p>
        </w:tc>
        <w:tc>
          <w:tcPr>
            <w:tcW w:w="1486" w:type="dxa"/>
            <w:tcBorders>
              <w:top w:val="single" w:sz="4" w:space="0" w:color="FFFFFF"/>
              <w:left w:val="nil"/>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15-20%</w:t>
            </w:r>
          </w:p>
        </w:tc>
        <w:tc>
          <w:tcPr>
            <w:tcW w:w="1732" w:type="dxa"/>
            <w:tcBorders>
              <w:top w:val="single" w:sz="4" w:space="0" w:color="FFFFFF"/>
              <w:left w:val="nil"/>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20%&gt;</w:t>
            </w:r>
          </w:p>
        </w:tc>
      </w:tr>
      <w:tr w:rsidR="00F71C7F" w:rsidRPr="00F71C7F" w:rsidTr="00F71C7F">
        <w:trPr>
          <w:trHeight w:val="300"/>
        </w:trPr>
        <w:tc>
          <w:tcPr>
            <w:tcW w:w="1981" w:type="dxa"/>
            <w:tcBorders>
              <w:top w:val="nil"/>
              <w:left w:val="single" w:sz="4" w:space="0" w:color="FFFFFF"/>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DRC</w:t>
            </w:r>
          </w:p>
        </w:tc>
        <w:tc>
          <w:tcPr>
            <w:tcW w:w="1764"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Cameroon</w:t>
            </w:r>
          </w:p>
        </w:tc>
        <w:tc>
          <w:tcPr>
            <w:tcW w:w="1437"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Ghana</w:t>
            </w:r>
          </w:p>
        </w:tc>
        <w:tc>
          <w:tcPr>
            <w:tcW w:w="1486"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Botswana</w:t>
            </w:r>
          </w:p>
        </w:tc>
        <w:tc>
          <w:tcPr>
            <w:tcW w:w="1732"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Angola</w:t>
            </w:r>
          </w:p>
        </w:tc>
      </w:tr>
      <w:tr w:rsidR="00F71C7F" w:rsidRPr="00F71C7F" w:rsidTr="00F71C7F">
        <w:trPr>
          <w:trHeight w:val="300"/>
        </w:trPr>
        <w:tc>
          <w:tcPr>
            <w:tcW w:w="1981" w:type="dxa"/>
            <w:tcBorders>
              <w:top w:val="nil"/>
              <w:left w:val="single" w:sz="4" w:space="0" w:color="FFFFFF"/>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Mozambique</w:t>
            </w:r>
          </w:p>
        </w:tc>
        <w:tc>
          <w:tcPr>
            <w:tcW w:w="1764"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Cot d'Ivoire</w:t>
            </w:r>
          </w:p>
        </w:tc>
        <w:tc>
          <w:tcPr>
            <w:tcW w:w="1437"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Kenya</w:t>
            </w:r>
          </w:p>
        </w:tc>
        <w:tc>
          <w:tcPr>
            <w:tcW w:w="1486"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Gambia</w:t>
            </w:r>
          </w:p>
        </w:tc>
        <w:tc>
          <w:tcPr>
            <w:tcW w:w="1732"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Eswatini</w:t>
            </w:r>
          </w:p>
        </w:tc>
      </w:tr>
      <w:tr w:rsidR="00F71C7F" w:rsidRPr="00F71C7F" w:rsidTr="00F71C7F">
        <w:trPr>
          <w:trHeight w:val="300"/>
        </w:trPr>
        <w:tc>
          <w:tcPr>
            <w:tcW w:w="1981" w:type="dxa"/>
            <w:tcBorders>
              <w:top w:val="nil"/>
              <w:left w:val="single" w:sz="4" w:space="0" w:color="FFFFFF"/>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Senegal</w:t>
            </w:r>
          </w:p>
        </w:tc>
        <w:tc>
          <w:tcPr>
            <w:tcW w:w="1764"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Ethiopia</w:t>
            </w:r>
          </w:p>
        </w:tc>
        <w:tc>
          <w:tcPr>
            <w:tcW w:w="1437"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Rwanda</w:t>
            </w:r>
          </w:p>
        </w:tc>
        <w:tc>
          <w:tcPr>
            <w:tcW w:w="1486"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Zimbabwe</w:t>
            </w:r>
          </w:p>
        </w:tc>
        <w:tc>
          <w:tcPr>
            <w:tcW w:w="1732"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Namibia</w:t>
            </w:r>
          </w:p>
        </w:tc>
      </w:tr>
      <w:tr w:rsidR="00F71C7F" w:rsidRPr="00F71C7F" w:rsidTr="00F71C7F">
        <w:trPr>
          <w:trHeight w:val="300"/>
        </w:trPr>
        <w:tc>
          <w:tcPr>
            <w:tcW w:w="1981" w:type="dxa"/>
            <w:tcBorders>
              <w:top w:val="nil"/>
              <w:left w:val="single" w:sz="4" w:space="0" w:color="FFFFFF"/>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764"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Liberia</w:t>
            </w:r>
          </w:p>
        </w:tc>
        <w:tc>
          <w:tcPr>
            <w:tcW w:w="1437"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Tanzania</w:t>
            </w:r>
          </w:p>
        </w:tc>
        <w:tc>
          <w:tcPr>
            <w:tcW w:w="1486"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732"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South Africa</w:t>
            </w:r>
          </w:p>
        </w:tc>
      </w:tr>
      <w:tr w:rsidR="00F71C7F" w:rsidRPr="00F71C7F" w:rsidTr="00F71C7F">
        <w:trPr>
          <w:trHeight w:val="300"/>
        </w:trPr>
        <w:tc>
          <w:tcPr>
            <w:tcW w:w="1981" w:type="dxa"/>
            <w:tcBorders>
              <w:top w:val="nil"/>
              <w:left w:val="single" w:sz="4" w:space="0" w:color="FFFFFF"/>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764"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Madagascar</w:t>
            </w:r>
          </w:p>
        </w:tc>
        <w:tc>
          <w:tcPr>
            <w:tcW w:w="1437"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Togo</w:t>
            </w:r>
          </w:p>
        </w:tc>
        <w:tc>
          <w:tcPr>
            <w:tcW w:w="1486"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732"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r>
      <w:tr w:rsidR="00F71C7F" w:rsidRPr="00F71C7F" w:rsidTr="00F71C7F">
        <w:trPr>
          <w:trHeight w:val="300"/>
        </w:trPr>
        <w:tc>
          <w:tcPr>
            <w:tcW w:w="1981" w:type="dxa"/>
            <w:tcBorders>
              <w:top w:val="nil"/>
              <w:left w:val="single" w:sz="4" w:space="0" w:color="FFFFFF"/>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764"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Malawi</w:t>
            </w:r>
          </w:p>
        </w:tc>
        <w:tc>
          <w:tcPr>
            <w:tcW w:w="1437"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Zambia</w:t>
            </w:r>
          </w:p>
        </w:tc>
        <w:tc>
          <w:tcPr>
            <w:tcW w:w="1486"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732"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r>
      <w:tr w:rsidR="00F71C7F" w:rsidRPr="00F71C7F" w:rsidTr="00F71C7F">
        <w:trPr>
          <w:trHeight w:val="300"/>
        </w:trPr>
        <w:tc>
          <w:tcPr>
            <w:tcW w:w="1981" w:type="dxa"/>
            <w:tcBorders>
              <w:top w:val="nil"/>
              <w:left w:val="single" w:sz="4" w:space="0" w:color="FFFFFF"/>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764"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Mali</w:t>
            </w:r>
          </w:p>
        </w:tc>
        <w:tc>
          <w:tcPr>
            <w:tcW w:w="1437"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486"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732"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r>
      <w:tr w:rsidR="00F71C7F" w:rsidRPr="00F71C7F" w:rsidTr="00F71C7F">
        <w:trPr>
          <w:trHeight w:val="300"/>
        </w:trPr>
        <w:tc>
          <w:tcPr>
            <w:tcW w:w="1981" w:type="dxa"/>
            <w:tcBorders>
              <w:top w:val="nil"/>
              <w:left w:val="single" w:sz="4" w:space="0" w:color="FFFFFF"/>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764"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Sierra Leone</w:t>
            </w:r>
          </w:p>
        </w:tc>
        <w:tc>
          <w:tcPr>
            <w:tcW w:w="1437"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486"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732"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r>
      <w:tr w:rsidR="00F71C7F" w:rsidRPr="00F71C7F" w:rsidTr="00F71C7F">
        <w:trPr>
          <w:trHeight w:val="300"/>
        </w:trPr>
        <w:tc>
          <w:tcPr>
            <w:tcW w:w="1981" w:type="dxa"/>
            <w:tcBorders>
              <w:top w:val="nil"/>
              <w:left w:val="single" w:sz="4" w:space="0" w:color="FFFFFF"/>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764"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Uganda</w:t>
            </w:r>
          </w:p>
        </w:tc>
        <w:tc>
          <w:tcPr>
            <w:tcW w:w="1437"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486"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732"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r>
      <w:tr w:rsidR="00F71C7F" w:rsidRPr="00F71C7F" w:rsidTr="00F71C7F">
        <w:trPr>
          <w:trHeight w:val="300"/>
        </w:trPr>
        <w:tc>
          <w:tcPr>
            <w:tcW w:w="1981"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rPr>
                <w:rFonts w:ascii="Calibri" w:eastAsia="Times New Roman" w:hAnsi="Calibri" w:cs="Calibri"/>
                <w:b/>
                <w:bCs/>
                <w:color w:val="5F735C"/>
                <w:lang w:eastAsia="en-GB"/>
              </w:rPr>
            </w:pPr>
            <w:r w:rsidRPr="00F71C7F">
              <w:rPr>
                <w:rFonts w:ascii="Calibri" w:eastAsia="Times New Roman" w:hAnsi="Calibri" w:cs="Calibri"/>
                <w:b/>
                <w:bCs/>
                <w:color w:val="5F735C"/>
                <w:lang w:eastAsia="en-GB"/>
              </w:rPr>
              <w:t xml:space="preserve">Source: ILO </w:t>
            </w:r>
          </w:p>
        </w:tc>
        <w:tc>
          <w:tcPr>
            <w:tcW w:w="1764"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rPr>
                <w:rFonts w:ascii="Calibri" w:eastAsia="Times New Roman" w:hAnsi="Calibri" w:cs="Calibri"/>
                <w:b/>
                <w:bCs/>
                <w:color w:val="5F735C"/>
                <w:lang w:eastAsia="en-GB"/>
              </w:rPr>
            </w:pPr>
          </w:p>
        </w:tc>
        <w:tc>
          <w:tcPr>
            <w:tcW w:w="1437"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Times New Roman" w:eastAsia="Times New Roman" w:hAnsi="Times New Roman" w:cs="Times New Roman"/>
                <w:sz w:val="20"/>
                <w:szCs w:val="20"/>
                <w:lang w:eastAsia="en-GB"/>
              </w:rPr>
            </w:pPr>
          </w:p>
        </w:tc>
        <w:tc>
          <w:tcPr>
            <w:tcW w:w="1732"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Times New Roman" w:eastAsia="Times New Roman" w:hAnsi="Times New Roman" w:cs="Times New Roman"/>
                <w:sz w:val="20"/>
                <w:szCs w:val="20"/>
                <w:lang w:eastAsia="en-GB"/>
              </w:rPr>
            </w:pPr>
          </w:p>
        </w:tc>
      </w:tr>
    </w:tbl>
    <w:p w:rsidR="007533A8" w:rsidRPr="003B3EF6" w:rsidRDefault="007533A8" w:rsidP="003133DF">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In</w:t>
      </w:r>
      <w:r w:rsidR="00524B5C" w:rsidRPr="003B3EF6">
        <w:rPr>
          <w:rFonts w:ascii="Times New Roman" w:hAnsi="Times New Roman" w:cs="Times New Roman"/>
          <w:sz w:val="28"/>
          <w:szCs w:val="28"/>
        </w:rPr>
        <w:t xml:space="preserve"> nearly all </w:t>
      </w:r>
      <w:r w:rsidRPr="003B3EF6">
        <w:rPr>
          <w:rFonts w:ascii="Times New Roman" w:hAnsi="Times New Roman" w:cs="Times New Roman"/>
          <w:sz w:val="28"/>
          <w:szCs w:val="28"/>
        </w:rPr>
        <w:t>countries</w:t>
      </w:r>
      <w:r w:rsidR="00524B5C" w:rsidRPr="003B3EF6">
        <w:rPr>
          <w:rFonts w:ascii="Times New Roman" w:hAnsi="Times New Roman" w:cs="Times New Roman"/>
          <w:sz w:val="28"/>
          <w:szCs w:val="28"/>
        </w:rPr>
        <w:t xml:space="preserve"> in SSA</w:t>
      </w:r>
      <w:r w:rsidRPr="003B3EF6">
        <w:rPr>
          <w:rFonts w:ascii="Times New Roman" w:hAnsi="Times New Roman" w:cs="Times New Roman"/>
          <w:sz w:val="28"/>
          <w:szCs w:val="28"/>
        </w:rPr>
        <w:t xml:space="preserve">, the informal sector has become the main source of off-farm employment but it is very much </w:t>
      </w:r>
      <w:r w:rsidR="00524B5C" w:rsidRPr="003B3EF6">
        <w:rPr>
          <w:rFonts w:ascii="Times New Roman" w:hAnsi="Times New Roman" w:cs="Times New Roman"/>
          <w:sz w:val="28"/>
          <w:szCs w:val="28"/>
        </w:rPr>
        <w:t>‘</w:t>
      </w:r>
      <w:r w:rsidRPr="003B3EF6">
        <w:rPr>
          <w:rFonts w:ascii="Times New Roman" w:hAnsi="Times New Roman" w:cs="Times New Roman"/>
          <w:sz w:val="28"/>
          <w:szCs w:val="28"/>
        </w:rPr>
        <w:t>employment of the last resort</w:t>
      </w:r>
      <w:r w:rsidR="00524B5C" w:rsidRPr="003B3EF6">
        <w:rPr>
          <w:rFonts w:ascii="Times New Roman" w:hAnsi="Times New Roman" w:cs="Times New Roman"/>
          <w:sz w:val="28"/>
          <w:szCs w:val="28"/>
        </w:rPr>
        <w:t>’</w:t>
      </w:r>
      <w:r w:rsidRPr="003B3EF6">
        <w:rPr>
          <w:rFonts w:ascii="Times New Roman" w:hAnsi="Times New Roman" w:cs="Times New Roman"/>
          <w:sz w:val="28"/>
          <w:szCs w:val="28"/>
        </w:rPr>
        <w:t>. Typically</w:t>
      </w:r>
      <w:r w:rsidR="00524B5C" w:rsidRPr="003B3EF6">
        <w:rPr>
          <w:rFonts w:ascii="Times New Roman" w:hAnsi="Times New Roman" w:cs="Times New Roman"/>
          <w:sz w:val="28"/>
          <w:szCs w:val="28"/>
        </w:rPr>
        <w:t>,</w:t>
      </w:r>
      <w:r w:rsidRPr="003B3EF6">
        <w:rPr>
          <w:rFonts w:ascii="Times New Roman" w:hAnsi="Times New Roman" w:cs="Times New Roman"/>
          <w:sz w:val="28"/>
          <w:szCs w:val="28"/>
        </w:rPr>
        <w:t xml:space="preserve"> </w:t>
      </w:r>
      <w:r w:rsidR="00524B5C" w:rsidRPr="003B3EF6">
        <w:rPr>
          <w:rFonts w:ascii="Times New Roman" w:hAnsi="Times New Roman" w:cs="Times New Roman"/>
          <w:sz w:val="28"/>
          <w:szCs w:val="28"/>
        </w:rPr>
        <w:t xml:space="preserve">the size of the </w:t>
      </w:r>
      <w:r w:rsidRPr="003B3EF6">
        <w:rPr>
          <w:rFonts w:ascii="Times New Roman" w:hAnsi="Times New Roman" w:cs="Times New Roman"/>
          <w:sz w:val="28"/>
          <w:szCs w:val="28"/>
        </w:rPr>
        <w:t>informal sector is five-ten times greater than the formal sector</w:t>
      </w:r>
      <w:r w:rsidR="007224FB" w:rsidRPr="003B3EF6">
        <w:rPr>
          <w:rFonts w:ascii="Times New Roman" w:hAnsi="Times New Roman" w:cs="Times New Roman"/>
          <w:sz w:val="28"/>
          <w:szCs w:val="28"/>
        </w:rPr>
        <w:t xml:space="preserve"> while median earnings are two-three times lower. A g</w:t>
      </w:r>
      <w:r w:rsidRPr="003B3EF6">
        <w:rPr>
          <w:rFonts w:ascii="Times New Roman" w:hAnsi="Times New Roman" w:cs="Times New Roman"/>
          <w:sz w:val="28"/>
          <w:szCs w:val="28"/>
        </w:rPr>
        <w:t>rowing reserve arm</w:t>
      </w:r>
      <w:r w:rsidR="007224FB" w:rsidRPr="003B3EF6">
        <w:rPr>
          <w:rFonts w:ascii="Times New Roman" w:hAnsi="Times New Roman" w:cs="Times New Roman"/>
          <w:sz w:val="28"/>
          <w:szCs w:val="28"/>
        </w:rPr>
        <w:t>y</w:t>
      </w:r>
      <w:r w:rsidRPr="003B3EF6">
        <w:rPr>
          <w:rFonts w:ascii="Times New Roman" w:hAnsi="Times New Roman" w:cs="Times New Roman"/>
          <w:sz w:val="28"/>
          <w:szCs w:val="28"/>
        </w:rPr>
        <w:t xml:space="preserve"> of the un- and under-employed keeps </w:t>
      </w:r>
      <w:r w:rsidR="007224FB" w:rsidRPr="003B3EF6">
        <w:rPr>
          <w:rFonts w:ascii="Times New Roman" w:hAnsi="Times New Roman" w:cs="Times New Roman"/>
          <w:sz w:val="28"/>
          <w:szCs w:val="28"/>
        </w:rPr>
        <w:t xml:space="preserve">informal sector </w:t>
      </w:r>
      <w:r w:rsidRPr="003B3EF6">
        <w:rPr>
          <w:rFonts w:ascii="Times New Roman" w:hAnsi="Times New Roman" w:cs="Times New Roman"/>
          <w:sz w:val="28"/>
          <w:szCs w:val="28"/>
        </w:rPr>
        <w:t>wage rates at or below subsistence levels.</w:t>
      </w:r>
      <w:r w:rsidR="007224FB" w:rsidRPr="003B3EF6">
        <w:rPr>
          <w:rFonts w:ascii="Times New Roman" w:hAnsi="Times New Roman" w:cs="Times New Roman"/>
          <w:sz w:val="28"/>
          <w:szCs w:val="28"/>
        </w:rPr>
        <w:t xml:space="preserve"> No minimum education requirements are stipulated for most informal sector jobs</w:t>
      </w:r>
      <w:r w:rsidR="0064616B" w:rsidRPr="003B3EF6">
        <w:rPr>
          <w:rFonts w:ascii="Times New Roman" w:hAnsi="Times New Roman" w:cs="Times New Roman"/>
          <w:sz w:val="28"/>
          <w:szCs w:val="28"/>
        </w:rPr>
        <w:t xml:space="preserve"> so there is little or no incentive to invest in education </w:t>
      </w:r>
      <w:r w:rsidR="00103669" w:rsidRPr="003B3EF6">
        <w:rPr>
          <w:rFonts w:ascii="Times New Roman" w:hAnsi="Times New Roman" w:cs="Times New Roman"/>
          <w:sz w:val="28"/>
          <w:szCs w:val="28"/>
        </w:rPr>
        <w:t>in order to access jobs in this segment of the economy</w:t>
      </w:r>
      <w:r w:rsidR="007224FB" w:rsidRPr="003B3EF6">
        <w:rPr>
          <w:rFonts w:ascii="Times New Roman" w:hAnsi="Times New Roman" w:cs="Times New Roman"/>
          <w:sz w:val="28"/>
          <w:szCs w:val="28"/>
        </w:rPr>
        <w:t xml:space="preserve">.  </w:t>
      </w:r>
    </w:p>
    <w:p w:rsidR="0064616B" w:rsidRPr="003B3EF6" w:rsidRDefault="0064616B" w:rsidP="003133DF">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The combination of rapidly expanding numbers of school and university leavers </w:t>
      </w:r>
      <w:r w:rsidR="00103669" w:rsidRPr="003B3EF6">
        <w:rPr>
          <w:rFonts w:ascii="Times New Roman" w:hAnsi="Times New Roman" w:cs="Times New Roman"/>
          <w:sz w:val="28"/>
          <w:szCs w:val="28"/>
        </w:rPr>
        <w:t xml:space="preserve">and </w:t>
      </w:r>
      <w:r w:rsidRPr="003B3EF6">
        <w:rPr>
          <w:rFonts w:ascii="Times New Roman" w:hAnsi="Times New Roman" w:cs="Times New Roman"/>
          <w:sz w:val="28"/>
          <w:szCs w:val="28"/>
        </w:rPr>
        <w:t xml:space="preserve">limited growth in formal sector employment means that even for the small </w:t>
      </w:r>
      <w:r w:rsidRPr="003B3EF6">
        <w:rPr>
          <w:rFonts w:ascii="Times New Roman" w:hAnsi="Times New Roman" w:cs="Times New Roman"/>
          <w:sz w:val="28"/>
          <w:szCs w:val="28"/>
        </w:rPr>
        <w:lastRenderedPageBreak/>
        <w:t>minority of children who successfully complete lower secondary education, the probability of f</w:t>
      </w:r>
      <w:r w:rsidR="0083278E" w:rsidRPr="003B3EF6">
        <w:rPr>
          <w:rFonts w:ascii="Times New Roman" w:hAnsi="Times New Roman" w:cs="Times New Roman"/>
          <w:sz w:val="28"/>
          <w:szCs w:val="28"/>
        </w:rPr>
        <w:t>inding a good job is less than 15</w:t>
      </w:r>
      <w:r w:rsidRPr="003B3EF6">
        <w:rPr>
          <w:rFonts w:ascii="Times New Roman" w:hAnsi="Times New Roman" w:cs="Times New Roman"/>
          <w:sz w:val="28"/>
          <w:szCs w:val="28"/>
        </w:rPr>
        <w:t>% in most countries</w:t>
      </w:r>
      <w:r w:rsidR="00B73308">
        <w:rPr>
          <w:rStyle w:val="FootnoteReference"/>
          <w:rFonts w:ascii="Times New Roman" w:hAnsi="Times New Roman" w:cs="Times New Roman"/>
          <w:sz w:val="28"/>
          <w:szCs w:val="28"/>
        </w:rPr>
        <w:footnoteReference w:id="35"/>
      </w:r>
      <w:r w:rsidR="00D6092F" w:rsidRPr="003B3EF6">
        <w:rPr>
          <w:rFonts w:ascii="Times New Roman" w:hAnsi="Times New Roman" w:cs="Times New Roman"/>
          <w:sz w:val="28"/>
          <w:szCs w:val="28"/>
        </w:rPr>
        <w:t>.</w:t>
      </w:r>
    </w:p>
    <w:p w:rsidR="006814E1" w:rsidRPr="003B3EF6" w:rsidRDefault="0046241C" w:rsidP="003133DF">
      <w:pPr>
        <w:spacing w:line="360" w:lineRule="auto"/>
        <w:jc w:val="both"/>
        <w:rPr>
          <w:rFonts w:ascii="Times New Roman" w:hAnsi="Times New Roman" w:cs="Times New Roman"/>
          <w:sz w:val="28"/>
          <w:szCs w:val="28"/>
        </w:rPr>
      </w:pPr>
      <w:r w:rsidRPr="003B3EF6">
        <w:rPr>
          <w:rFonts w:ascii="Times New Roman" w:hAnsi="Times New Roman" w:cs="Times New Roman"/>
          <w:i/>
          <w:sz w:val="28"/>
          <w:szCs w:val="28"/>
        </w:rPr>
        <w:t>Intensifying job competition in segmented labour markets</w:t>
      </w:r>
      <w:r w:rsidR="002D2170">
        <w:rPr>
          <w:rFonts w:ascii="Times New Roman" w:hAnsi="Times New Roman" w:cs="Times New Roman"/>
          <w:i/>
          <w:sz w:val="28"/>
          <w:szCs w:val="28"/>
        </w:rPr>
        <w:t xml:space="preserve">: </w:t>
      </w:r>
      <w:r w:rsidR="006814E1" w:rsidRPr="003B3EF6">
        <w:rPr>
          <w:rFonts w:ascii="Times New Roman" w:hAnsi="Times New Roman" w:cs="Times New Roman"/>
          <w:sz w:val="28"/>
          <w:szCs w:val="28"/>
        </w:rPr>
        <w:t xml:space="preserve">Improving access to primary education has had only limited effects in equalising employment opportunities in most countries in SSA. </w:t>
      </w:r>
      <w:r w:rsidR="002D2170">
        <w:rPr>
          <w:rFonts w:ascii="Times New Roman" w:hAnsi="Times New Roman" w:cs="Times New Roman"/>
          <w:sz w:val="28"/>
          <w:szCs w:val="28"/>
        </w:rPr>
        <w:t>As discussed earlier, e</w:t>
      </w:r>
      <w:r w:rsidR="006814E1" w:rsidRPr="003B3EF6">
        <w:rPr>
          <w:rFonts w:ascii="Times New Roman" w:hAnsi="Times New Roman" w:cs="Times New Roman"/>
          <w:sz w:val="28"/>
          <w:szCs w:val="28"/>
        </w:rPr>
        <w:t xml:space="preserve">ducational attainment and related qualifications remain the key sorting device for gaining preferential positions in ever-lengthening employment queues for ‘good jobs’ in the formal sector. </w:t>
      </w:r>
      <w:r w:rsidR="00911A44">
        <w:rPr>
          <w:rFonts w:ascii="Times New Roman" w:hAnsi="Times New Roman" w:cs="Times New Roman"/>
          <w:sz w:val="28"/>
          <w:szCs w:val="28"/>
        </w:rPr>
        <w:t>Members of t</w:t>
      </w:r>
      <w:r w:rsidR="006814E1" w:rsidRPr="003B3EF6">
        <w:rPr>
          <w:rFonts w:ascii="Times New Roman" w:hAnsi="Times New Roman" w:cs="Times New Roman"/>
          <w:sz w:val="28"/>
          <w:szCs w:val="28"/>
        </w:rPr>
        <w:t xml:space="preserve">he </w:t>
      </w:r>
      <w:r w:rsidR="0086088C">
        <w:rPr>
          <w:rFonts w:ascii="Times New Roman" w:hAnsi="Times New Roman" w:cs="Times New Roman"/>
          <w:sz w:val="28"/>
          <w:szCs w:val="28"/>
        </w:rPr>
        <w:t xml:space="preserve">middle class </w:t>
      </w:r>
      <w:r w:rsidR="006814E1" w:rsidRPr="003B3EF6">
        <w:rPr>
          <w:rFonts w:ascii="Times New Roman" w:hAnsi="Times New Roman" w:cs="Times New Roman"/>
          <w:sz w:val="28"/>
          <w:szCs w:val="28"/>
        </w:rPr>
        <w:t xml:space="preserve">have the power and resources to ensure that they remain at the front of these job queues through a process of educational distancing and qualification escalation. </w:t>
      </w:r>
      <w:r w:rsidR="00846C6E" w:rsidRPr="003B3EF6">
        <w:rPr>
          <w:rFonts w:ascii="Times New Roman" w:hAnsi="Times New Roman" w:cs="Times New Roman"/>
          <w:sz w:val="28"/>
          <w:szCs w:val="28"/>
        </w:rPr>
        <w:t>U</w:t>
      </w:r>
      <w:r w:rsidR="001D1082" w:rsidRPr="003B3EF6">
        <w:rPr>
          <w:rFonts w:ascii="Times New Roman" w:hAnsi="Times New Roman" w:cs="Times New Roman"/>
          <w:sz w:val="28"/>
          <w:szCs w:val="28"/>
        </w:rPr>
        <w:t xml:space="preserve">nfortunately, very little data is available, </w:t>
      </w:r>
      <w:r w:rsidR="00846C6E" w:rsidRPr="003B3EF6">
        <w:rPr>
          <w:rFonts w:ascii="Times New Roman" w:hAnsi="Times New Roman" w:cs="Times New Roman"/>
          <w:sz w:val="28"/>
          <w:szCs w:val="28"/>
        </w:rPr>
        <w:t xml:space="preserve">but </w:t>
      </w:r>
      <w:r w:rsidR="001D1082" w:rsidRPr="003B3EF6">
        <w:rPr>
          <w:rFonts w:ascii="Times New Roman" w:hAnsi="Times New Roman" w:cs="Times New Roman"/>
          <w:sz w:val="28"/>
          <w:szCs w:val="28"/>
        </w:rPr>
        <w:t>t</w:t>
      </w:r>
      <w:r w:rsidR="006814E1" w:rsidRPr="003B3EF6">
        <w:rPr>
          <w:rFonts w:ascii="Times New Roman" w:hAnsi="Times New Roman" w:cs="Times New Roman"/>
          <w:sz w:val="28"/>
          <w:szCs w:val="28"/>
        </w:rPr>
        <w:t xml:space="preserve">he minimal threshold of educational attainment needed for the rural poor to access good jobs is </w:t>
      </w:r>
      <w:r w:rsidR="001D1082" w:rsidRPr="003B3EF6">
        <w:rPr>
          <w:rFonts w:ascii="Times New Roman" w:hAnsi="Times New Roman" w:cs="Times New Roman"/>
          <w:sz w:val="28"/>
          <w:szCs w:val="28"/>
        </w:rPr>
        <w:t xml:space="preserve">likely to have become </w:t>
      </w:r>
      <w:r w:rsidR="006814E1" w:rsidRPr="003B3EF6">
        <w:rPr>
          <w:rFonts w:ascii="Times New Roman" w:hAnsi="Times New Roman" w:cs="Times New Roman"/>
          <w:sz w:val="28"/>
          <w:szCs w:val="28"/>
        </w:rPr>
        <w:t>increasingly out of reach</w:t>
      </w:r>
      <w:r w:rsidR="00846C6E" w:rsidRPr="003B3EF6">
        <w:rPr>
          <w:rFonts w:ascii="Times New Roman" w:hAnsi="Times New Roman" w:cs="Times New Roman"/>
          <w:sz w:val="28"/>
          <w:szCs w:val="28"/>
        </w:rPr>
        <w:t xml:space="preserve"> for most of them</w:t>
      </w:r>
      <w:r w:rsidR="006814E1" w:rsidRPr="003B3EF6">
        <w:rPr>
          <w:rFonts w:ascii="Times New Roman" w:hAnsi="Times New Roman" w:cs="Times New Roman"/>
          <w:sz w:val="28"/>
          <w:szCs w:val="28"/>
        </w:rPr>
        <w:t xml:space="preserve">. In short, intensifying job competition effectively filters out most of the poorest. </w:t>
      </w:r>
    </w:p>
    <w:p w:rsidR="00275570" w:rsidRPr="003B3EF6" w:rsidRDefault="006E40E9" w:rsidP="003133D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The UPE </w:t>
      </w:r>
      <w:r w:rsidR="006814E1" w:rsidRPr="003B3EF6">
        <w:rPr>
          <w:rFonts w:ascii="Times New Roman" w:hAnsi="Times New Roman" w:cs="Times New Roman"/>
          <w:sz w:val="28"/>
          <w:szCs w:val="28"/>
        </w:rPr>
        <w:t>related expansion of secondary schooling has intensified job</w:t>
      </w:r>
      <w:r>
        <w:rPr>
          <w:rFonts w:ascii="Times New Roman" w:hAnsi="Times New Roman" w:cs="Times New Roman"/>
          <w:sz w:val="28"/>
          <w:szCs w:val="28"/>
        </w:rPr>
        <w:t xml:space="preserve"> </w:t>
      </w:r>
      <w:r w:rsidR="006814E1" w:rsidRPr="003B3EF6">
        <w:rPr>
          <w:rFonts w:ascii="Times New Roman" w:hAnsi="Times New Roman" w:cs="Times New Roman"/>
          <w:sz w:val="28"/>
          <w:szCs w:val="28"/>
        </w:rPr>
        <w:t>competition at a time when ‘jobless growth’ remains the norm in most countries. Overall economic growth has increased and been largely sustained in many countries</w:t>
      </w:r>
      <w:r w:rsidR="00524B5C" w:rsidRPr="003B3EF6">
        <w:rPr>
          <w:rFonts w:ascii="Times New Roman" w:hAnsi="Times New Roman" w:cs="Times New Roman"/>
          <w:sz w:val="28"/>
          <w:szCs w:val="28"/>
        </w:rPr>
        <w:t xml:space="preserve"> during the last two decades</w:t>
      </w:r>
      <w:r w:rsidR="006814E1" w:rsidRPr="003B3EF6">
        <w:rPr>
          <w:rFonts w:ascii="Times New Roman" w:hAnsi="Times New Roman" w:cs="Times New Roman"/>
          <w:sz w:val="28"/>
          <w:szCs w:val="28"/>
        </w:rPr>
        <w:t xml:space="preserve"> but formal employment expansion has been limited </w:t>
      </w:r>
      <w:r w:rsidR="00275570" w:rsidRPr="003B3EF6">
        <w:rPr>
          <w:rFonts w:ascii="Times New Roman" w:hAnsi="Times New Roman" w:cs="Times New Roman"/>
          <w:sz w:val="28"/>
          <w:szCs w:val="28"/>
        </w:rPr>
        <w:t xml:space="preserve">for four main reasons: Firstly, there have been very sizeable </w:t>
      </w:r>
      <w:r w:rsidR="006814E1" w:rsidRPr="003B3EF6">
        <w:rPr>
          <w:rFonts w:ascii="Times New Roman" w:hAnsi="Times New Roman" w:cs="Times New Roman"/>
          <w:sz w:val="28"/>
          <w:szCs w:val="28"/>
        </w:rPr>
        <w:t xml:space="preserve">job losses related to public sector restructuring (downsizing), privatisation and de-industrialisation. </w:t>
      </w:r>
      <w:r w:rsidR="00275570" w:rsidRPr="003B3EF6">
        <w:rPr>
          <w:rFonts w:ascii="Times New Roman" w:hAnsi="Times New Roman" w:cs="Times New Roman"/>
          <w:sz w:val="28"/>
          <w:szCs w:val="28"/>
        </w:rPr>
        <w:t xml:space="preserve">Secondly, </w:t>
      </w:r>
      <w:r w:rsidR="00633623" w:rsidRPr="003B3EF6">
        <w:rPr>
          <w:rFonts w:ascii="Times New Roman" w:hAnsi="Times New Roman" w:cs="Times New Roman"/>
          <w:sz w:val="28"/>
          <w:szCs w:val="28"/>
        </w:rPr>
        <w:t xml:space="preserve">African economies have become increasingly services oriented (particularly financial services, </w:t>
      </w:r>
      <w:r w:rsidR="00C33527" w:rsidRPr="003B3EF6">
        <w:rPr>
          <w:rFonts w:ascii="Times New Roman" w:hAnsi="Times New Roman" w:cs="Times New Roman"/>
          <w:sz w:val="28"/>
          <w:szCs w:val="28"/>
        </w:rPr>
        <w:t>telecommunications</w:t>
      </w:r>
      <w:r w:rsidR="00633623" w:rsidRPr="003B3EF6">
        <w:rPr>
          <w:rFonts w:ascii="Times New Roman" w:hAnsi="Times New Roman" w:cs="Times New Roman"/>
          <w:sz w:val="28"/>
          <w:szCs w:val="28"/>
        </w:rPr>
        <w:t xml:space="preserve"> (</w:t>
      </w:r>
      <w:r w:rsidR="00487A28" w:rsidRPr="003B3EF6">
        <w:rPr>
          <w:rFonts w:ascii="Times New Roman" w:hAnsi="Times New Roman" w:cs="Times New Roman"/>
          <w:sz w:val="28"/>
          <w:szCs w:val="28"/>
        </w:rPr>
        <w:t xml:space="preserve">especially </w:t>
      </w:r>
      <w:r w:rsidR="00633623" w:rsidRPr="003B3EF6">
        <w:rPr>
          <w:rFonts w:ascii="Times New Roman" w:hAnsi="Times New Roman" w:cs="Times New Roman"/>
          <w:sz w:val="28"/>
          <w:szCs w:val="28"/>
        </w:rPr>
        <w:t xml:space="preserve">mobile telephony), </w:t>
      </w:r>
      <w:r w:rsidR="00487A28" w:rsidRPr="003B3EF6">
        <w:rPr>
          <w:rFonts w:ascii="Times New Roman" w:hAnsi="Times New Roman" w:cs="Times New Roman"/>
          <w:sz w:val="28"/>
          <w:szCs w:val="28"/>
        </w:rPr>
        <w:t xml:space="preserve">information technology, </w:t>
      </w:r>
      <w:r w:rsidR="00633623" w:rsidRPr="003B3EF6">
        <w:rPr>
          <w:rFonts w:ascii="Times New Roman" w:hAnsi="Times New Roman" w:cs="Times New Roman"/>
          <w:sz w:val="28"/>
          <w:szCs w:val="28"/>
        </w:rPr>
        <w:t xml:space="preserve">tourism, and the education sector </w:t>
      </w:r>
      <w:r w:rsidR="00633623" w:rsidRPr="003B3EF6">
        <w:rPr>
          <w:rFonts w:ascii="Times New Roman" w:hAnsi="Times New Roman" w:cs="Times New Roman"/>
          <w:sz w:val="28"/>
          <w:szCs w:val="28"/>
        </w:rPr>
        <w:lastRenderedPageBreak/>
        <w:t>itself) which</w:t>
      </w:r>
      <w:r w:rsidR="0083278E" w:rsidRPr="003B3EF6">
        <w:rPr>
          <w:rFonts w:ascii="Times New Roman" w:hAnsi="Times New Roman" w:cs="Times New Roman"/>
          <w:sz w:val="28"/>
          <w:szCs w:val="28"/>
        </w:rPr>
        <w:t>,</w:t>
      </w:r>
      <w:r w:rsidR="00633623" w:rsidRPr="003B3EF6">
        <w:rPr>
          <w:rFonts w:ascii="Times New Roman" w:hAnsi="Times New Roman" w:cs="Times New Roman"/>
          <w:sz w:val="28"/>
          <w:szCs w:val="28"/>
        </w:rPr>
        <w:t xml:space="preserve"> being more skill-intensive</w:t>
      </w:r>
      <w:r w:rsidR="0083278E" w:rsidRPr="003B3EF6">
        <w:rPr>
          <w:rFonts w:ascii="Times New Roman" w:hAnsi="Times New Roman" w:cs="Times New Roman"/>
          <w:sz w:val="28"/>
          <w:szCs w:val="28"/>
        </w:rPr>
        <w:t>,</w:t>
      </w:r>
      <w:r w:rsidR="00633623" w:rsidRPr="003B3EF6">
        <w:rPr>
          <w:rFonts w:ascii="Times New Roman" w:hAnsi="Times New Roman" w:cs="Times New Roman"/>
          <w:sz w:val="28"/>
          <w:szCs w:val="28"/>
        </w:rPr>
        <w:t xml:space="preserve"> further advantages the </w:t>
      </w:r>
      <w:r w:rsidR="00A9060A">
        <w:rPr>
          <w:rFonts w:ascii="Times New Roman" w:hAnsi="Times New Roman" w:cs="Times New Roman"/>
          <w:sz w:val="28"/>
          <w:szCs w:val="28"/>
        </w:rPr>
        <w:t>middle class</w:t>
      </w:r>
      <w:r w:rsidR="00633623" w:rsidRPr="003B3EF6">
        <w:rPr>
          <w:rFonts w:ascii="Times New Roman" w:hAnsi="Times New Roman" w:cs="Times New Roman"/>
          <w:sz w:val="28"/>
          <w:szCs w:val="28"/>
        </w:rPr>
        <w:t xml:space="preserve"> who have the requis</w:t>
      </w:r>
      <w:r w:rsidR="00524B5C" w:rsidRPr="003B3EF6">
        <w:rPr>
          <w:rFonts w:ascii="Times New Roman" w:hAnsi="Times New Roman" w:cs="Times New Roman"/>
          <w:sz w:val="28"/>
          <w:szCs w:val="28"/>
        </w:rPr>
        <w:t>i</w:t>
      </w:r>
      <w:r w:rsidR="00633623" w:rsidRPr="003B3EF6">
        <w:rPr>
          <w:rFonts w:ascii="Times New Roman" w:hAnsi="Times New Roman" w:cs="Times New Roman"/>
          <w:sz w:val="28"/>
          <w:szCs w:val="28"/>
        </w:rPr>
        <w:t xml:space="preserve">te higher education qualifications </w:t>
      </w:r>
      <w:r w:rsidR="00524B5C" w:rsidRPr="003B3EF6">
        <w:rPr>
          <w:rFonts w:ascii="Times New Roman" w:hAnsi="Times New Roman" w:cs="Times New Roman"/>
          <w:sz w:val="28"/>
          <w:szCs w:val="28"/>
        </w:rPr>
        <w:t>for these jobs</w:t>
      </w:r>
      <w:r w:rsidR="00633623" w:rsidRPr="003B3EF6">
        <w:rPr>
          <w:rFonts w:ascii="Times New Roman" w:hAnsi="Times New Roman" w:cs="Times New Roman"/>
          <w:sz w:val="28"/>
          <w:szCs w:val="28"/>
        </w:rPr>
        <w:t>. The growth industries in productive sectors are also generally both skill and capital intensive</w:t>
      </w:r>
      <w:r w:rsidR="002D2170">
        <w:rPr>
          <w:rFonts w:ascii="Times New Roman" w:hAnsi="Times New Roman" w:cs="Times New Roman"/>
          <w:sz w:val="28"/>
          <w:szCs w:val="28"/>
        </w:rPr>
        <w:t xml:space="preserve"> (in particular, agri-business, and (modern) construction and mining technologies)</w:t>
      </w:r>
      <w:r w:rsidR="00633623" w:rsidRPr="003B3EF6">
        <w:rPr>
          <w:rFonts w:ascii="Times New Roman" w:hAnsi="Times New Roman" w:cs="Times New Roman"/>
          <w:sz w:val="28"/>
          <w:szCs w:val="28"/>
        </w:rPr>
        <w:t>.</w:t>
      </w:r>
      <w:r w:rsidR="00487A28" w:rsidRPr="003B3EF6">
        <w:rPr>
          <w:rFonts w:ascii="Times New Roman" w:hAnsi="Times New Roman" w:cs="Times New Roman"/>
          <w:sz w:val="28"/>
          <w:szCs w:val="28"/>
        </w:rPr>
        <w:t xml:space="preserve"> </w:t>
      </w:r>
      <w:r w:rsidR="00275570" w:rsidRPr="003B3EF6">
        <w:rPr>
          <w:rFonts w:ascii="Times New Roman" w:hAnsi="Times New Roman" w:cs="Times New Roman"/>
          <w:sz w:val="28"/>
          <w:szCs w:val="28"/>
        </w:rPr>
        <w:t>Thirdly, w</w:t>
      </w:r>
      <w:r w:rsidR="00487A28" w:rsidRPr="003B3EF6">
        <w:rPr>
          <w:rFonts w:ascii="Times New Roman" w:hAnsi="Times New Roman" w:cs="Times New Roman"/>
          <w:sz w:val="28"/>
          <w:szCs w:val="28"/>
        </w:rPr>
        <w:t xml:space="preserve">ith the increasing involvement of foreign capital (especially in higher tech sectors such as mining and oil and telecommunications), the number of expatriate workers </w:t>
      </w:r>
      <w:r>
        <w:rPr>
          <w:rFonts w:ascii="Times New Roman" w:hAnsi="Times New Roman" w:cs="Times New Roman"/>
          <w:sz w:val="28"/>
          <w:szCs w:val="28"/>
        </w:rPr>
        <w:t xml:space="preserve">(especially from China) </w:t>
      </w:r>
      <w:r w:rsidR="00487A28" w:rsidRPr="003B3EF6">
        <w:rPr>
          <w:rFonts w:ascii="Times New Roman" w:hAnsi="Times New Roman" w:cs="Times New Roman"/>
          <w:sz w:val="28"/>
          <w:szCs w:val="28"/>
        </w:rPr>
        <w:t xml:space="preserve">has grown appreciably. </w:t>
      </w:r>
      <w:r w:rsidR="00275570" w:rsidRPr="003B3EF6">
        <w:rPr>
          <w:rFonts w:ascii="Times New Roman" w:hAnsi="Times New Roman" w:cs="Times New Roman"/>
          <w:sz w:val="28"/>
          <w:szCs w:val="28"/>
        </w:rPr>
        <w:t>And fourthly, t</w:t>
      </w:r>
      <w:r w:rsidR="00487A28" w:rsidRPr="003B3EF6">
        <w:rPr>
          <w:rFonts w:ascii="Times New Roman" w:hAnsi="Times New Roman" w:cs="Times New Roman"/>
          <w:sz w:val="28"/>
          <w:szCs w:val="28"/>
        </w:rPr>
        <w:t>he casualisation of formal sector employment has grown rapidly</w:t>
      </w:r>
      <w:r w:rsidR="002D2170">
        <w:rPr>
          <w:rFonts w:ascii="Times New Roman" w:hAnsi="Times New Roman" w:cs="Times New Roman"/>
          <w:sz w:val="28"/>
          <w:szCs w:val="28"/>
        </w:rPr>
        <w:t xml:space="preserve"> in some countries</w:t>
      </w:r>
      <w:r w:rsidR="00487A28" w:rsidRPr="003B3EF6">
        <w:rPr>
          <w:rFonts w:ascii="Times New Roman" w:hAnsi="Times New Roman" w:cs="Times New Roman"/>
          <w:sz w:val="28"/>
          <w:szCs w:val="28"/>
        </w:rPr>
        <w:t>. As elsewhere, zero hour contracts have become more common</w:t>
      </w:r>
      <w:r w:rsidR="00487A28" w:rsidRPr="003B3EF6">
        <w:rPr>
          <w:rStyle w:val="FootnoteReference"/>
          <w:rFonts w:ascii="Times New Roman" w:hAnsi="Times New Roman" w:cs="Times New Roman"/>
          <w:sz w:val="28"/>
          <w:szCs w:val="28"/>
        </w:rPr>
        <w:footnoteReference w:id="36"/>
      </w:r>
      <w:r w:rsidR="00487A28" w:rsidRPr="003B3EF6">
        <w:rPr>
          <w:rFonts w:ascii="Times New Roman" w:hAnsi="Times New Roman" w:cs="Times New Roman"/>
          <w:sz w:val="28"/>
          <w:szCs w:val="28"/>
        </w:rPr>
        <w:t>.</w:t>
      </w:r>
      <w:r w:rsidR="00275570" w:rsidRPr="003B3EF6">
        <w:rPr>
          <w:rFonts w:ascii="Times New Roman" w:hAnsi="Times New Roman" w:cs="Times New Roman"/>
          <w:sz w:val="28"/>
          <w:szCs w:val="28"/>
        </w:rPr>
        <w:t xml:space="preserve"> </w:t>
      </w:r>
    </w:p>
    <w:p w:rsidR="00487A28" w:rsidRPr="003B3EF6" w:rsidRDefault="00275570" w:rsidP="003133DF">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T</w:t>
      </w:r>
      <w:r w:rsidR="0046241C" w:rsidRPr="003B3EF6">
        <w:rPr>
          <w:rFonts w:ascii="Times New Roman" w:hAnsi="Times New Roman" w:cs="Times New Roman"/>
          <w:sz w:val="28"/>
          <w:szCs w:val="28"/>
        </w:rPr>
        <w:t xml:space="preserve">he low share of female employees in formal employment remains largely unchanged. </w:t>
      </w:r>
      <w:r w:rsidR="001D1082" w:rsidRPr="003B3EF6">
        <w:rPr>
          <w:rFonts w:ascii="Times New Roman" w:hAnsi="Times New Roman" w:cs="Times New Roman"/>
          <w:sz w:val="28"/>
          <w:szCs w:val="28"/>
        </w:rPr>
        <w:t xml:space="preserve"> In conjunction with other factors, especially early marriage and bride price,</w:t>
      </w:r>
      <w:r w:rsidR="0064616B" w:rsidRPr="003B3EF6">
        <w:rPr>
          <w:rFonts w:ascii="Times New Roman" w:hAnsi="Times New Roman" w:cs="Times New Roman"/>
          <w:sz w:val="28"/>
          <w:szCs w:val="28"/>
        </w:rPr>
        <w:t xml:space="preserve"> this reduces the incentive to complete both primary and education</w:t>
      </w:r>
      <w:r w:rsidR="00524B5C" w:rsidRPr="003B3EF6">
        <w:rPr>
          <w:rFonts w:ascii="Times New Roman" w:hAnsi="Times New Roman" w:cs="Times New Roman"/>
          <w:sz w:val="28"/>
          <w:szCs w:val="28"/>
        </w:rPr>
        <w:t xml:space="preserve"> among females</w:t>
      </w:r>
      <w:r w:rsidR="0064616B" w:rsidRPr="003B3EF6">
        <w:rPr>
          <w:rFonts w:ascii="Times New Roman" w:hAnsi="Times New Roman" w:cs="Times New Roman"/>
          <w:sz w:val="28"/>
          <w:szCs w:val="28"/>
        </w:rPr>
        <w:t>.</w:t>
      </w:r>
      <w:r w:rsidR="001D1082" w:rsidRPr="003B3EF6">
        <w:rPr>
          <w:rFonts w:ascii="Times New Roman" w:hAnsi="Times New Roman" w:cs="Times New Roman"/>
          <w:sz w:val="28"/>
          <w:szCs w:val="28"/>
        </w:rPr>
        <w:t xml:space="preserve"> </w:t>
      </w:r>
    </w:p>
    <w:p w:rsidR="007224FB" w:rsidRPr="003B3EF6" w:rsidRDefault="001D1082" w:rsidP="003133DF">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Rural school leavers are at a particular disadvantaged in competing for wage employment because most formal sector jobs are in urban areas which means that most have no alternative but to migrate to these areas. As the probability of finding a good job</w:t>
      </w:r>
      <w:r w:rsidR="00524B5C" w:rsidRPr="003B3EF6">
        <w:rPr>
          <w:rFonts w:ascii="Times New Roman" w:hAnsi="Times New Roman" w:cs="Times New Roman"/>
          <w:sz w:val="28"/>
          <w:szCs w:val="28"/>
        </w:rPr>
        <w:t xml:space="preserve"> decreases</w:t>
      </w:r>
      <w:r w:rsidRPr="003B3EF6">
        <w:rPr>
          <w:rFonts w:ascii="Times New Roman" w:hAnsi="Times New Roman" w:cs="Times New Roman"/>
          <w:sz w:val="28"/>
          <w:szCs w:val="28"/>
        </w:rPr>
        <w:t>, the expected income gain fro</w:t>
      </w:r>
      <w:r w:rsidR="00524B5C" w:rsidRPr="003B3EF6">
        <w:rPr>
          <w:rFonts w:ascii="Times New Roman" w:hAnsi="Times New Roman" w:cs="Times New Roman"/>
          <w:sz w:val="28"/>
          <w:szCs w:val="28"/>
        </w:rPr>
        <w:t>m</w:t>
      </w:r>
      <w:r w:rsidRPr="003B3EF6">
        <w:rPr>
          <w:rFonts w:ascii="Times New Roman" w:hAnsi="Times New Roman" w:cs="Times New Roman"/>
          <w:sz w:val="28"/>
          <w:szCs w:val="28"/>
        </w:rPr>
        <w:t xml:space="preserve"> migrating declines</w:t>
      </w:r>
      <w:r w:rsidR="00CC1C4A" w:rsidRPr="003B3EF6">
        <w:rPr>
          <w:rStyle w:val="FootnoteReference"/>
          <w:rFonts w:ascii="Times New Roman" w:hAnsi="Times New Roman" w:cs="Times New Roman"/>
          <w:sz w:val="28"/>
          <w:szCs w:val="28"/>
        </w:rPr>
        <w:footnoteReference w:id="37"/>
      </w:r>
      <w:r w:rsidRPr="003B3EF6">
        <w:rPr>
          <w:rFonts w:ascii="Times New Roman" w:hAnsi="Times New Roman" w:cs="Times New Roman"/>
          <w:sz w:val="28"/>
          <w:szCs w:val="28"/>
        </w:rPr>
        <w:t>. Mo</w:t>
      </w:r>
      <w:r w:rsidR="007533A8" w:rsidRPr="003B3EF6">
        <w:rPr>
          <w:rFonts w:ascii="Times New Roman" w:hAnsi="Times New Roman" w:cs="Times New Roman"/>
          <w:sz w:val="28"/>
          <w:szCs w:val="28"/>
        </w:rPr>
        <w:t>r</w:t>
      </w:r>
      <w:r w:rsidRPr="003B3EF6">
        <w:rPr>
          <w:rFonts w:ascii="Times New Roman" w:hAnsi="Times New Roman" w:cs="Times New Roman"/>
          <w:sz w:val="28"/>
          <w:szCs w:val="28"/>
        </w:rPr>
        <w:t xml:space="preserve">eover, the </w:t>
      </w:r>
      <w:r w:rsidR="006814E1" w:rsidRPr="003B3EF6">
        <w:rPr>
          <w:rFonts w:ascii="Times New Roman" w:hAnsi="Times New Roman" w:cs="Times New Roman"/>
          <w:sz w:val="28"/>
          <w:szCs w:val="28"/>
        </w:rPr>
        <w:t xml:space="preserve">substantial weakening of the extended family system </w:t>
      </w:r>
      <w:r w:rsidRPr="003B3EF6">
        <w:rPr>
          <w:rFonts w:ascii="Times New Roman" w:hAnsi="Times New Roman" w:cs="Times New Roman"/>
          <w:sz w:val="28"/>
          <w:szCs w:val="28"/>
        </w:rPr>
        <w:t xml:space="preserve">in recent decades </w:t>
      </w:r>
      <w:r w:rsidR="006814E1" w:rsidRPr="003B3EF6">
        <w:rPr>
          <w:rFonts w:ascii="Times New Roman" w:hAnsi="Times New Roman" w:cs="Times New Roman"/>
          <w:sz w:val="28"/>
          <w:szCs w:val="28"/>
        </w:rPr>
        <w:t xml:space="preserve">has </w:t>
      </w:r>
      <w:r w:rsidRPr="003B3EF6">
        <w:rPr>
          <w:rFonts w:ascii="Times New Roman" w:hAnsi="Times New Roman" w:cs="Times New Roman"/>
          <w:sz w:val="28"/>
          <w:szCs w:val="28"/>
        </w:rPr>
        <w:t xml:space="preserve">made it harder for </w:t>
      </w:r>
      <w:r w:rsidR="006814E1" w:rsidRPr="003B3EF6">
        <w:rPr>
          <w:rFonts w:ascii="Times New Roman" w:hAnsi="Times New Roman" w:cs="Times New Roman"/>
          <w:sz w:val="28"/>
          <w:szCs w:val="28"/>
        </w:rPr>
        <w:t xml:space="preserve">young rural migrants </w:t>
      </w:r>
      <w:r w:rsidRPr="003B3EF6">
        <w:rPr>
          <w:rFonts w:ascii="Times New Roman" w:hAnsi="Times New Roman" w:cs="Times New Roman"/>
          <w:sz w:val="28"/>
          <w:szCs w:val="28"/>
        </w:rPr>
        <w:t xml:space="preserve">to be </w:t>
      </w:r>
      <w:r w:rsidR="006814E1" w:rsidRPr="003B3EF6">
        <w:rPr>
          <w:rFonts w:ascii="Times New Roman" w:hAnsi="Times New Roman" w:cs="Times New Roman"/>
          <w:sz w:val="28"/>
          <w:szCs w:val="28"/>
        </w:rPr>
        <w:t xml:space="preserve">supported </w:t>
      </w:r>
      <w:r w:rsidRPr="003B3EF6">
        <w:rPr>
          <w:rFonts w:ascii="Times New Roman" w:hAnsi="Times New Roman" w:cs="Times New Roman"/>
          <w:sz w:val="28"/>
          <w:szCs w:val="28"/>
        </w:rPr>
        <w:t>by their urban relatives in what is typically a very</w:t>
      </w:r>
      <w:r w:rsidR="006814E1" w:rsidRPr="003B3EF6">
        <w:rPr>
          <w:rFonts w:ascii="Times New Roman" w:hAnsi="Times New Roman" w:cs="Times New Roman"/>
          <w:sz w:val="28"/>
          <w:szCs w:val="28"/>
        </w:rPr>
        <w:t xml:space="preserve"> protracted period of job search. Established rural migrants </w:t>
      </w:r>
      <w:r w:rsidR="007533A8" w:rsidRPr="003B3EF6">
        <w:rPr>
          <w:rFonts w:ascii="Times New Roman" w:hAnsi="Times New Roman" w:cs="Times New Roman"/>
          <w:sz w:val="28"/>
          <w:szCs w:val="28"/>
        </w:rPr>
        <w:t xml:space="preserve">increasingly </w:t>
      </w:r>
      <w:r w:rsidR="006814E1" w:rsidRPr="003B3EF6">
        <w:rPr>
          <w:rFonts w:ascii="Times New Roman" w:hAnsi="Times New Roman" w:cs="Times New Roman"/>
          <w:sz w:val="28"/>
          <w:szCs w:val="28"/>
        </w:rPr>
        <w:t xml:space="preserve">try to distance themselves from their relatives in the village (to the extent they </w:t>
      </w:r>
      <w:r w:rsidR="002D2170">
        <w:rPr>
          <w:rFonts w:ascii="Times New Roman" w:hAnsi="Times New Roman" w:cs="Times New Roman"/>
          <w:sz w:val="28"/>
          <w:szCs w:val="28"/>
        </w:rPr>
        <w:t xml:space="preserve">often </w:t>
      </w:r>
      <w:r w:rsidR="006814E1" w:rsidRPr="003B3EF6">
        <w:rPr>
          <w:rFonts w:ascii="Times New Roman" w:hAnsi="Times New Roman" w:cs="Times New Roman"/>
          <w:sz w:val="28"/>
          <w:szCs w:val="28"/>
        </w:rPr>
        <w:t xml:space="preserve">do not inform </w:t>
      </w:r>
      <w:r w:rsidR="007533A8" w:rsidRPr="003B3EF6">
        <w:rPr>
          <w:rFonts w:ascii="Times New Roman" w:hAnsi="Times New Roman" w:cs="Times New Roman"/>
          <w:sz w:val="28"/>
          <w:szCs w:val="28"/>
        </w:rPr>
        <w:t xml:space="preserve">them </w:t>
      </w:r>
      <w:r w:rsidR="006814E1" w:rsidRPr="003B3EF6">
        <w:rPr>
          <w:rFonts w:ascii="Times New Roman" w:hAnsi="Times New Roman" w:cs="Times New Roman"/>
          <w:sz w:val="28"/>
          <w:szCs w:val="28"/>
        </w:rPr>
        <w:t>of the actual incomes that they are earning in the urban areas)</w:t>
      </w:r>
      <w:r w:rsidR="007533A8" w:rsidRPr="003B3EF6">
        <w:rPr>
          <w:rFonts w:ascii="Times New Roman" w:hAnsi="Times New Roman" w:cs="Times New Roman"/>
          <w:sz w:val="28"/>
          <w:szCs w:val="28"/>
        </w:rPr>
        <w:t>.</w:t>
      </w:r>
      <w:r w:rsidR="007224FB" w:rsidRPr="003B3EF6">
        <w:rPr>
          <w:rFonts w:ascii="Times New Roman" w:hAnsi="Times New Roman" w:cs="Times New Roman"/>
          <w:sz w:val="28"/>
          <w:szCs w:val="28"/>
        </w:rPr>
        <w:t xml:space="preserve"> </w:t>
      </w:r>
    </w:p>
    <w:p w:rsidR="007533A8" w:rsidRPr="003B3EF6" w:rsidRDefault="007224FB" w:rsidP="003133DF">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lastRenderedPageBreak/>
        <w:t>Generally speaking, k</w:t>
      </w:r>
      <w:r w:rsidR="007533A8" w:rsidRPr="003B3EF6">
        <w:rPr>
          <w:rFonts w:ascii="Times New Roman" w:hAnsi="Times New Roman" w:cs="Times New Roman"/>
          <w:sz w:val="28"/>
          <w:szCs w:val="28"/>
        </w:rPr>
        <w:t xml:space="preserve">inship networks are </w:t>
      </w:r>
      <w:r w:rsidRPr="003B3EF6">
        <w:rPr>
          <w:rFonts w:ascii="Times New Roman" w:hAnsi="Times New Roman" w:cs="Times New Roman"/>
          <w:sz w:val="28"/>
          <w:szCs w:val="28"/>
        </w:rPr>
        <w:t xml:space="preserve">all </w:t>
      </w:r>
      <w:r w:rsidR="007533A8" w:rsidRPr="003B3EF6">
        <w:rPr>
          <w:rFonts w:ascii="Times New Roman" w:hAnsi="Times New Roman" w:cs="Times New Roman"/>
          <w:sz w:val="28"/>
          <w:szCs w:val="28"/>
        </w:rPr>
        <w:t>important in gaining access to good jobs</w:t>
      </w:r>
      <w:r w:rsidRPr="003B3EF6">
        <w:rPr>
          <w:rFonts w:ascii="Times New Roman" w:hAnsi="Times New Roman" w:cs="Times New Roman"/>
          <w:sz w:val="28"/>
          <w:szCs w:val="28"/>
        </w:rPr>
        <w:t xml:space="preserve"> in SSA</w:t>
      </w:r>
      <w:r w:rsidR="007533A8" w:rsidRPr="003B3EF6">
        <w:rPr>
          <w:rFonts w:ascii="Times New Roman" w:hAnsi="Times New Roman" w:cs="Times New Roman"/>
          <w:sz w:val="28"/>
          <w:szCs w:val="28"/>
        </w:rPr>
        <w:t xml:space="preserve">. </w:t>
      </w:r>
      <w:r w:rsidRPr="003B3EF6">
        <w:rPr>
          <w:rFonts w:ascii="Times New Roman" w:hAnsi="Times New Roman" w:cs="Times New Roman"/>
          <w:sz w:val="28"/>
          <w:szCs w:val="28"/>
        </w:rPr>
        <w:t>It is w</w:t>
      </w:r>
      <w:r w:rsidR="007533A8" w:rsidRPr="003B3EF6">
        <w:rPr>
          <w:rFonts w:ascii="Times New Roman" w:hAnsi="Times New Roman" w:cs="Times New Roman"/>
          <w:sz w:val="28"/>
          <w:szCs w:val="28"/>
        </w:rPr>
        <w:t>ho you know as much as what you know</w:t>
      </w:r>
      <w:r w:rsidRPr="003B3EF6">
        <w:rPr>
          <w:rFonts w:ascii="Times New Roman" w:hAnsi="Times New Roman" w:cs="Times New Roman"/>
          <w:sz w:val="28"/>
          <w:szCs w:val="28"/>
        </w:rPr>
        <w:t xml:space="preserve"> that determines one place in employment queues</w:t>
      </w:r>
      <w:r w:rsidR="007533A8" w:rsidRPr="003B3EF6">
        <w:rPr>
          <w:rFonts w:ascii="Times New Roman" w:hAnsi="Times New Roman" w:cs="Times New Roman"/>
          <w:sz w:val="28"/>
          <w:szCs w:val="28"/>
        </w:rPr>
        <w:t>.</w:t>
      </w:r>
      <w:r w:rsidRPr="003B3EF6">
        <w:rPr>
          <w:rFonts w:ascii="Times New Roman" w:hAnsi="Times New Roman" w:cs="Times New Roman"/>
          <w:sz w:val="28"/>
          <w:szCs w:val="28"/>
        </w:rPr>
        <w:t xml:space="preserve"> This further depresses demand for education especially among rural households who generally lack the established kinship networks needed to secure formal sector jobs. </w:t>
      </w:r>
      <w:r w:rsidR="007533A8" w:rsidRPr="003B3EF6">
        <w:rPr>
          <w:rFonts w:ascii="Times New Roman" w:hAnsi="Times New Roman" w:cs="Times New Roman"/>
          <w:sz w:val="28"/>
          <w:szCs w:val="28"/>
        </w:rPr>
        <w:t xml:space="preserve">  </w:t>
      </w:r>
    </w:p>
    <w:p w:rsidR="00EA6CE0" w:rsidRPr="003B3EF6" w:rsidRDefault="007224FB" w:rsidP="003133DF">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Taken together,</w:t>
      </w:r>
      <w:r w:rsidR="00EA6CE0" w:rsidRPr="003B3EF6">
        <w:rPr>
          <w:rFonts w:ascii="Times New Roman" w:hAnsi="Times New Roman" w:cs="Times New Roman"/>
          <w:sz w:val="28"/>
          <w:szCs w:val="28"/>
        </w:rPr>
        <w:t xml:space="preserve"> the combined impact of these various factors is that the incentives to migrate to urban areas are declining and that, as a result, rural-urban migration is beginning to slow down </w:t>
      </w:r>
      <w:r w:rsidR="00391329">
        <w:rPr>
          <w:rFonts w:ascii="Times New Roman" w:hAnsi="Times New Roman" w:cs="Times New Roman"/>
          <w:sz w:val="28"/>
          <w:szCs w:val="28"/>
        </w:rPr>
        <w:t>in many countries</w:t>
      </w:r>
      <w:r w:rsidR="00CC1C4A" w:rsidRPr="003B3EF6">
        <w:rPr>
          <w:rFonts w:ascii="Times New Roman" w:hAnsi="Times New Roman" w:cs="Times New Roman"/>
          <w:sz w:val="28"/>
          <w:szCs w:val="28"/>
        </w:rPr>
        <w:t xml:space="preserve">  (see  </w:t>
      </w:r>
      <w:r w:rsidR="006E40E9">
        <w:rPr>
          <w:rFonts w:ascii="Times New Roman" w:hAnsi="Times New Roman" w:cs="Times New Roman"/>
          <w:sz w:val="28"/>
          <w:szCs w:val="28"/>
        </w:rPr>
        <w:t>Potts, 2008; Beauchemin 2011</w:t>
      </w:r>
      <w:r w:rsidR="00CC1C4A" w:rsidRPr="003B3EF6">
        <w:rPr>
          <w:rFonts w:ascii="Times New Roman" w:hAnsi="Times New Roman" w:cs="Times New Roman"/>
          <w:sz w:val="28"/>
          <w:szCs w:val="28"/>
        </w:rPr>
        <w:t>).</w:t>
      </w:r>
      <w:r w:rsidR="00EA6CE0" w:rsidRPr="003B3EF6">
        <w:rPr>
          <w:rFonts w:ascii="Times New Roman" w:hAnsi="Times New Roman" w:cs="Times New Roman"/>
          <w:sz w:val="28"/>
          <w:szCs w:val="28"/>
        </w:rPr>
        <w:t xml:space="preserve"> </w:t>
      </w:r>
    </w:p>
    <w:p w:rsidR="00375EDB" w:rsidRPr="0056077D" w:rsidRDefault="0056077D" w:rsidP="003133DF">
      <w:pPr>
        <w:spacing w:line="360" w:lineRule="auto"/>
        <w:jc w:val="both"/>
        <w:rPr>
          <w:rFonts w:ascii="Times New Roman" w:hAnsi="Times New Roman" w:cs="Times New Roman"/>
          <w:i/>
          <w:sz w:val="28"/>
          <w:szCs w:val="28"/>
        </w:rPr>
      </w:pPr>
      <w:r>
        <w:rPr>
          <w:rFonts w:ascii="Times New Roman" w:hAnsi="Times New Roman" w:cs="Times New Roman"/>
          <w:i/>
          <w:sz w:val="28"/>
          <w:szCs w:val="28"/>
        </w:rPr>
        <w:t>6</w:t>
      </w:r>
      <w:r w:rsidR="00B4324E" w:rsidRPr="0056077D">
        <w:rPr>
          <w:rFonts w:ascii="Times New Roman" w:hAnsi="Times New Roman" w:cs="Times New Roman"/>
          <w:i/>
          <w:sz w:val="28"/>
          <w:szCs w:val="28"/>
        </w:rPr>
        <w:t>.2 Self-employment</w:t>
      </w:r>
    </w:p>
    <w:p w:rsidR="00EC7008" w:rsidRPr="003B3EF6" w:rsidRDefault="00EC7008" w:rsidP="003133DF">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Smallholder agriculture </w:t>
      </w:r>
      <w:r w:rsidR="00846C6E" w:rsidRPr="003B3EF6">
        <w:rPr>
          <w:rFonts w:ascii="Times New Roman" w:hAnsi="Times New Roman" w:cs="Times New Roman"/>
          <w:sz w:val="28"/>
          <w:szCs w:val="28"/>
        </w:rPr>
        <w:t xml:space="preserve">in most of SSA </w:t>
      </w:r>
      <w:r w:rsidRPr="003B3EF6">
        <w:rPr>
          <w:rFonts w:ascii="Times New Roman" w:hAnsi="Times New Roman" w:cs="Times New Roman"/>
          <w:sz w:val="28"/>
          <w:szCs w:val="28"/>
        </w:rPr>
        <w:t xml:space="preserve">remains </w:t>
      </w:r>
      <w:r w:rsidR="00846C6E" w:rsidRPr="003B3EF6">
        <w:rPr>
          <w:rFonts w:ascii="Times New Roman" w:hAnsi="Times New Roman" w:cs="Times New Roman"/>
          <w:sz w:val="28"/>
          <w:szCs w:val="28"/>
        </w:rPr>
        <w:t xml:space="preserve">predominantly </w:t>
      </w:r>
      <w:r w:rsidRPr="003B3EF6">
        <w:rPr>
          <w:rFonts w:ascii="Times New Roman" w:hAnsi="Times New Roman" w:cs="Times New Roman"/>
          <w:sz w:val="28"/>
          <w:szCs w:val="28"/>
        </w:rPr>
        <w:t>subsistence</w:t>
      </w:r>
      <w:r w:rsidR="00846C6E" w:rsidRPr="003B3EF6">
        <w:rPr>
          <w:rFonts w:ascii="Times New Roman" w:hAnsi="Times New Roman" w:cs="Times New Roman"/>
          <w:sz w:val="28"/>
          <w:szCs w:val="28"/>
        </w:rPr>
        <w:t>-</w:t>
      </w:r>
      <w:r w:rsidRPr="003B3EF6">
        <w:rPr>
          <w:rFonts w:ascii="Times New Roman" w:hAnsi="Times New Roman" w:cs="Times New Roman"/>
          <w:sz w:val="28"/>
          <w:szCs w:val="28"/>
        </w:rPr>
        <w:t xml:space="preserve"> based </w:t>
      </w:r>
      <w:r w:rsidR="00846C6E" w:rsidRPr="003B3EF6">
        <w:rPr>
          <w:rFonts w:ascii="Times New Roman" w:hAnsi="Times New Roman" w:cs="Times New Roman"/>
          <w:sz w:val="28"/>
          <w:szCs w:val="28"/>
        </w:rPr>
        <w:t xml:space="preserve">which does not require </w:t>
      </w:r>
      <w:r w:rsidRPr="003B3EF6">
        <w:rPr>
          <w:rFonts w:ascii="Times New Roman" w:hAnsi="Times New Roman" w:cs="Times New Roman"/>
          <w:sz w:val="28"/>
          <w:szCs w:val="28"/>
        </w:rPr>
        <w:t>the foundational skills imparted by primary education. Evidence</w:t>
      </w:r>
      <w:r w:rsidR="00846C6E" w:rsidRPr="003B3EF6">
        <w:rPr>
          <w:rFonts w:ascii="Times New Roman" w:hAnsi="Times New Roman" w:cs="Times New Roman"/>
          <w:sz w:val="28"/>
          <w:szCs w:val="28"/>
        </w:rPr>
        <w:t>,</w:t>
      </w:r>
      <w:r w:rsidRPr="003B3EF6">
        <w:rPr>
          <w:rFonts w:ascii="Times New Roman" w:hAnsi="Times New Roman" w:cs="Times New Roman"/>
          <w:sz w:val="28"/>
          <w:szCs w:val="28"/>
        </w:rPr>
        <w:t xml:space="preserve"> especially from South Asia</w:t>
      </w:r>
      <w:r w:rsidR="00846C6E" w:rsidRPr="003B3EF6">
        <w:rPr>
          <w:rFonts w:ascii="Times New Roman" w:hAnsi="Times New Roman" w:cs="Times New Roman"/>
          <w:sz w:val="28"/>
          <w:szCs w:val="28"/>
        </w:rPr>
        <w:t>,</w:t>
      </w:r>
      <w:r w:rsidRPr="003B3EF6">
        <w:rPr>
          <w:rFonts w:ascii="Times New Roman" w:hAnsi="Times New Roman" w:cs="Times New Roman"/>
          <w:sz w:val="28"/>
          <w:szCs w:val="28"/>
        </w:rPr>
        <w:t xml:space="preserve"> shows that significant returns to </w:t>
      </w:r>
      <w:r w:rsidR="00FA3794" w:rsidRPr="003B3EF6">
        <w:rPr>
          <w:rFonts w:ascii="Times New Roman" w:hAnsi="Times New Roman" w:cs="Times New Roman"/>
          <w:sz w:val="28"/>
          <w:szCs w:val="28"/>
        </w:rPr>
        <w:t xml:space="preserve">primary </w:t>
      </w:r>
      <w:r w:rsidRPr="003B3EF6">
        <w:rPr>
          <w:rFonts w:ascii="Times New Roman" w:hAnsi="Times New Roman" w:cs="Times New Roman"/>
          <w:sz w:val="28"/>
          <w:szCs w:val="28"/>
        </w:rPr>
        <w:t>education only generally occ</w:t>
      </w:r>
      <w:r w:rsidR="00846C6E" w:rsidRPr="003B3EF6">
        <w:rPr>
          <w:rFonts w:ascii="Times New Roman" w:hAnsi="Times New Roman" w:cs="Times New Roman"/>
          <w:sz w:val="28"/>
          <w:szCs w:val="28"/>
        </w:rPr>
        <w:t>ur in tho</w:t>
      </w:r>
      <w:r w:rsidRPr="003B3EF6">
        <w:rPr>
          <w:rFonts w:ascii="Times New Roman" w:hAnsi="Times New Roman" w:cs="Times New Roman"/>
          <w:sz w:val="28"/>
          <w:szCs w:val="28"/>
        </w:rPr>
        <w:t>se contexts whe</w:t>
      </w:r>
      <w:r w:rsidR="00846C6E" w:rsidRPr="003B3EF6">
        <w:rPr>
          <w:rFonts w:ascii="Times New Roman" w:hAnsi="Times New Roman" w:cs="Times New Roman"/>
          <w:sz w:val="28"/>
          <w:szCs w:val="28"/>
        </w:rPr>
        <w:t>re</w:t>
      </w:r>
      <w:r w:rsidRPr="003B3EF6">
        <w:rPr>
          <w:rFonts w:ascii="Times New Roman" w:hAnsi="Times New Roman" w:cs="Times New Roman"/>
          <w:sz w:val="28"/>
          <w:szCs w:val="28"/>
        </w:rPr>
        <w:t xml:space="preserve"> farmers are modernising their agricultural practices. Similar conclusions apply to non-farm informal sector employment. </w:t>
      </w:r>
    </w:p>
    <w:p w:rsidR="006814E1" w:rsidRPr="0056077D" w:rsidRDefault="0056077D" w:rsidP="003133DF">
      <w:pPr>
        <w:spacing w:line="360" w:lineRule="auto"/>
        <w:rPr>
          <w:rFonts w:ascii="Times New Roman" w:hAnsi="Times New Roman" w:cs="Times New Roman"/>
          <w:i/>
          <w:sz w:val="28"/>
          <w:szCs w:val="28"/>
        </w:rPr>
      </w:pPr>
      <w:r>
        <w:rPr>
          <w:rFonts w:ascii="Times New Roman" w:hAnsi="Times New Roman" w:cs="Times New Roman"/>
          <w:i/>
          <w:sz w:val="28"/>
          <w:szCs w:val="28"/>
        </w:rPr>
        <w:t>6</w:t>
      </w:r>
      <w:r w:rsidR="00B4324E" w:rsidRPr="0056077D">
        <w:rPr>
          <w:rFonts w:ascii="Times New Roman" w:hAnsi="Times New Roman" w:cs="Times New Roman"/>
          <w:i/>
          <w:sz w:val="28"/>
          <w:szCs w:val="28"/>
        </w:rPr>
        <w:t>.3</w:t>
      </w:r>
      <w:r w:rsidR="006814E1" w:rsidRPr="0056077D">
        <w:rPr>
          <w:rFonts w:ascii="Times New Roman" w:hAnsi="Times New Roman" w:cs="Times New Roman"/>
          <w:i/>
          <w:sz w:val="28"/>
          <w:szCs w:val="28"/>
        </w:rPr>
        <w:t xml:space="preserve"> </w:t>
      </w:r>
      <w:r w:rsidR="00B4324E" w:rsidRPr="0056077D">
        <w:rPr>
          <w:rFonts w:ascii="Times New Roman" w:hAnsi="Times New Roman" w:cs="Times New Roman"/>
          <w:i/>
          <w:sz w:val="28"/>
          <w:szCs w:val="28"/>
        </w:rPr>
        <w:t>Private r</w:t>
      </w:r>
      <w:r w:rsidR="006814E1" w:rsidRPr="0056077D">
        <w:rPr>
          <w:rFonts w:ascii="Times New Roman" w:hAnsi="Times New Roman" w:cs="Times New Roman"/>
          <w:i/>
          <w:sz w:val="28"/>
          <w:szCs w:val="28"/>
        </w:rPr>
        <w:t>ates of returns to education</w:t>
      </w:r>
    </w:p>
    <w:p w:rsidR="00EA6CE0" w:rsidRPr="003B3EF6" w:rsidRDefault="0099170E" w:rsidP="003133DF">
      <w:pPr>
        <w:spacing w:line="360" w:lineRule="auto"/>
        <w:jc w:val="both"/>
        <w:rPr>
          <w:rFonts w:ascii="Times New Roman" w:hAnsi="Times New Roman" w:cs="Times New Roman"/>
          <w:sz w:val="28"/>
          <w:szCs w:val="28"/>
        </w:rPr>
      </w:pPr>
      <w:r w:rsidRPr="003B3EF6">
        <w:rPr>
          <w:rFonts w:ascii="Times New Roman" w:hAnsi="Times New Roman" w:cs="Times New Roman"/>
          <w:i/>
          <w:sz w:val="28"/>
          <w:szCs w:val="28"/>
        </w:rPr>
        <w:t>RORE estimates</w:t>
      </w:r>
      <w:r w:rsidR="0056077D">
        <w:rPr>
          <w:rFonts w:ascii="Times New Roman" w:hAnsi="Times New Roman" w:cs="Times New Roman"/>
          <w:i/>
          <w:sz w:val="28"/>
          <w:szCs w:val="28"/>
        </w:rPr>
        <w:t xml:space="preserve">: </w:t>
      </w:r>
      <w:r w:rsidR="00A25DB5" w:rsidRPr="003B3EF6">
        <w:rPr>
          <w:rFonts w:ascii="Times New Roman" w:hAnsi="Times New Roman" w:cs="Times New Roman"/>
          <w:sz w:val="28"/>
          <w:szCs w:val="28"/>
        </w:rPr>
        <w:t xml:space="preserve">Robust estimates of rates of return to education (ROREs) are </w:t>
      </w:r>
      <w:r w:rsidR="0056077D">
        <w:rPr>
          <w:rFonts w:ascii="Times New Roman" w:hAnsi="Times New Roman" w:cs="Times New Roman"/>
          <w:sz w:val="28"/>
          <w:szCs w:val="28"/>
        </w:rPr>
        <w:t xml:space="preserve">notoriously </w:t>
      </w:r>
      <w:r w:rsidR="00A25DB5" w:rsidRPr="003B3EF6">
        <w:rPr>
          <w:rFonts w:ascii="Times New Roman" w:hAnsi="Times New Roman" w:cs="Times New Roman"/>
          <w:sz w:val="28"/>
          <w:szCs w:val="28"/>
        </w:rPr>
        <w:t xml:space="preserve">difficult to calculate. </w:t>
      </w:r>
      <w:r w:rsidR="00FA3794" w:rsidRPr="003B3EF6">
        <w:rPr>
          <w:rFonts w:ascii="Times New Roman" w:hAnsi="Times New Roman" w:cs="Times New Roman"/>
          <w:sz w:val="28"/>
          <w:szCs w:val="28"/>
        </w:rPr>
        <w:t xml:space="preserve">While </w:t>
      </w:r>
      <w:r w:rsidR="00A25DB5" w:rsidRPr="003B3EF6">
        <w:rPr>
          <w:rFonts w:ascii="Times New Roman" w:hAnsi="Times New Roman" w:cs="Times New Roman"/>
          <w:sz w:val="28"/>
          <w:szCs w:val="28"/>
        </w:rPr>
        <w:t xml:space="preserve">many country estimates </w:t>
      </w:r>
      <w:r w:rsidR="00FA3794" w:rsidRPr="003B3EF6">
        <w:rPr>
          <w:rFonts w:ascii="Times New Roman" w:hAnsi="Times New Roman" w:cs="Times New Roman"/>
          <w:sz w:val="28"/>
          <w:szCs w:val="28"/>
        </w:rPr>
        <w:t xml:space="preserve">in SSA </w:t>
      </w:r>
      <w:r w:rsidR="00A25DB5" w:rsidRPr="003B3EF6">
        <w:rPr>
          <w:rFonts w:ascii="Times New Roman" w:hAnsi="Times New Roman" w:cs="Times New Roman"/>
          <w:sz w:val="28"/>
          <w:szCs w:val="28"/>
        </w:rPr>
        <w:t>are also quite dated</w:t>
      </w:r>
      <w:r w:rsidR="00FA3794" w:rsidRPr="003B3EF6">
        <w:rPr>
          <w:rFonts w:ascii="Times New Roman" w:hAnsi="Times New Roman" w:cs="Times New Roman"/>
          <w:sz w:val="28"/>
          <w:szCs w:val="28"/>
        </w:rPr>
        <w:t xml:space="preserve">, </w:t>
      </w:r>
      <w:r w:rsidR="00A25DB5" w:rsidRPr="003B3EF6">
        <w:rPr>
          <w:rFonts w:ascii="Times New Roman" w:hAnsi="Times New Roman" w:cs="Times New Roman"/>
          <w:sz w:val="28"/>
          <w:szCs w:val="28"/>
        </w:rPr>
        <w:t xml:space="preserve">they are still relevant since </w:t>
      </w:r>
      <w:r w:rsidR="00FA3794" w:rsidRPr="003B3EF6">
        <w:rPr>
          <w:rFonts w:ascii="Times New Roman" w:hAnsi="Times New Roman" w:cs="Times New Roman"/>
          <w:sz w:val="28"/>
          <w:szCs w:val="28"/>
        </w:rPr>
        <w:t xml:space="preserve">most </w:t>
      </w:r>
      <w:r w:rsidR="00A25DB5" w:rsidRPr="003B3EF6">
        <w:rPr>
          <w:rFonts w:ascii="Times New Roman" w:hAnsi="Times New Roman" w:cs="Times New Roman"/>
          <w:sz w:val="28"/>
          <w:szCs w:val="28"/>
        </w:rPr>
        <w:t xml:space="preserve">cover the period 10-15 years immediately after the start of the implementation of UPE. </w:t>
      </w:r>
    </w:p>
    <w:p w:rsidR="00846C6E" w:rsidRPr="003B3EF6" w:rsidRDefault="00A25DB5" w:rsidP="003133DF">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At a national level, the broad RORE pattern </w:t>
      </w:r>
      <w:r w:rsidR="00846C6E" w:rsidRPr="003B3EF6">
        <w:rPr>
          <w:rFonts w:ascii="Times New Roman" w:hAnsi="Times New Roman" w:cs="Times New Roman"/>
          <w:sz w:val="28"/>
          <w:szCs w:val="28"/>
        </w:rPr>
        <w:t xml:space="preserve">clearly </w:t>
      </w:r>
      <w:r w:rsidRPr="003B3EF6">
        <w:rPr>
          <w:rFonts w:ascii="Times New Roman" w:hAnsi="Times New Roman" w:cs="Times New Roman"/>
          <w:sz w:val="28"/>
          <w:szCs w:val="28"/>
        </w:rPr>
        <w:t xml:space="preserve">shows the very high differentials which </w:t>
      </w:r>
      <w:r w:rsidR="00AD2805" w:rsidRPr="003B3EF6">
        <w:rPr>
          <w:rFonts w:ascii="Times New Roman" w:hAnsi="Times New Roman" w:cs="Times New Roman"/>
          <w:sz w:val="28"/>
          <w:szCs w:val="28"/>
        </w:rPr>
        <w:t>e</w:t>
      </w:r>
      <w:r w:rsidRPr="003B3EF6">
        <w:rPr>
          <w:rFonts w:ascii="Times New Roman" w:hAnsi="Times New Roman" w:cs="Times New Roman"/>
          <w:sz w:val="28"/>
          <w:szCs w:val="28"/>
        </w:rPr>
        <w:t>xi</w:t>
      </w:r>
      <w:r w:rsidR="00AD2805" w:rsidRPr="003B3EF6">
        <w:rPr>
          <w:rFonts w:ascii="Times New Roman" w:hAnsi="Times New Roman" w:cs="Times New Roman"/>
          <w:sz w:val="28"/>
          <w:szCs w:val="28"/>
        </w:rPr>
        <w:t>st between basic education (primary and lower secondary</w:t>
      </w:r>
      <w:r w:rsidR="00C33527" w:rsidRPr="003B3EF6">
        <w:rPr>
          <w:rFonts w:ascii="Times New Roman" w:hAnsi="Times New Roman" w:cs="Times New Roman"/>
          <w:sz w:val="28"/>
          <w:szCs w:val="28"/>
        </w:rPr>
        <w:t>),</w:t>
      </w:r>
      <w:r w:rsidR="00AD2805" w:rsidRPr="003B3EF6">
        <w:rPr>
          <w:rFonts w:ascii="Times New Roman" w:hAnsi="Times New Roman" w:cs="Times New Roman"/>
          <w:sz w:val="28"/>
          <w:szCs w:val="28"/>
        </w:rPr>
        <w:t xml:space="preserve"> on one hand, and post-basic education, on the other. In Table </w:t>
      </w:r>
      <w:r w:rsidR="007327EC">
        <w:rPr>
          <w:rFonts w:ascii="Times New Roman" w:hAnsi="Times New Roman" w:cs="Times New Roman"/>
          <w:sz w:val="28"/>
          <w:szCs w:val="28"/>
        </w:rPr>
        <w:t>9</w:t>
      </w:r>
      <w:r w:rsidR="00AD2805" w:rsidRPr="003B3EF6">
        <w:rPr>
          <w:rFonts w:ascii="Times New Roman" w:hAnsi="Times New Roman" w:cs="Times New Roman"/>
          <w:sz w:val="28"/>
          <w:szCs w:val="28"/>
        </w:rPr>
        <w:t xml:space="preserve">, it can be observed that the basic-tertiary </w:t>
      </w:r>
      <w:r w:rsidR="003B13E8" w:rsidRPr="003B3EF6">
        <w:rPr>
          <w:rFonts w:ascii="Times New Roman" w:hAnsi="Times New Roman" w:cs="Times New Roman"/>
          <w:sz w:val="28"/>
          <w:szCs w:val="28"/>
        </w:rPr>
        <w:t xml:space="preserve">education </w:t>
      </w:r>
      <w:r w:rsidR="00AD2805" w:rsidRPr="003B3EF6">
        <w:rPr>
          <w:rFonts w:ascii="Times New Roman" w:hAnsi="Times New Roman" w:cs="Times New Roman"/>
          <w:sz w:val="28"/>
          <w:szCs w:val="28"/>
        </w:rPr>
        <w:t xml:space="preserve">differential is between three-six hundred percent in all but two of the 11 countries in SSA for which there are RORE estimates. </w:t>
      </w:r>
      <w:r w:rsidR="003B13E8" w:rsidRPr="003B3EF6">
        <w:rPr>
          <w:rFonts w:ascii="Times New Roman" w:hAnsi="Times New Roman" w:cs="Times New Roman"/>
          <w:sz w:val="28"/>
          <w:szCs w:val="28"/>
        </w:rPr>
        <w:t xml:space="preserve">Reliable time series data is not available, but it is certainly no longer the case that </w:t>
      </w:r>
      <w:r w:rsidR="003B13E8" w:rsidRPr="003B3EF6">
        <w:rPr>
          <w:rFonts w:ascii="Times New Roman" w:hAnsi="Times New Roman" w:cs="Times New Roman"/>
          <w:sz w:val="28"/>
          <w:szCs w:val="28"/>
        </w:rPr>
        <w:lastRenderedPageBreak/>
        <w:t>ROREs to primary education are higher than those for secondary and tertiary as was widely contended in the 1990s and 2000s (see Psacharopolous</w:t>
      </w:r>
      <w:r w:rsidR="00275570" w:rsidRPr="003B3EF6">
        <w:rPr>
          <w:rFonts w:ascii="Times New Roman" w:hAnsi="Times New Roman" w:cs="Times New Roman"/>
          <w:sz w:val="28"/>
          <w:szCs w:val="28"/>
        </w:rPr>
        <w:t>, 1994</w:t>
      </w:r>
      <w:r w:rsidR="003B13E8" w:rsidRPr="003B3EF6">
        <w:rPr>
          <w:rFonts w:ascii="Times New Roman" w:hAnsi="Times New Roman" w:cs="Times New Roman"/>
          <w:sz w:val="28"/>
          <w:szCs w:val="28"/>
        </w:rPr>
        <w:t>)</w:t>
      </w:r>
      <w:r w:rsidR="007A7948">
        <w:rPr>
          <w:rStyle w:val="FootnoteReference"/>
          <w:rFonts w:ascii="Times New Roman" w:hAnsi="Times New Roman" w:cs="Times New Roman"/>
          <w:sz w:val="28"/>
          <w:szCs w:val="28"/>
        </w:rPr>
        <w:footnoteReference w:id="38"/>
      </w:r>
      <w:r w:rsidR="003B13E8" w:rsidRPr="003B3EF6">
        <w:rPr>
          <w:rFonts w:ascii="Times New Roman" w:hAnsi="Times New Roman" w:cs="Times New Roman"/>
          <w:sz w:val="28"/>
          <w:szCs w:val="28"/>
        </w:rPr>
        <w:t xml:space="preserve">. Adjusting basic education ROREs downward to take into account the </w:t>
      </w:r>
      <w:r w:rsidR="00CB3C84" w:rsidRPr="003B3EF6">
        <w:rPr>
          <w:rFonts w:ascii="Times New Roman" w:hAnsi="Times New Roman" w:cs="Times New Roman"/>
          <w:sz w:val="28"/>
          <w:szCs w:val="28"/>
        </w:rPr>
        <w:t xml:space="preserve">much </w:t>
      </w:r>
      <w:r w:rsidR="003B13E8" w:rsidRPr="003B3EF6">
        <w:rPr>
          <w:rFonts w:ascii="Times New Roman" w:hAnsi="Times New Roman" w:cs="Times New Roman"/>
          <w:sz w:val="28"/>
          <w:szCs w:val="28"/>
        </w:rPr>
        <w:t xml:space="preserve">lower incomes in rural areas </w:t>
      </w:r>
      <w:r w:rsidR="00846C6E" w:rsidRPr="003B3EF6">
        <w:rPr>
          <w:rFonts w:ascii="Times New Roman" w:hAnsi="Times New Roman" w:cs="Times New Roman"/>
          <w:sz w:val="28"/>
          <w:szCs w:val="28"/>
        </w:rPr>
        <w:t xml:space="preserve">and in self-employment </w:t>
      </w:r>
      <w:r w:rsidR="003B13E8" w:rsidRPr="003B3EF6">
        <w:rPr>
          <w:rFonts w:ascii="Times New Roman" w:hAnsi="Times New Roman" w:cs="Times New Roman"/>
          <w:sz w:val="28"/>
          <w:szCs w:val="28"/>
        </w:rPr>
        <w:t xml:space="preserve">and the decreasing </w:t>
      </w:r>
      <w:r w:rsidR="00CB3C84" w:rsidRPr="003B3EF6">
        <w:rPr>
          <w:rFonts w:ascii="Times New Roman" w:hAnsi="Times New Roman" w:cs="Times New Roman"/>
          <w:sz w:val="28"/>
          <w:szCs w:val="28"/>
        </w:rPr>
        <w:t xml:space="preserve">(actual and subjective) probabilities </w:t>
      </w:r>
      <w:r w:rsidR="003B13E8" w:rsidRPr="003B3EF6">
        <w:rPr>
          <w:rFonts w:ascii="Times New Roman" w:hAnsi="Times New Roman" w:cs="Times New Roman"/>
          <w:sz w:val="28"/>
          <w:szCs w:val="28"/>
        </w:rPr>
        <w:t>of finding formal sector employment would increase these differentials still further.</w:t>
      </w:r>
    </w:p>
    <w:tbl>
      <w:tblPr>
        <w:tblW w:w="5901" w:type="dxa"/>
        <w:tblLook w:val="04A0" w:firstRow="1" w:lastRow="0" w:firstColumn="1" w:lastColumn="0" w:noHBand="0" w:noVBand="1"/>
      </w:tblPr>
      <w:tblGrid>
        <w:gridCol w:w="2068"/>
        <w:gridCol w:w="891"/>
        <w:gridCol w:w="1736"/>
        <w:gridCol w:w="1141"/>
        <w:gridCol w:w="222"/>
      </w:tblGrid>
      <w:tr w:rsidR="00F71C7F" w:rsidRPr="00F71C7F" w:rsidTr="00F71C7F">
        <w:trPr>
          <w:trHeight w:val="300"/>
        </w:trPr>
        <w:tc>
          <w:tcPr>
            <w:tcW w:w="5901" w:type="dxa"/>
            <w:gridSpan w:val="5"/>
            <w:tcBorders>
              <w:top w:val="nil"/>
              <w:left w:val="nil"/>
              <w:bottom w:val="nil"/>
              <w:right w:val="nil"/>
            </w:tcBorders>
            <w:shd w:val="clear" w:color="auto" w:fill="auto"/>
            <w:noWrap/>
            <w:vAlign w:val="bottom"/>
            <w:hideMark/>
          </w:tcPr>
          <w:p w:rsidR="00F71C7F" w:rsidRPr="00F71C7F" w:rsidRDefault="00F71C7F" w:rsidP="00F71C7F">
            <w:pPr>
              <w:spacing w:after="0" w:line="240" w:lineRule="auto"/>
              <w:rPr>
                <w:rFonts w:ascii="Calibri" w:eastAsia="Times New Roman" w:hAnsi="Calibri" w:cs="Calibri"/>
                <w:b/>
                <w:bCs/>
                <w:color w:val="5F735C"/>
                <w:lang w:eastAsia="en-GB"/>
              </w:rPr>
            </w:pPr>
            <w:r w:rsidRPr="00F71C7F">
              <w:rPr>
                <w:rFonts w:ascii="Calibri" w:eastAsia="Times New Roman" w:hAnsi="Calibri" w:cs="Calibri"/>
                <w:b/>
                <w:bCs/>
                <w:color w:val="5F735C"/>
                <w:lang w:eastAsia="en-GB"/>
              </w:rPr>
              <w:t xml:space="preserve">Table 9: Private rates of return to education by education level </w:t>
            </w:r>
          </w:p>
        </w:tc>
      </w:tr>
      <w:tr w:rsidR="00F71C7F" w:rsidRPr="00F71C7F" w:rsidTr="00F71C7F">
        <w:trPr>
          <w:trHeight w:val="320"/>
        </w:trPr>
        <w:tc>
          <w:tcPr>
            <w:tcW w:w="5836" w:type="dxa"/>
            <w:gridSpan w:val="4"/>
            <w:tcBorders>
              <w:top w:val="nil"/>
              <w:left w:val="nil"/>
              <w:bottom w:val="nil"/>
              <w:right w:val="nil"/>
            </w:tcBorders>
            <w:shd w:val="clear" w:color="auto" w:fill="auto"/>
            <w:noWrap/>
            <w:vAlign w:val="bottom"/>
            <w:hideMark/>
          </w:tcPr>
          <w:p w:rsidR="00F71C7F" w:rsidRPr="00F71C7F" w:rsidRDefault="00F71C7F" w:rsidP="00F71C7F">
            <w:pPr>
              <w:spacing w:after="0" w:line="240" w:lineRule="auto"/>
              <w:rPr>
                <w:rFonts w:ascii="Calibri" w:eastAsia="Times New Roman" w:hAnsi="Calibri" w:cs="Calibri"/>
                <w:b/>
                <w:bCs/>
                <w:color w:val="5F735C"/>
                <w:lang w:eastAsia="en-GB"/>
              </w:rPr>
            </w:pPr>
            <w:r w:rsidRPr="00F71C7F">
              <w:rPr>
                <w:rFonts w:ascii="Calibri" w:eastAsia="Times New Roman" w:hAnsi="Calibri" w:cs="Calibri"/>
                <w:b/>
                <w:bCs/>
                <w:color w:val="5F735C"/>
                <w:lang w:eastAsia="en-GB"/>
              </w:rPr>
              <w:t>in selected countries in SSA (rounded percentages)</w:t>
            </w:r>
          </w:p>
        </w:tc>
        <w:tc>
          <w:tcPr>
            <w:tcW w:w="65"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rPr>
                <w:rFonts w:ascii="Calibri" w:eastAsia="Times New Roman" w:hAnsi="Calibri" w:cs="Calibri"/>
                <w:b/>
                <w:bCs/>
                <w:color w:val="5F735C"/>
                <w:lang w:eastAsia="en-GB"/>
              </w:rPr>
            </w:pPr>
          </w:p>
        </w:tc>
      </w:tr>
      <w:tr w:rsidR="00F71C7F" w:rsidRPr="00F71C7F" w:rsidTr="00F71C7F">
        <w:trPr>
          <w:trHeight w:val="300"/>
        </w:trPr>
        <w:tc>
          <w:tcPr>
            <w:tcW w:w="2068" w:type="dxa"/>
            <w:tcBorders>
              <w:top w:val="single" w:sz="8" w:space="0" w:color="auto"/>
              <w:left w:val="single" w:sz="8" w:space="0" w:color="auto"/>
              <w:bottom w:val="nil"/>
              <w:right w:val="nil"/>
            </w:tcBorders>
            <w:shd w:val="clear" w:color="auto" w:fill="auto"/>
            <w:noWrap/>
            <w:vAlign w:val="bottom"/>
            <w:hideMark/>
          </w:tcPr>
          <w:p w:rsidR="00F71C7F" w:rsidRPr="00F71C7F" w:rsidRDefault="00F71C7F" w:rsidP="00F71C7F">
            <w:pPr>
              <w:spacing w:after="0" w:line="240" w:lineRule="auto"/>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891" w:type="dxa"/>
            <w:tcBorders>
              <w:top w:val="single" w:sz="8" w:space="0" w:color="auto"/>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1736" w:type="dxa"/>
            <w:tcBorders>
              <w:top w:val="single" w:sz="8" w:space="0" w:color="auto"/>
              <w:left w:val="single" w:sz="4" w:space="0" w:color="FFFFFF"/>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Upper</w:t>
            </w:r>
          </w:p>
        </w:tc>
        <w:tc>
          <w:tcPr>
            <w:tcW w:w="1141" w:type="dxa"/>
            <w:tcBorders>
              <w:top w:val="single" w:sz="8" w:space="0" w:color="auto"/>
              <w:left w:val="nil"/>
              <w:bottom w:val="nil"/>
              <w:right w:val="single" w:sz="8" w:space="0" w:color="auto"/>
            </w:tcBorders>
            <w:shd w:val="clear" w:color="auto" w:fill="auto"/>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 </w:t>
            </w:r>
          </w:p>
        </w:tc>
        <w:tc>
          <w:tcPr>
            <w:tcW w:w="65"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p>
        </w:tc>
      </w:tr>
      <w:tr w:rsidR="00F71C7F" w:rsidRPr="00F71C7F" w:rsidTr="00F71C7F">
        <w:trPr>
          <w:trHeight w:val="300"/>
        </w:trPr>
        <w:tc>
          <w:tcPr>
            <w:tcW w:w="2068" w:type="dxa"/>
            <w:tcBorders>
              <w:top w:val="single" w:sz="4" w:space="0" w:color="FFFFFF"/>
              <w:left w:val="single" w:sz="8" w:space="0" w:color="auto"/>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Country</w:t>
            </w:r>
          </w:p>
        </w:tc>
        <w:tc>
          <w:tcPr>
            <w:tcW w:w="891" w:type="dxa"/>
            <w:tcBorders>
              <w:top w:val="single" w:sz="4" w:space="0" w:color="FFFFFF"/>
              <w:left w:val="nil"/>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Basic</w:t>
            </w:r>
          </w:p>
        </w:tc>
        <w:tc>
          <w:tcPr>
            <w:tcW w:w="1736" w:type="dxa"/>
            <w:tcBorders>
              <w:top w:val="nil"/>
              <w:left w:val="nil"/>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secondary</w:t>
            </w:r>
          </w:p>
        </w:tc>
        <w:tc>
          <w:tcPr>
            <w:tcW w:w="1141" w:type="dxa"/>
            <w:tcBorders>
              <w:top w:val="single" w:sz="4" w:space="0" w:color="FFFFFF"/>
              <w:left w:val="nil"/>
              <w:bottom w:val="single" w:sz="4" w:space="0" w:color="FFFFFF"/>
              <w:right w:val="single" w:sz="8" w:space="0" w:color="auto"/>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Higher</w:t>
            </w:r>
          </w:p>
        </w:tc>
        <w:tc>
          <w:tcPr>
            <w:tcW w:w="65"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p>
        </w:tc>
      </w:tr>
      <w:tr w:rsidR="00F71C7F" w:rsidRPr="00F71C7F" w:rsidTr="00F71C7F">
        <w:trPr>
          <w:trHeight w:val="300"/>
        </w:trPr>
        <w:tc>
          <w:tcPr>
            <w:tcW w:w="2068" w:type="dxa"/>
            <w:tcBorders>
              <w:top w:val="nil"/>
              <w:left w:val="single" w:sz="8" w:space="0" w:color="auto"/>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Burundi</w:t>
            </w:r>
          </w:p>
        </w:tc>
        <w:tc>
          <w:tcPr>
            <w:tcW w:w="891"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11</w:t>
            </w:r>
          </w:p>
        </w:tc>
        <w:tc>
          <w:tcPr>
            <w:tcW w:w="1736"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16</w:t>
            </w:r>
          </w:p>
        </w:tc>
        <w:tc>
          <w:tcPr>
            <w:tcW w:w="1141" w:type="dxa"/>
            <w:tcBorders>
              <w:top w:val="nil"/>
              <w:left w:val="nil"/>
              <w:bottom w:val="single" w:sz="4" w:space="0" w:color="FFFFFF"/>
              <w:right w:val="single" w:sz="8"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39</w:t>
            </w:r>
          </w:p>
        </w:tc>
        <w:tc>
          <w:tcPr>
            <w:tcW w:w="65"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p>
        </w:tc>
      </w:tr>
      <w:tr w:rsidR="00F71C7F" w:rsidRPr="00F71C7F" w:rsidTr="00F71C7F">
        <w:trPr>
          <w:trHeight w:val="300"/>
        </w:trPr>
        <w:tc>
          <w:tcPr>
            <w:tcW w:w="2068" w:type="dxa"/>
            <w:tcBorders>
              <w:top w:val="nil"/>
              <w:left w:val="single" w:sz="8" w:space="0" w:color="auto"/>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Ghana</w:t>
            </w:r>
          </w:p>
        </w:tc>
        <w:tc>
          <w:tcPr>
            <w:tcW w:w="891"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11</w:t>
            </w:r>
          </w:p>
        </w:tc>
        <w:tc>
          <w:tcPr>
            <w:tcW w:w="1736"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13</w:t>
            </w:r>
          </w:p>
        </w:tc>
        <w:tc>
          <w:tcPr>
            <w:tcW w:w="1141" w:type="dxa"/>
            <w:tcBorders>
              <w:top w:val="nil"/>
              <w:left w:val="nil"/>
              <w:bottom w:val="single" w:sz="4" w:space="0" w:color="FFFFFF"/>
              <w:right w:val="single" w:sz="8"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31</w:t>
            </w:r>
          </w:p>
        </w:tc>
        <w:tc>
          <w:tcPr>
            <w:tcW w:w="65"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p>
        </w:tc>
      </w:tr>
      <w:tr w:rsidR="00F71C7F" w:rsidRPr="00F71C7F" w:rsidTr="00F71C7F">
        <w:trPr>
          <w:trHeight w:val="300"/>
        </w:trPr>
        <w:tc>
          <w:tcPr>
            <w:tcW w:w="2068" w:type="dxa"/>
            <w:tcBorders>
              <w:top w:val="nil"/>
              <w:left w:val="single" w:sz="8" w:space="0" w:color="auto"/>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Mali</w:t>
            </w:r>
          </w:p>
        </w:tc>
        <w:tc>
          <w:tcPr>
            <w:tcW w:w="891"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11</w:t>
            </w:r>
          </w:p>
        </w:tc>
        <w:tc>
          <w:tcPr>
            <w:tcW w:w="1736"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59</w:t>
            </w:r>
          </w:p>
        </w:tc>
        <w:tc>
          <w:tcPr>
            <w:tcW w:w="1141" w:type="dxa"/>
            <w:tcBorders>
              <w:top w:val="nil"/>
              <w:left w:val="nil"/>
              <w:bottom w:val="single" w:sz="4" w:space="0" w:color="FFFFFF"/>
              <w:right w:val="single" w:sz="8"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7</w:t>
            </w:r>
          </w:p>
        </w:tc>
        <w:tc>
          <w:tcPr>
            <w:tcW w:w="65"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p>
        </w:tc>
      </w:tr>
      <w:tr w:rsidR="00F71C7F" w:rsidRPr="00F71C7F" w:rsidTr="00F71C7F">
        <w:trPr>
          <w:trHeight w:val="300"/>
        </w:trPr>
        <w:tc>
          <w:tcPr>
            <w:tcW w:w="2068" w:type="dxa"/>
            <w:tcBorders>
              <w:top w:val="nil"/>
              <w:left w:val="single" w:sz="8" w:space="0" w:color="auto"/>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Nigeria</w:t>
            </w:r>
          </w:p>
        </w:tc>
        <w:tc>
          <w:tcPr>
            <w:tcW w:w="891"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4</w:t>
            </w:r>
          </w:p>
        </w:tc>
        <w:tc>
          <w:tcPr>
            <w:tcW w:w="1736"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16</w:t>
            </w:r>
          </w:p>
        </w:tc>
        <w:tc>
          <w:tcPr>
            <w:tcW w:w="1141" w:type="dxa"/>
            <w:tcBorders>
              <w:top w:val="nil"/>
              <w:left w:val="nil"/>
              <w:bottom w:val="single" w:sz="4" w:space="0" w:color="FFFFFF"/>
              <w:right w:val="single" w:sz="8"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16</w:t>
            </w:r>
          </w:p>
        </w:tc>
        <w:tc>
          <w:tcPr>
            <w:tcW w:w="65"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p>
        </w:tc>
      </w:tr>
      <w:tr w:rsidR="00F71C7F" w:rsidRPr="00F71C7F" w:rsidTr="00F71C7F">
        <w:trPr>
          <w:trHeight w:val="300"/>
        </w:trPr>
        <w:tc>
          <w:tcPr>
            <w:tcW w:w="2068" w:type="dxa"/>
            <w:tcBorders>
              <w:top w:val="nil"/>
              <w:left w:val="single" w:sz="8" w:space="0" w:color="auto"/>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Rwanda</w:t>
            </w:r>
          </w:p>
        </w:tc>
        <w:tc>
          <w:tcPr>
            <w:tcW w:w="891"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20</w:t>
            </w:r>
          </w:p>
        </w:tc>
        <w:tc>
          <w:tcPr>
            <w:tcW w:w="1736"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54</w:t>
            </w:r>
          </w:p>
        </w:tc>
        <w:tc>
          <w:tcPr>
            <w:tcW w:w="1141" w:type="dxa"/>
            <w:tcBorders>
              <w:top w:val="nil"/>
              <w:left w:val="nil"/>
              <w:bottom w:val="single" w:sz="4" w:space="0" w:color="FFFFFF"/>
              <w:right w:val="single" w:sz="8"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33</w:t>
            </w:r>
          </w:p>
        </w:tc>
        <w:tc>
          <w:tcPr>
            <w:tcW w:w="65"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p>
        </w:tc>
      </w:tr>
      <w:tr w:rsidR="00F71C7F" w:rsidRPr="00F71C7F" w:rsidTr="00F71C7F">
        <w:trPr>
          <w:trHeight w:val="300"/>
        </w:trPr>
        <w:tc>
          <w:tcPr>
            <w:tcW w:w="2068" w:type="dxa"/>
            <w:tcBorders>
              <w:top w:val="nil"/>
              <w:left w:val="single" w:sz="8" w:space="0" w:color="auto"/>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South Africa</w:t>
            </w:r>
          </w:p>
        </w:tc>
        <w:tc>
          <w:tcPr>
            <w:tcW w:w="891"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5</w:t>
            </w:r>
          </w:p>
        </w:tc>
        <w:tc>
          <w:tcPr>
            <w:tcW w:w="1736"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21</w:t>
            </w:r>
          </w:p>
        </w:tc>
        <w:tc>
          <w:tcPr>
            <w:tcW w:w="1141" w:type="dxa"/>
            <w:tcBorders>
              <w:top w:val="nil"/>
              <w:left w:val="nil"/>
              <w:bottom w:val="single" w:sz="4" w:space="0" w:color="FFFFFF"/>
              <w:right w:val="single" w:sz="8"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29</w:t>
            </w:r>
          </w:p>
        </w:tc>
        <w:tc>
          <w:tcPr>
            <w:tcW w:w="65"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p>
        </w:tc>
      </w:tr>
      <w:tr w:rsidR="00F71C7F" w:rsidRPr="00F71C7F" w:rsidTr="00F71C7F">
        <w:trPr>
          <w:trHeight w:val="300"/>
        </w:trPr>
        <w:tc>
          <w:tcPr>
            <w:tcW w:w="2068" w:type="dxa"/>
            <w:tcBorders>
              <w:top w:val="nil"/>
              <w:left w:val="single" w:sz="8" w:space="0" w:color="auto"/>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Sudan</w:t>
            </w:r>
          </w:p>
        </w:tc>
        <w:tc>
          <w:tcPr>
            <w:tcW w:w="891"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10</w:t>
            </w:r>
          </w:p>
        </w:tc>
        <w:tc>
          <w:tcPr>
            <w:tcW w:w="1736"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15</w:t>
            </w:r>
          </w:p>
        </w:tc>
        <w:tc>
          <w:tcPr>
            <w:tcW w:w="1141" w:type="dxa"/>
            <w:tcBorders>
              <w:top w:val="nil"/>
              <w:left w:val="nil"/>
              <w:bottom w:val="single" w:sz="4" w:space="0" w:color="FFFFFF"/>
              <w:right w:val="single" w:sz="8"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16</w:t>
            </w:r>
          </w:p>
        </w:tc>
        <w:tc>
          <w:tcPr>
            <w:tcW w:w="65"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p>
        </w:tc>
      </w:tr>
      <w:tr w:rsidR="00F71C7F" w:rsidRPr="00F71C7F" w:rsidTr="00F71C7F">
        <w:trPr>
          <w:trHeight w:val="300"/>
        </w:trPr>
        <w:tc>
          <w:tcPr>
            <w:tcW w:w="2068" w:type="dxa"/>
            <w:tcBorders>
              <w:top w:val="nil"/>
              <w:left w:val="single" w:sz="8" w:space="0" w:color="auto"/>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Tanzania</w:t>
            </w:r>
          </w:p>
        </w:tc>
        <w:tc>
          <w:tcPr>
            <w:tcW w:w="891"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8</w:t>
            </w:r>
          </w:p>
        </w:tc>
        <w:tc>
          <w:tcPr>
            <w:tcW w:w="1736"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59</w:t>
            </w:r>
          </w:p>
        </w:tc>
        <w:tc>
          <w:tcPr>
            <w:tcW w:w="1141" w:type="dxa"/>
            <w:tcBorders>
              <w:top w:val="nil"/>
              <w:left w:val="nil"/>
              <w:bottom w:val="single" w:sz="4" w:space="0" w:color="FFFFFF"/>
              <w:right w:val="single" w:sz="8"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41</w:t>
            </w:r>
          </w:p>
        </w:tc>
        <w:tc>
          <w:tcPr>
            <w:tcW w:w="65"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p>
        </w:tc>
      </w:tr>
      <w:tr w:rsidR="00F71C7F" w:rsidRPr="00F71C7F" w:rsidTr="00F71C7F">
        <w:trPr>
          <w:trHeight w:val="300"/>
        </w:trPr>
        <w:tc>
          <w:tcPr>
            <w:tcW w:w="2068" w:type="dxa"/>
            <w:tcBorders>
              <w:top w:val="nil"/>
              <w:left w:val="single" w:sz="8" w:space="0" w:color="auto"/>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Togo</w:t>
            </w:r>
          </w:p>
        </w:tc>
        <w:tc>
          <w:tcPr>
            <w:tcW w:w="891"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8</w:t>
            </w:r>
          </w:p>
        </w:tc>
        <w:tc>
          <w:tcPr>
            <w:tcW w:w="1736"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18</w:t>
            </w:r>
          </w:p>
        </w:tc>
        <w:tc>
          <w:tcPr>
            <w:tcW w:w="1141" w:type="dxa"/>
            <w:tcBorders>
              <w:top w:val="nil"/>
              <w:left w:val="nil"/>
              <w:bottom w:val="single" w:sz="4" w:space="0" w:color="FFFFFF"/>
              <w:right w:val="single" w:sz="8"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29</w:t>
            </w:r>
          </w:p>
        </w:tc>
        <w:tc>
          <w:tcPr>
            <w:tcW w:w="65"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p>
        </w:tc>
      </w:tr>
      <w:tr w:rsidR="00F71C7F" w:rsidRPr="00F71C7F" w:rsidTr="00F71C7F">
        <w:trPr>
          <w:trHeight w:val="320"/>
        </w:trPr>
        <w:tc>
          <w:tcPr>
            <w:tcW w:w="2068" w:type="dxa"/>
            <w:tcBorders>
              <w:top w:val="nil"/>
              <w:left w:val="single" w:sz="8" w:space="0" w:color="auto"/>
              <w:bottom w:val="single" w:sz="8" w:space="0" w:color="auto"/>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Uganda</w:t>
            </w:r>
          </w:p>
        </w:tc>
        <w:tc>
          <w:tcPr>
            <w:tcW w:w="891" w:type="dxa"/>
            <w:tcBorders>
              <w:top w:val="nil"/>
              <w:left w:val="nil"/>
              <w:bottom w:val="single" w:sz="8" w:space="0" w:color="auto"/>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8</w:t>
            </w:r>
          </w:p>
        </w:tc>
        <w:tc>
          <w:tcPr>
            <w:tcW w:w="1736" w:type="dxa"/>
            <w:tcBorders>
              <w:top w:val="nil"/>
              <w:left w:val="nil"/>
              <w:bottom w:val="single" w:sz="8" w:space="0" w:color="auto"/>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30</w:t>
            </w:r>
          </w:p>
        </w:tc>
        <w:tc>
          <w:tcPr>
            <w:tcW w:w="1141" w:type="dxa"/>
            <w:tcBorders>
              <w:top w:val="nil"/>
              <w:left w:val="nil"/>
              <w:bottom w:val="single" w:sz="8" w:space="0" w:color="auto"/>
              <w:right w:val="single" w:sz="8" w:space="0" w:color="auto"/>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30</w:t>
            </w:r>
          </w:p>
        </w:tc>
        <w:tc>
          <w:tcPr>
            <w:tcW w:w="65"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p>
        </w:tc>
      </w:tr>
      <w:tr w:rsidR="00F71C7F" w:rsidRPr="00F71C7F" w:rsidTr="00F71C7F">
        <w:trPr>
          <w:trHeight w:val="300"/>
        </w:trPr>
        <w:tc>
          <w:tcPr>
            <w:tcW w:w="5836" w:type="dxa"/>
            <w:gridSpan w:val="4"/>
            <w:tcBorders>
              <w:top w:val="nil"/>
              <w:left w:val="nil"/>
              <w:bottom w:val="nil"/>
              <w:right w:val="nil"/>
            </w:tcBorders>
            <w:shd w:val="clear" w:color="auto" w:fill="auto"/>
            <w:noWrap/>
            <w:vAlign w:val="bottom"/>
            <w:hideMark/>
          </w:tcPr>
          <w:p w:rsidR="00F71C7F" w:rsidRPr="00F71C7F" w:rsidRDefault="00F71C7F" w:rsidP="00F71C7F">
            <w:pPr>
              <w:spacing w:after="0" w:line="240" w:lineRule="auto"/>
              <w:rPr>
                <w:rFonts w:ascii="Calibri" w:eastAsia="Times New Roman" w:hAnsi="Calibri" w:cs="Calibri"/>
                <w:b/>
                <w:bCs/>
                <w:color w:val="5F735C"/>
                <w:lang w:eastAsia="en-GB"/>
              </w:rPr>
            </w:pPr>
            <w:r w:rsidRPr="00F71C7F">
              <w:rPr>
                <w:rFonts w:ascii="Calibri" w:eastAsia="Times New Roman" w:hAnsi="Calibri" w:cs="Calibri"/>
                <w:b/>
                <w:bCs/>
                <w:color w:val="5F735C"/>
                <w:lang w:eastAsia="en-GB"/>
              </w:rPr>
              <w:t>Notes: Elaborate RORE method (non-linear)</w:t>
            </w:r>
          </w:p>
        </w:tc>
        <w:tc>
          <w:tcPr>
            <w:tcW w:w="65"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rPr>
                <w:rFonts w:ascii="Calibri" w:eastAsia="Times New Roman" w:hAnsi="Calibri" w:cs="Calibri"/>
                <w:b/>
                <w:bCs/>
                <w:color w:val="5F735C"/>
                <w:lang w:eastAsia="en-GB"/>
              </w:rPr>
            </w:pPr>
          </w:p>
        </w:tc>
      </w:tr>
      <w:tr w:rsidR="00F71C7F" w:rsidRPr="00F71C7F" w:rsidTr="00F71C7F">
        <w:trPr>
          <w:trHeight w:val="300"/>
        </w:trPr>
        <w:tc>
          <w:tcPr>
            <w:tcW w:w="4695" w:type="dxa"/>
            <w:gridSpan w:val="3"/>
            <w:tcBorders>
              <w:top w:val="nil"/>
              <w:left w:val="nil"/>
              <w:bottom w:val="nil"/>
              <w:right w:val="nil"/>
            </w:tcBorders>
            <w:shd w:val="clear" w:color="auto" w:fill="auto"/>
            <w:noWrap/>
            <w:vAlign w:val="bottom"/>
            <w:hideMark/>
          </w:tcPr>
          <w:p w:rsidR="00F71C7F" w:rsidRPr="00F71C7F" w:rsidRDefault="00F71C7F" w:rsidP="00F71C7F">
            <w:pPr>
              <w:spacing w:after="0" w:line="240" w:lineRule="auto"/>
              <w:rPr>
                <w:rFonts w:ascii="Calibri" w:eastAsia="Times New Roman" w:hAnsi="Calibri" w:cs="Calibri"/>
                <w:b/>
                <w:bCs/>
                <w:color w:val="5F735C"/>
                <w:lang w:eastAsia="en-GB"/>
              </w:rPr>
            </w:pPr>
            <w:r w:rsidRPr="00F71C7F">
              <w:rPr>
                <w:rFonts w:ascii="Calibri" w:eastAsia="Times New Roman" w:hAnsi="Calibri" w:cs="Calibri"/>
                <w:b/>
                <w:bCs/>
                <w:color w:val="5F735C"/>
                <w:lang w:eastAsia="en-GB"/>
              </w:rPr>
              <w:t>Source: Barouni and Broecke, 2014.</w:t>
            </w:r>
          </w:p>
        </w:tc>
        <w:tc>
          <w:tcPr>
            <w:tcW w:w="1141"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rPr>
                <w:rFonts w:ascii="Calibri" w:eastAsia="Times New Roman" w:hAnsi="Calibri" w:cs="Calibri"/>
                <w:b/>
                <w:bCs/>
                <w:color w:val="5F735C"/>
                <w:lang w:eastAsia="en-GB"/>
              </w:rPr>
            </w:pPr>
          </w:p>
        </w:tc>
        <w:tc>
          <w:tcPr>
            <w:tcW w:w="65"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rPr>
                <w:rFonts w:ascii="Times New Roman" w:eastAsia="Times New Roman" w:hAnsi="Times New Roman" w:cs="Times New Roman"/>
                <w:sz w:val="20"/>
                <w:szCs w:val="20"/>
                <w:lang w:eastAsia="en-GB"/>
              </w:rPr>
            </w:pPr>
          </w:p>
        </w:tc>
      </w:tr>
    </w:tbl>
    <w:p w:rsidR="003C4646" w:rsidRDefault="003C4646" w:rsidP="003C4646">
      <w:pPr>
        <w:spacing w:line="360" w:lineRule="auto"/>
        <w:jc w:val="both"/>
        <w:rPr>
          <w:rFonts w:ascii="Times New Roman" w:hAnsi="Times New Roman" w:cs="Times New Roman"/>
          <w:sz w:val="28"/>
          <w:szCs w:val="28"/>
        </w:rPr>
      </w:pPr>
    </w:p>
    <w:p w:rsidR="003C4646" w:rsidRDefault="00CB3C84" w:rsidP="003C4646">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Other </w:t>
      </w:r>
      <w:r w:rsidR="00846C6E" w:rsidRPr="003B3EF6">
        <w:rPr>
          <w:rFonts w:ascii="Times New Roman" w:hAnsi="Times New Roman" w:cs="Times New Roman"/>
          <w:sz w:val="28"/>
          <w:szCs w:val="28"/>
        </w:rPr>
        <w:t>sup</w:t>
      </w:r>
      <w:r w:rsidR="007D6EEB" w:rsidRPr="003B3EF6">
        <w:rPr>
          <w:rFonts w:ascii="Times New Roman" w:hAnsi="Times New Roman" w:cs="Times New Roman"/>
          <w:sz w:val="28"/>
          <w:szCs w:val="28"/>
        </w:rPr>
        <w:t xml:space="preserve">portive </w:t>
      </w:r>
      <w:r w:rsidRPr="003B3EF6">
        <w:rPr>
          <w:rFonts w:ascii="Times New Roman" w:hAnsi="Times New Roman" w:cs="Times New Roman"/>
          <w:sz w:val="28"/>
          <w:szCs w:val="28"/>
        </w:rPr>
        <w:t xml:space="preserve">evidence comes from the ILO School-to-Work Transition surveys which were conducted in </w:t>
      </w:r>
      <w:r w:rsidR="007D6EEB" w:rsidRPr="003B3EF6">
        <w:rPr>
          <w:rFonts w:ascii="Times New Roman" w:hAnsi="Times New Roman" w:cs="Times New Roman"/>
          <w:sz w:val="28"/>
          <w:szCs w:val="28"/>
        </w:rPr>
        <w:t xml:space="preserve">eight </w:t>
      </w:r>
      <w:r w:rsidR="00FA3794" w:rsidRPr="003B3EF6">
        <w:rPr>
          <w:rFonts w:ascii="Times New Roman" w:hAnsi="Times New Roman" w:cs="Times New Roman"/>
          <w:sz w:val="28"/>
          <w:szCs w:val="28"/>
        </w:rPr>
        <w:t>countries in SSA</w:t>
      </w:r>
      <w:r w:rsidRPr="003B3EF6">
        <w:rPr>
          <w:rFonts w:ascii="Times New Roman" w:hAnsi="Times New Roman" w:cs="Times New Roman"/>
          <w:sz w:val="28"/>
          <w:szCs w:val="28"/>
        </w:rPr>
        <w:t xml:space="preserve"> be</w:t>
      </w:r>
      <w:r w:rsidR="00FA3794" w:rsidRPr="003B3EF6">
        <w:rPr>
          <w:rFonts w:ascii="Times New Roman" w:hAnsi="Times New Roman" w:cs="Times New Roman"/>
          <w:sz w:val="28"/>
          <w:szCs w:val="28"/>
        </w:rPr>
        <w:t>t</w:t>
      </w:r>
      <w:r w:rsidRPr="003B3EF6">
        <w:rPr>
          <w:rFonts w:ascii="Times New Roman" w:hAnsi="Times New Roman" w:cs="Times New Roman"/>
          <w:sz w:val="28"/>
          <w:szCs w:val="28"/>
        </w:rPr>
        <w:t>ween 2013 and 2015</w:t>
      </w:r>
      <w:r w:rsidR="00772CCA" w:rsidRPr="003B3EF6">
        <w:rPr>
          <w:rFonts w:ascii="Times New Roman" w:hAnsi="Times New Roman" w:cs="Times New Roman"/>
          <w:sz w:val="28"/>
          <w:szCs w:val="28"/>
        </w:rPr>
        <w:t xml:space="preserve"> (see Table </w:t>
      </w:r>
      <w:r w:rsidR="007327EC">
        <w:rPr>
          <w:rFonts w:ascii="Times New Roman" w:hAnsi="Times New Roman" w:cs="Times New Roman"/>
          <w:sz w:val="28"/>
          <w:szCs w:val="28"/>
        </w:rPr>
        <w:t>10</w:t>
      </w:r>
      <w:r w:rsidR="00772CCA" w:rsidRPr="003B3EF6">
        <w:rPr>
          <w:rFonts w:ascii="Times New Roman" w:hAnsi="Times New Roman" w:cs="Times New Roman"/>
          <w:sz w:val="28"/>
          <w:szCs w:val="28"/>
        </w:rPr>
        <w:t>)</w:t>
      </w:r>
      <w:r w:rsidRPr="003B3EF6">
        <w:rPr>
          <w:rFonts w:ascii="Times New Roman" w:hAnsi="Times New Roman" w:cs="Times New Roman"/>
          <w:sz w:val="28"/>
          <w:szCs w:val="28"/>
        </w:rPr>
        <w:t>.</w:t>
      </w:r>
      <w:r w:rsidR="007D6EEB" w:rsidRPr="003B3EF6">
        <w:rPr>
          <w:rFonts w:ascii="Times New Roman" w:hAnsi="Times New Roman" w:cs="Times New Roman"/>
          <w:sz w:val="28"/>
          <w:szCs w:val="28"/>
        </w:rPr>
        <w:t xml:space="preserve"> The clear pattern</w:t>
      </w:r>
      <w:r w:rsidR="00130996">
        <w:rPr>
          <w:rStyle w:val="FootnoteReference"/>
          <w:rFonts w:ascii="Times New Roman" w:hAnsi="Times New Roman" w:cs="Times New Roman"/>
          <w:sz w:val="28"/>
          <w:szCs w:val="28"/>
        </w:rPr>
        <w:footnoteReference w:id="39"/>
      </w:r>
      <w:r w:rsidR="007D6EEB" w:rsidRPr="003B3EF6">
        <w:rPr>
          <w:rFonts w:ascii="Times New Roman" w:hAnsi="Times New Roman" w:cs="Times New Roman"/>
          <w:sz w:val="28"/>
          <w:szCs w:val="28"/>
        </w:rPr>
        <w:t xml:space="preserve"> </w:t>
      </w:r>
      <w:r w:rsidR="00772CCA" w:rsidRPr="003B3EF6">
        <w:rPr>
          <w:rFonts w:ascii="Times New Roman" w:hAnsi="Times New Roman" w:cs="Times New Roman"/>
          <w:sz w:val="28"/>
          <w:szCs w:val="28"/>
        </w:rPr>
        <w:t xml:space="preserve">which emerges from these surveys </w:t>
      </w:r>
      <w:r w:rsidR="007D6EEB" w:rsidRPr="003B3EF6">
        <w:rPr>
          <w:rFonts w:ascii="Times New Roman" w:hAnsi="Times New Roman" w:cs="Times New Roman"/>
          <w:sz w:val="28"/>
          <w:szCs w:val="28"/>
        </w:rPr>
        <w:t>with respect</w:t>
      </w:r>
      <w:r w:rsidR="003C4646">
        <w:rPr>
          <w:rFonts w:ascii="Times New Roman" w:hAnsi="Times New Roman" w:cs="Times New Roman"/>
          <w:sz w:val="28"/>
          <w:szCs w:val="28"/>
        </w:rPr>
        <w:t xml:space="preserve"> </w:t>
      </w:r>
      <w:r w:rsidR="003C4646" w:rsidRPr="003B3EF6">
        <w:rPr>
          <w:rFonts w:ascii="Times New Roman" w:hAnsi="Times New Roman" w:cs="Times New Roman"/>
          <w:sz w:val="28"/>
          <w:szCs w:val="28"/>
        </w:rPr>
        <w:t xml:space="preserve">to income differentials between educational levels is as follows: (i) In half of the countries, mean incomes earned by youth with no education are higher than </w:t>
      </w:r>
      <w:r w:rsidR="003C4646" w:rsidRPr="003B3EF6">
        <w:rPr>
          <w:rFonts w:ascii="Times New Roman" w:hAnsi="Times New Roman" w:cs="Times New Roman"/>
          <w:sz w:val="28"/>
          <w:szCs w:val="28"/>
        </w:rPr>
        <w:lastRenderedPageBreak/>
        <w:t xml:space="preserve">earned by youth with primary education. The </w:t>
      </w:r>
      <w:r w:rsidR="003C4646">
        <w:rPr>
          <w:rFonts w:ascii="Times New Roman" w:hAnsi="Times New Roman" w:cs="Times New Roman"/>
          <w:sz w:val="28"/>
          <w:szCs w:val="28"/>
        </w:rPr>
        <w:t>never attended school</w:t>
      </w:r>
      <w:r w:rsidR="003C4646" w:rsidRPr="003B3EF6">
        <w:rPr>
          <w:rFonts w:ascii="Times New Roman" w:hAnsi="Times New Roman" w:cs="Times New Roman"/>
          <w:sz w:val="28"/>
          <w:szCs w:val="28"/>
        </w:rPr>
        <w:t xml:space="preserve">-primary education income differential is positive and reasonably large in the remaining four countries. (ii) Secondary-primary education income differentials are generally quite small; and </w:t>
      </w:r>
      <w:r w:rsidR="00A9060A">
        <w:rPr>
          <w:rFonts w:ascii="Times New Roman" w:hAnsi="Times New Roman" w:cs="Times New Roman"/>
          <w:sz w:val="28"/>
          <w:szCs w:val="28"/>
        </w:rPr>
        <w:t>(iii) T</w:t>
      </w:r>
      <w:r w:rsidR="003C4646" w:rsidRPr="003B3EF6">
        <w:rPr>
          <w:rFonts w:ascii="Times New Roman" w:hAnsi="Times New Roman" w:cs="Times New Roman"/>
          <w:sz w:val="28"/>
          <w:szCs w:val="28"/>
        </w:rPr>
        <w:t xml:space="preserve">ertiary-secondary education differentials are general much higher. </w:t>
      </w:r>
    </w:p>
    <w:tbl>
      <w:tblPr>
        <w:tblW w:w="9401" w:type="dxa"/>
        <w:tblLook w:val="04A0" w:firstRow="1" w:lastRow="0" w:firstColumn="1" w:lastColumn="0" w:noHBand="0" w:noVBand="1"/>
      </w:tblPr>
      <w:tblGrid>
        <w:gridCol w:w="2806"/>
        <w:gridCol w:w="2932"/>
        <w:gridCol w:w="1649"/>
        <w:gridCol w:w="1792"/>
        <w:gridCol w:w="222"/>
      </w:tblGrid>
      <w:tr w:rsidR="00F71C7F" w:rsidRPr="00F71C7F" w:rsidTr="003C4646">
        <w:trPr>
          <w:trHeight w:val="300"/>
        </w:trPr>
        <w:tc>
          <w:tcPr>
            <w:tcW w:w="9401" w:type="dxa"/>
            <w:gridSpan w:val="5"/>
            <w:tcBorders>
              <w:top w:val="nil"/>
              <w:left w:val="nil"/>
              <w:bottom w:val="nil"/>
              <w:right w:val="nil"/>
            </w:tcBorders>
            <w:shd w:val="clear" w:color="auto" w:fill="auto"/>
            <w:noWrap/>
            <w:vAlign w:val="bottom"/>
            <w:hideMark/>
          </w:tcPr>
          <w:p w:rsidR="00F71C7F" w:rsidRPr="00F71C7F" w:rsidRDefault="00F71C7F" w:rsidP="00F71C7F">
            <w:pPr>
              <w:spacing w:after="0" w:line="240" w:lineRule="auto"/>
              <w:rPr>
                <w:rFonts w:ascii="Calibri" w:eastAsia="Times New Roman" w:hAnsi="Calibri" w:cs="Calibri"/>
                <w:b/>
                <w:bCs/>
                <w:color w:val="5F735C"/>
                <w:lang w:eastAsia="en-GB"/>
              </w:rPr>
            </w:pPr>
            <w:r w:rsidRPr="00F71C7F">
              <w:rPr>
                <w:rFonts w:ascii="Calibri" w:eastAsia="Times New Roman" w:hAnsi="Calibri" w:cs="Calibri"/>
                <w:b/>
                <w:bCs/>
                <w:color w:val="5F735C"/>
                <w:lang w:eastAsia="en-GB"/>
              </w:rPr>
              <w:t xml:space="preserve">Table 10: Mean monthly wage income differentials between education levels among youth </w:t>
            </w:r>
          </w:p>
        </w:tc>
      </w:tr>
      <w:tr w:rsidR="00F71C7F" w:rsidRPr="00F71C7F" w:rsidTr="003C4646">
        <w:trPr>
          <w:trHeight w:val="300"/>
        </w:trPr>
        <w:tc>
          <w:tcPr>
            <w:tcW w:w="9401" w:type="dxa"/>
            <w:gridSpan w:val="5"/>
            <w:tcBorders>
              <w:top w:val="nil"/>
              <w:left w:val="nil"/>
              <w:bottom w:val="nil"/>
              <w:right w:val="nil"/>
            </w:tcBorders>
            <w:shd w:val="clear" w:color="auto" w:fill="auto"/>
            <w:noWrap/>
            <w:vAlign w:val="bottom"/>
            <w:hideMark/>
          </w:tcPr>
          <w:p w:rsidR="00F71C7F" w:rsidRPr="00F71C7F" w:rsidRDefault="00F71C7F" w:rsidP="00F71C7F">
            <w:pPr>
              <w:spacing w:after="0" w:line="240" w:lineRule="auto"/>
              <w:rPr>
                <w:rFonts w:ascii="Calibri" w:eastAsia="Times New Roman" w:hAnsi="Calibri" w:cs="Calibri"/>
                <w:b/>
                <w:bCs/>
                <w:color w:val="5F735C"/>
                <w:lang w:eastAsia="en-GB"/>
              </w:rPr>
            </w:pPr>
            <w:r w:rsidRPr="00F71C7F">
              <w:rPr>
                <w:rFonts w:ascii="Calibri" w:eastAsia="Times New Roman" w:hAnsi="Calibri" w:cs="Calibri"/>
                <w:b/>
                <w:bCs/>
                <w:color w:val="5F735C"/>
                <w:lang w:eastAsia="en-GB"/>
              </w:rPr>
              <w:t>in ILO School-to-Work Transition survey countries, 2013-2015 (rounded percentages)</w:t>
            </w:r>
          </w:p>
        </w:tc>
      </w:tr>
      <w:tr w:rsidR="00F71C7F" w:rsidRPr="00F71C7F" w:rsidTr="003C4646">
        <w:trPr>
          <w:trHeight w:val="300"/>
        </w:trPr>
        <w:tc>
          <w:tcPr>
            <w:tcW w:w="2806" w:type="dxa"/>
            <w:tcBorders>
              <w:top w:val="nil"/>
              <w:left w:val="single" w:sz="4" w:space="0" w:color="FFFFFF"/>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 </w:t>
            </w:r>
          </w:p>
        </w:tc>
        <w:tc>
          <w:tcPr>
            <w:tcW w:w="2932" w:type="dxa"/>
            <w:tcBorders>
              <w:top w:val="nil"/>
              <w:left w:val="nil"/>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Less than primary-</w:t>
            </w:r>
          </w:p>
        </w:tc>
        <w:tc>
          <w:tcPr>
            <w:tcW w:w="1649" w:type="dxa"/>
            <w:tcBorders>
              <w:top w:val="nil"/>
              <w:left w:val="nil"/>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Primary-</w:t>
            </w:r>
          </w:p>
        </w:tc>
        <w:tc>
          <w:tcPr>
            <w:tcW w:w="1792" w:type="dxa"/>
            <w:tcBorders>
              <w:top w:val="nil"/>
              <w:left w:val="nil"/>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Secondary-</w:t>
            </w:r>
          </w:p>
        </w:tc>
        <w:tc>
          <w:tcPr>
            <w:tcW w:w="222"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p>
        </w:tc>
      </w:tr>
      <w:tr w:rsidR="00F71C7F" w:rsidRPr="00F71C7F" w:rsidTr="003C4646">
        <w:trPr>
          <w:trHeight w:val="300"/>
        </w:trPr>
        <w:tc>
          <w:tcPr>
            <w:tcW w:w="2806" w:type="dxa"/>
            <w:tcBorders>
              <w:top w:val="nil"/>
              <w:left w:val="single" w:sz="4" w:space="0" w:color="FFFFFF"/>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Country</w:t>
            </w:r>
          </w:p>
        </w:tc>
        <w:tc>
          <w:tcPr>
            <w:tcW w:w="2932" w:type="dxa"/>
            <w:tcBorders>
              <w:top w:val="nil"/>
              <w:left w:val="nil"/>
              <w:bottom w:val="single" w:sz="4" w:space="0" w:color="FFFFFF"/>
              <w:right w:val="single" w:sz="4" w:space="0" w:color="FFFFFF"/>
            </w:tcBorders>
            <w:shd w:val="clear" w:color="000000" w:fill="49723B"/>
            <w:noWrap/>
            <w:vAlign w:val="bottom"/>
            <w:hideMark/>
          </w:tcPr>
          <w:p w:rsidR="00F71C7F" w:rsidRPr="00F71C7F" w:rsidRDefault="0056077D"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P</w:t>
            </w:r>
            <w:r w:rsidR="00F71C7F" w:rsidRPr="00F71C7F">
              <w:rPr>
                <w:rFonts w:ascii="Calibri" w:eastAsia="Times New Roman" w:hAnsi="Calibri" w:cs="Calibri"/>
                <w:b/>
                <w:bCs/>
                <w:color w:val="FFFFFF"/>
                <w:lang w:eastAsia="en-GB"/>
              </w:rPr>
              <w:t>rimary</w:t>
            </w:r>
          </w:p>
        </w:tc>
        <w:tc>
          <w:tcPr>
            <w:tcW w:w="1649" w:type="dxa"/>
            <w:tcBorders>
              <w:top w:val="nil"/>
              <w:left w:val="nil"/>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secondary</w:t>
            </w:r>
          </w:p>
        </w:tc>
        <w:tc>
          <w:tcPr>
            <w:tcW w:w="1792" w:type="dxa"/>
            <w:tcBorders>
              <w:top w:val="nil"/>
              <w:left w:val="nil"/>
              <w:bottom w:val="single" w:sz="4" w:space="0" w:color="FFFFFF"/>
              <w:right w:val="single" w:sz="4" w:space="0" w:color="FFFFFF"/>
            </w:tcBorders>
            <w:shd w:val="clear" w:color="000000" w:fill="49723B"/>
            <w:noWrap/>
            <w:vAlign w:val="bottom"/>
            <w:hideMark/>
          </w:tcPr>
          <w:p w:rsidR="00F71C7F" w:rsidRPr="00F71C7F" w:rsidRDefault="000140CE"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T</w:t>
            </w:r>
            <w:r w:rsidR="00F71C7F" w:rsidRPr="00F71C7F">
              <w:rPr>
                <w:rFonts w:ascii="Calibri" w:eastAsia="Times New Roman" w:hAnsi="Calibri" w:cs="Calibri"/>
                <w:b/>
                <w:bCs/>
                <w:color w:val="FFFFFF"/>
                <w:lang w:eastAsia="en-GB"/>
              </w:rPr>
              <w:t>ertiary</w:t>
            </w:r>
          </w:p>
        </w:tc>
        <w:tc>
          <w:tcPr>
            <w:tcW w:w="222"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p>
        </w:tc>
      </w:tr>
      <w:tr w:rsidR="00F71C7F" w:rsidRPr="00F71C7F" w:rsidTr="003C4646">
        <w:trPr>
          <w:trHeight w:val="300"/>
        </w:trPr>
        <w:tc>
          <w:tcPr>
            <w:tcW w:w="2806" w:type="dxa"/>
            <w:tcBorders>
              <w:top w:val="nil"/>
              <w:left w:val="single" w:sz="4" w:space="0" w:color="FFFFFF"/>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Benin</w:t>
            </w:r>
          </w:p>
        </w:tc>
        <w:tc>
          <w:tcPr>
            <w:tcW w:w="2932"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81</w:t>
            </w:r>
          </w:p>
        </w:tc>
        <w:tc>
          <w:tcPr>
            <w:tcW w:w="1649"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-14</w:t>
            </w:r>
          </w:p>
        </w:tc>
        <w:tc>
          <w:tcPr>
            <w:tcW w:w="1792"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108</w:t>
            </w:r>
          </w:p>
        </w:tc>
        <w:tc>
          <w:tcPr>
            <w:tcW w:w="222"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p>
        </w:tc>
      </w:tr>
      <w:tr w:rsidR="00F71C7F" w:rsidRPr="00F71C7F" w:rsidTr="003C4646">
        <w:trPr>
          <w:trHeight w:val="300"/>
        </w:trPr>
        <w:tc>
          <w:tcPr>
            <w:tcW w:w="2806" w:type="dxa"/>
            <w:tcBorders>
              <w:top w:val="nil"/>
              <w:left w:val="single" w:sz="4" w:space="0" w:color="FFFFFF"/>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Congo-Brazzaville</w:t>
            </w:r>
          </w:p>
        </w:tc>
        <w:tc>
          <w:tcPr>
            <w:tcW w:w="2932"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-8</w:t>
            </w:r>
          </w:p>
        </w:tc>
        <w:tc>
          <w:tcPr>
            <w:tcW w:w="1649"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25</w:t>
            </w:r>
          </w:p>
        </w:tc>
        <w:tc>
          <w:tcPr>
            <w:tcW w:w="1792"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59</w:t>
            </w:r>
          </w:p>
        </w:tc>
        <w:tc>
          <w:tcPr>
            <w:tcW w:w="222"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p>
        </w:tc>
      </w:tr>
      <w:tr w:rsidR="00F71C7F" w:rsidRPr="00F71C7F" w:rsidTr="003C4646">
        <w:trPr>
          <w:trHeight w:val="300"/>
        </w:trPr>
        <w:tc>
          <w:tcPr>
            <w:tcW w:w="2806" w:type="dxa"/>
            <w:tcBorders>
              <w:top w:val="nil"/>
              <w:left w:val="single" w:sz="4" w:space="0" w:color="FFFFFF"/>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Liberia</w:t>
            </w:r>
          </w:p>
        </w:tc>
        <w:tc>
          <w:tcPr>
            <w:tcW w:w="2932"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40</w:t>
            </w:r>
          </w:p>
        </w:tc>
        <w:tc>
          <w:tcPr>
            <w:tcW w:w="1649"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19</w:t>
            </w:r>
          </w:p>
        </w:tc>
        <w:tc>
          <w:tcPr>
            <w:tcW w:w="1792"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60</w:t>
            </w:r>
          </w:p>
        </w:tc>
        <w:tc>
          <w:tcPr>
            <w:tcW w:w="222"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p>
        </w:tc>
      </w:tr>
      <w:tr w:rsidR="00F71C7F" w:rsidRPr="00F71C7F" w:rsidTr="003C4646">
        <w:trPr>
          <w:trHeight w:val="300"/>
        </w:trPr>
        <w:tc>
          <w:tcPr>
            <w:tcW w:w="2806" w:type="dxa"/>
            <w:tcBorders>
              <w:top w:val="nil"/>
              <w:left w:val="single" w:sz="4" w:space="0" w:color="FFFFFF"/>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Malawi</w:t>
            </w:r>
          </w:p>
        </w:tc>
        <w:tc>
          <w:tcPr>
            <w:tcW w:w="2932"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-1</w:t>
            </w:r>
          </w:p>
        </w:tc>
        <w:tc>
          <w:tcPr>
            <w:tcW w:w="1649"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20</w:t>
            </w:r>
          </w:p>
        </w:tc>
        <w:tc>
          <w:tcPr>
            <w:tcW w:w="1792"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829</w:t>
            </w:r>
          </w:p>
        </w:tc>
        <w:tc>
          <w:tcPr>
            <w:tcW w:w="222"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p>
        </w:tc>
      </w:tr>
      <w:tr w:rsidR="00F71C7F" w:rsidRPr="00F71C7F" w:rsidTr="003C4646">
        <w:trPr>
          <w:trHeight w:val="300"/>
        </w:trPr>
        <w:tc>
          <w:tcPr>
            <w:tcW w:w="2806" w:type="dxa"/>
            <w:tcBorders>
              <w:top w:val="nil"/>
              <w:left w:val="single" w:sz="4" w:space="0" w:color="FFFFFF"/>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Tanzania</w:t>
            </w:r>
          </w:p>
        </w:tc>
        <w:tc>
          <w:tcPr>
            <w:tcW w:w="2932"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-155</w:t>
            </w:r>
          </w:p>
        </w:tc>
        <w:tc>
          <w:tcPr>
            <w:tcW w:w="1649"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229</w:t>
            </w:r>
          </w:p>
        </w:tc>
        <w:tc>
          <w:tcPr>
            <w:tcW w:w="1792"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77</w:t>
            </w:r>
          </w:p>
        </w:tc>
        <w:tc>
          <w:tcPr>
            <w:tcW w:w="222"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p>
        </w:tc>
      </w:tr>
      <w:tr w:rsidR="00F71C7F" w:rsidRPr="00F71C7F" w:rsidTr="003C4646">
        <w:trPr>
          <w:trHeight w:val="300"/>
        </w:trPr>
        <w:tc>
          <w:tcPr>
            <w:tcW w:w="2806" w:type="dxa"/>
            <w:tcBorders>
              <w:top w:val="nil"/>
              <w:left w:val="single" w:sz="4" w:space="0" w:color="FFFFFF"/>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Togo</w:t>
            </w:r>
          </w:p>
        </w:tc>
        <w:tc>
          <w:tcPr>
            <w:tcW w:w="2932"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43</w:t>
            </w:r>
          </w:p>
        </w:tc>
        <w:tc>
          <w:tcPr>
            <w:tcW w:w="1649"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78</w:t>
            </w:r>
          </w:p>
        </w:tc>
        <w:tc>
          <w:tcPr>
            <w:tcW w:w="1792"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-164</w:t>
            </w:r>
          </w:p>
        </w:tc>
        <w:tc>
          <w:tcPr>
            <w:tcW w:w="222"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p>
        </w:tc>
      </w:tr>
      <w:tr w:rsidR="00F71C7F" w:rsidRPr="00F71C7F" w:rsidTr="003C4646">
        <w:trPr>
          <w:trHeight w:val="300"/>
        </w:trPr>
        <w:tc>
          <w:tcPr>
            <w:tcW w:w="2806" w:type="dxa"/>
            <w:tcBorders>
              <w:top w:val="nil"/>
              <w:left w:val="single" w:sz="4" w:space="0" w:color="FFFFFF"/>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Uganda</w:t>
            </w:r>
          </w:p>
        </w:tc>
        <w:tc>
          <w:tcPr>
            <w:tcW w:w="2932"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103</w:t>
            </w:r>
          </w:p>
        </w:tc>
        <w:tc>
          <w:tcPr>
            <w:tcW w:w="1649"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-1</w:t>
            </w:r>
          </w:p>
        </w:tc>
        <w:tc>
          <w:tcPr>
            <w:tcW w:w="1792"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64</w:t>
            </w:r>
          </w:p>
        </w:tc>
        <w:tc>
          <w:tcPr>
            <w:tcW w:w="222"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p>
        </w:tc>
      </w:tr>
      <w:tr w:rsidR="00F71C7F" w:rsidRPr="00F71C7F" w:rsidTr="003C4646">
        <w:trPr>
          <w:trHeight w:val="300"/>
        </w:trPr>
        <w:tc>
          <w:tcPr>
            <w:tcW w:w="2806" w:type="dxa"/>
            <w:tcBorders>
              <w:top w:val="nil"/>
              <w:left w:val="single" w:sz="4" w:space="0" w:color="FFFFFF"/>
              <w:bottom w:val="single" w:sz="4" w:space="0" w:color="FFFFFF"/>
              <w:right w:val="single" w:sz="4" w:space="0" w:color="FFFFFF"/>
            </w:tcBorders>
            <w:shd w:val="clear" w:color="000000" w:fill="49723B"/>
            <w:noWrap/>
            <w:vAlign w:val="bottom"/>
            <w:hideMark/>
          </w:tcPr>
          <w:p w:rsidR="00F71C7F" w:rsidRPr="00F71C7F" w:rsidRDefault="00F71C7F" w:rsidP="00F71C7F">
            <w:pPr>
              <w:spacing w:after="0" w:line="240" w:lineRule="auto"/>
              <w:jc w:val="center"/>
              <w:rPr>
                <w:rFonts w:ascii="Calibri" w:eastAsia="Times New Roman" w:hAnsi="Calibri" w:cs="Calibri"/>
                <w:b/>
                <w:bCs/>
                <w:color w:val="FFFFFF"/>
                <w:lang w:eastAsia="en-GB"/>
              </w:rPr>
            </w:pPr>
            <w:r w:rsidRPr="00F71C7F">
              <w:rPr>
                <w:rFonts w:ascii="Calibri" w:eastAsia="Times New Roman" w:hAnsi="Calibri" w:cs="Calibri"/>
                <w:b/>
                <w:bCs/>
                <w:color w:val="FFFFFF"/>
                <w:lang w:eastAsia="en-GB"/>
              </w:rPr>
              <w:t>Zambia</w:t>
            </w:r>
          </w:p>
        </w:tc>
        <w:tc>
          <w:tcPr>
            <w:tcW w:w="2932"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56077D"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N</w:t>
            </w:r>
            <w:r w:rsidR="00F71C7F" w:rsidRPr="00F71C7F">
              <w:rPr>
                <w:rFonts w:ascii="Calibri" w:eastAsia="Times New Roman" w:hAnsi="Calibri" w:cs="Calibri"/>
                <w:color w:val="000000"/>
                <w:lang w:eastAsia="en-GB"/>
              </w:rPr>
              <w:t>a</w:t>
            </w:r>
          </w:p>
        </w:tc>
        <w:tc>
          <w:tcPr>
            <w:tcW w:w="1649"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62</w:t>
            </w:r>
          </w:p>
        </w:tc>
        <w:tc>
          <w:tcPr>
            <w:tcW w:w="1792" w:type="dxa"/>
            <w:tcBorders>
              <w:top w:val="nil"/>
              <w:left w:val="nil"/>
              <w:bottom w:val="single" w:sz="4" w:space="0" w:color="FFFFFF"/>
              <w:right w:val="single" w:sz="4" w:space="0" w:color="FFFFFF"/>
            </w:tcBorders>
            <w:shd w:val="clear" w:color="000000" w:fill="EFEAE6"/>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r w:rsidRPr="00F71C7F">
              <w:rPr>
                <w:rFonts w:ascii="Calibri" w:eastAsia="Times New Roman" w:hAnsi="Calibri" w:cs="Calibri"/>
                <w:color w:val="000000"/>
                <w:lang w:eastAsia="en-GB"/>
              </w:rPr>
              <w:t>389</w:t>
            </w:r>
          </w:p>
        </w:tc>
        <w:tc>
          <w:tcPr>
            <w:tcW w:w="222"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jc w:val="center"/>
              <w:rPr>
                <w:rFonts w:ascii="Calibri" w:eastAsia="Times New Roman" w:hAnsi="Calibri" w:cs="Calibri"/>
                <w:color w:val="000000"/>
                <w:lang w:eastAsia="en-GB"/>
              </w:rPr>
            </w:pPr>
          </w:p>
        </w:tc>
      </w:tr>
      <w:tr w:rsidR="00F71C7F" w:rsidRPr="00F71C7F" w:rsidTr="003C4646">
        <w:trPr>
          <w:trHeight w:val="300"/>
        </w:trPr>
        <w:tc>
          <w:tcPr>
            <w:tcW w:w="9401" w:type="dxa"/>
            <w:gridSpan w:val="5"/>
            <w:tcBorders>
              <w:top w:val="nil"/>
              <w:left w:val="nil"/>
              <w:bottom w:val="nil"/>
              <w:right w:val="nil"/>
            </w:tcBorders>
            <w:shd w:val="clear" w:color="auto" w:fill="auto"/>
            <w:noWrap/>
            <w:vAlign w:val="bottom"/>
            <w:hideMark/>
          </w:tcPr>
          <w:p w:rsidR="00F71C7F" w:rsidRPr="00F71C7F" w:rsidRDefault="00F71C7F" w:rsidP="00F71C7F">
            <w:pPr>
              <w:spacing w:after="0" w:line="240" w:lineRule="auto"/>
              <w:rPr>
                <w:rFonts w:ascii="Calibri" w:eastAsia="Times New Roman" w:hAnsi="Calibri" w:cs="Calibri"/>
                <w:b/>
                <w:bCs/>
                <w:color w:val="5F735C"/>
                <w:lang w:eastAsia="en-GB"/>
              </w:rPr>
            </w:pPr>
            <w:r w:rsidRPr="00F71C7F">
              <w:rPr>
                <w:rFonts w:ascii="Calibri" w:eastAsia="Times New Roman" w:hAnsi="Calibri" w:cs="Calibri"/>
                <w:b/>
                <w:bCs/>
                <w:color w:val="5F735C"/>
                <w:lang w:eastAsia="en-GB"/>
              </w:rPr>
              <w:t>N</w:t>
            </w:r>
            <w:r w:rsidR="00220498">
              <w:rPr>
                <w:rFonts w:ascii="Calibri" w:eastAsia="Times New Roman" w:hAnsi="Calibri" w:cs="Calibri"/>
                <w:b/>
                <w:bCs/>
                <w:color w:val="5F735C"/>
                <w:lang w:eastAsia="en-GB"/>
              </w:rPr>
              <w:t xml:space="preserve">ote: Youth are aged from 18-34. </w:t>
            </w:r>
            <w:r w:rsidRPr="00F71C7F">
              <w:rPr>
                <w:rFonts w:ascii="Calibri" w:eastAsia="Times New Roman" w:hAnsi="Calibri" w:cs="Calibri"/>
                <w:b/>
                <w:bCs/>
                <w:color w:val="5F735C"/>
                <w:lang w:eastAsia="en-GB"/>
              </w:rPr>
              <w:t>Benin and Uganda figures are for all employed persons</w:t>
            </w:r>
          </w:p>
        </w:tc>
      </w:tr>
      <w:tr w:rsidR="00F71C7F" w:rsidRPr="00F71C7F" w:rsidTr="003C4646">
        <w:trPr>
          <w:trHeight w:val="300"/>
        </w:trPr>
        <w:tc>
          <w:tcPr>
            <w:tcW w:w="2806"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rPr>
                <w:rFonts w:ascii="Calibri" w:eastAsia="Times New Roman" w:hAnsi="Calibri" w:cs="Calibri"/>
                <w:b/>
                <w:bCs/>
                <w:color w:val="5F735C"/>
                <w:lang w:eastAsia="en-GB"/>
              </w:rPr>
            </w:pPr>
            <w:r w:rsidRPr="00F71C7F">
              <w:rPr>
                <w:rFonts w:ascii="Calibri" w:eastAsia="Times New Roman" w:hAnsi="Calibri" w:cs="Calibri"/>
                <w:b/>
                <w:bCs/>
                <w:color w:val="5F735C"/>
                <w:lang w:eastAsia="en-GB"/>
              </w:rPr>
              <w:t>Source: ILO</w:t>
            </w:r>
          </w:p>
        </w:tc>
        <w:tc>
          <w:tcPr>
            <w:tcW w:w="2932"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rPr>
                <w:rFonts w:ascii="Calibri" w:eastAsia="Times New Roman" w:hAnsi="Calibri" w:cs="Calibri"/>
                <w:b/>
                <w:bCs/>
                <w:color w:val="5F735C"/>
                <w:lang w:eastAsia="en-GB"/>
              </w:rPr>
            </w:pPr>
          </w:p>
        </w:tc>
        <w:tc>
          <w:tcPr>
            <w:tcW w:w="1649"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rPr>
                <w:rFonts w:ascii="Times New Roman" w:eastAsia="Times New Roman" w:hAnsi="Times New Roman" w:cs="Times New Roman"/>
                <w:sz w:val="20"/>
                <w:szCs w:val="20"/>
                <w:lang w:eastAsia="en-GB"/>
              </w:rPr>
            </w:pPr>
          </w:p>
        </w:tc>
        <w:tc>
          <w:tcPr>
            <w:tcW w:w="1792"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rsidR="00F71C7F" w:rsidRPr="00F71C7F" w:rsidRDefault="00F71C7F" w:rsidP="00F71C7F">
            <w:pPr>
              <w:spacing w:after="0" w:line="240" w:lineRule="auto"/>
              <w:rPr>
                <w:rFonts w:ascii="Times New Roman" w:eastAsia="Times New Roman" w:hAnsi="Times New Roman" w:cs="Times New Roman"/>
                <w:sz w:val="20"/>
                <w:szCs w:val="20"/>
                <w:lang w:eastAsia="en-GB"/>
              </w:rPr>
            </w:pPr>
          </w:p>
        </w:tc>
      </w:tr>
    </w:tbl>
    <w:p w:rsidR="008D34E1" w:rsidRDefault="008D34E1" w:rsidP="00CF29FF">
      <w:pPr>
        <w:jc w:val="both"/>
        <w:rPr>
          <w:rFonts w:ascii="Times New Roman" w:hAnsi="Times New Roman" w:cs="Times New Roman"/>
          <w:i/>
          <w:sz w:val="28"/>
          <w:szCs w:val="28"/>
        </w:rPr>
      </w:pPr>
    </w:p>
    <w:p w:rsidR="0099170E" w:rsidRPr="003B3EF6" w:rsidRDefault="0099170E" w:rsidP="003133DF">
      <w:pPr>
        <w:spacing w:line="360" w:lineRule="auto"/>
        <w:jc w:val="both"/>
        <w:rPr>
          <w:rFonts w:ascii="Times New Roman" w:hAnsi="Times New Roman" w:cs="Times New Roman"/>
          <w:i/>
          <w:sz w:val="28"/>
          <w:szCs w:val="28"/>
        </w:rPr>
      </w:pPr>
      <w:r w:rsidRPr="003B3EF6">
        <w:rPr>
          <w:rFonts w:ascii="Times New Roman" w:hAnsi="Times New Roman" w:cs="Times New Roman"/>
          <w:i/>
          <w:sz w:val="28"/>
          <w:szCs w:val="28"/>
        </w:rPr>
        <w:t xml:space="preserve">The direct and indirect costs of </w:t>
      </w:r>
      <w:r w:rsidR="00F35A73" w:rsidRPr="003B3EF6">
        <w:rPr>
          <w:rFonts w:ascii="Times New Roman" w:hAnsi="Times New Roman" w:cs="Times New Roman"/>
          <w:i/>
          <w:sz w:val="28"/>
          <w:szCs w:val="28"/>
        </w:rPr>
        <w:t>primary education</w:t>
      </w:r>
    </w:p>
    <w:p w:rsidR="002D1F3F" w:rsidRPr="003B3EF6" w:rsidRDefault="002D1F3F" w:rsidP="003133DF">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Most research shows that the main reason for student drop out in primary schools in SSA is that it is ‘too expensive’</w:t>
      </w:r>
      <w:r w:rsidR="00846C6E" w:rsidRPr="003B3EF6">
        <w:rPr>
          <w:rFonts w:ascii="Times New Roman" w:hAnsi="Times New Roman" w:cs="Times New Roman"/>
          <w:sz w:val="28"/>
          <w:szCs w:val="28"/>
        </w:rPr>
        <w:t xml:space="preserve"> </w:t>
      </w:r>
      <w:r w:rsidR="006E40E9">
        <w:rPr>
          <w:rFonts w:ascii="Times New Roman" w:hAnsi="Times New Roman" w:cs="Times New Roman"/>
          <w:sz w:val="28"/>
          <w:szCs w:val="28"/>
        </w:rPr>
        <w:t xml:space="preserve">or ‘too costly’ </w:t>
      </w:r>
      <w:r w:rsidR="00846C6E" w:rsidRPr="003B3EF6">
        <w:rPr>
          <w:rFonts w:ascii="Times New Roman" w:hAnsi="Times New Roman" w:cs="Times New Roman"/>
          <w:sz w:val="28"/>
          <w:szCs w:val="28"/>
        </w:rPr>
        <w:t>(</w:t>
      </w:r>
      <w:r w:rsidR="006E40E9">
        <w:rPr>
          <w:rFonts w:ascii="Times New Roman" w:hAnsi="Times New Roman" w:cs="Times New Roman"/>
          <w:sz w:val="28"/>
          <w:szCs w:val="28"/>
        </w:rPr>
        <w:t>see Snilsveit et al. 2015</w:t>
      </w:r>
      <w:r w:rsidR="00846C6E" w:rsidRPr="003B3EF6">
        <w:rPr>
          <w:rFonts w:ascii="Times New Roman" w:hAnsi="Times New Roman" w:cs="Times New Roman"/>
          <w:sz w:val="28"/>
          <w:szCs w:val="28"/>
        </w:rPr>
        <w:t>)</w:t>
      </w:r>
      <w:r w:rsidRPr="003B3EF6">
        <w:rPr>
          <w:rFonts w:ascii="Times New Roman" w:hAnsi="Times New Roman" w:cs="Times New Roman"/>
          <w:sz w:val="28"/>
          <w:szCs w:val="28"/>
        </w:rPr>
        <w:t xml:space="preserve">. Given that direct schooling costs are </w:t>
      </w:r>
      <w:r w:rsidR="00275570" w:rsidRPr="003B3EF6">
        <w:rPr>
          <w:rFonts w:ascii="Times New Roman" w:hAnsi="Times New Roman" w:cs="Times New Roman"/>
          <w:sz w:val="28"/>
          <w:szCs w:val="28"/>
        </w:rPr>
        <w:t xml:space="preserve">small </w:t>
      </w:r>
      <w:r w:rsidRPr="003B3EF6">
        <w:rPr>
          <w:rFonts w:ascii="Times New Roman" w:hAnsi="Times New Roman" w:cs="Times New Roman"/>
          <w:sz w:val="28"/>
          <w:szCs w:val="28"/>
        </w:rPr>
        <w:t xml:space="preserve">in most rural schools, this is indicative of very low rates of return to primary education. Information collected by MICS and other household surveys </w:t>
      </w:r>
      <w:r w:rsidR="00E87B31" w:rsidRPr="003B3EF6">
        <w:rPr>
          <w:rFonts w:ascii="Times New Roman" w:hAnsi="Times New Roman" w:cs="Times New Roman"/>
          <w:sz w:val="28"/>
          <w:szCs w:val="28"/>
        </w:rPr>
        <w:t xml:space="preserve">also </w:t>
      </w:r>
      <w:r w:rsidRPr="003B3EF6">
        <w:rPr>
          <w:rFonts w:ascii="Times New Roman" w:hAnsi="Times New Roman" w:cs="Times New Roman"/>
          <w:sz w:val="28"/>
          <w:szCs w:val="28"/>
        </w:rPr>
        <w:t xml:space="preserve">indicate that household demand for child labour is unlikely to be a major contributory factor for </w:t>
      </w:r>
      <w:r w:rsidR="00E87B31" w:rsidRPr="003B3EF6">
        <w:rPr>
          <w:rFonts w:ascii="Times New Roman" w:hAnsi="Times New Roman" w:cs="Times New Roman"/>
          <w:sz w:val="28"/>
          <w:szCs w:val="28"/>
        </w:rPr>
        <w:t xml:space="preserve">primary school </w:t>
      </w:r>
      <w:r w:rsidR="00C33527" w:rsidRPr="003B3EF6">
        <w:rPr>
          <w:rFonts w:ascii="Times New Roman" w:hAnsi="Times New Roman" w:cs="Times New Roman"/>
          <w:sz w:val="28"/>
          <w:szCs w:val="28"/>
        </w:rPr>
        <w:t>dropout</w:t>
      </w:r>
      <w:r w:rsidR="00E87B31" w:rsidRPr="003B3EF6">
        <w:rPr>
          <w:rFonts w:ascii="Times New Roman" w:hAnsi="Times New Roman" w:cs="Times New Roman"/>
          <w:sz w:val="28"/>
          <w:szCs w:val="28"/>
        </w:rPr>
        <w:t xml:space="preserve">, certainly </w:t>
      </w:r>
      <w:r w:rsidR="005013BF" w:rsidRPr="003B3EF6">
        <w:rPr>
          <w:rFonts w:ascii="Times New Roman" w:hAnsi="Times New Roman" w:cs="Times New Roman"/>
          <w:sz w:val="28"/>
          <w:szCs w:val="28"/>
        </w:rPr>
        <w:t xml:space="preserve">not </w:t>
      </w:r>
      <w:r w:rsidRPr="003B3EF6">
        <w:rPr>
          <w:rFonts w:ascii="Times New Roman" w:hAnsi="Times New Roman" w:cs="Times New Roman"/>
          <w:sz w:val="28"/>
          <w:szCs w:val="28"/>
        </w:rPr>
        <w:t>at least up until early-mid adolescence</w:t>
      </w:r>
      <w:r w:rsidRPr="003B3EF6">
        <w:rPr>
          <w:rStyle w:val="FootnoteReference"/>
          <w:rFonts w:ascii="Times New Roman" w:hAnsi="Times New Roman" w:cs="Times New Roman"/>
          <w:sz w:val="28"/>
          <w:szCs w:val="28"/>
        </w:rPr>
        <w:footnoteReference w:id="40"/>
      </w:r>
      <w:r w:rsidRPr="003B3EF6">
        <w:rPr>
          <w:rFonts w:ascii="Times New Roman" w:hAnsi="Times New Roman" w:cs="Times New Roman"/>
          <w:sz w:val="28"/>
          <w:szCs w:val="28"/>
        </w:rPr>
        <w:t xml:space="preserve">.  </w:t>
      </w:r>
    </w:p>
    <w:p w:rsidR="003102D4" w:rsidRPr="003B3EF6" w:rsidRDefault="003102D4" w:rsidP="003133DF">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It is not </w:t>
      </w:r>
      <w:r w:rsidR="002D1F3F" w:rsidRPr="003B3EF6">
        <w:rPr>
          <w:rFonts w:ascii="Times New Roman" w:hAnsi="Times New Roman" w:cs="Times New Roman"/>
          <w:sz w:val="28"/>
          <w:szCs w:val="28"/>
        </w:rPr>
        <w:t xml:space="preserve">just </w:t>
      </w:r>
      <w:r w:rsidRPr="003B3EF6">
        <w:rPr>
          <w:rFonts w:ascii="Times New Roman" w:hAnsi="Times New Roman" w:cs="Times New Roman"/>
          <w:sz w:val="28"/>
          <w:szCs w:val="28"/>
        </w:rPr>
        <w:t xml:space="preserve">the </w:t>
      </w:r>
      <w:r w:rsidR="00E87B31" w:rsidRPr="003B3EF6">
        <w:rPr>
          <w:rFonts w:ascii="Times New Roman" w:hAnsi="Times New Roman" w:cs="Times New Roman"/>
          <w:sz w:val="28"/>
          <w:szCs w:val="28"/>
        </w:rPr>
        <w:t xml:space="preserve">immediate </w:t>
      </w:r>
      <w:r w:rsidRPr="003B3EF6">
        <w:rPr>
          <w:rFonts w:ascii="Times New Roman" w:hAnsi="Times New Roman" w:cs="Times New Roman"/>
          <w:sz w:val="28"/>
          <w:szCs w:val="28"/>
        </w:rPr>
        <w:t xml:space="preserve">direct </w:t>
      </w:r>
      <w:r w:rsidR="002D1F3F" w:rsidRPr="003B3EF6">
        <w:rPr>
          <w:rFonts w:ascii="Times New Roman" w:hAnsi="Times New Roman" w:cs="Times New Roman"/>
          <w:sz w:val="28"/>
          <w:szCs w:val="28"/>
        </w:rPr>
        <w:t xml:space="preserve">and indirect </w:t>
      </w:r>
      <w:r w:rsidRPr="003B3EF6">
        <w:rPr>
          <w:rFonts w:ascii="Times New Roman" w:hAnsi="Times New Roman" w:cs="Times New Roman"/>
          <w:sz w:val="28"/>
          <w:szCs w:val="28"/>
        </w:rPr>
        <w:t xml:space="preserve">costs of primary education that reduces the commitment of poor households to primary education but the typically much higher costs of secondary education. </w:t>
      </w:r>
      <w:r w:rsidR="00E87B31" w:rsidRPr="003B3EF6">
        <w:rPr>
          <w:rFonts w:ascii="Times New Roman" w:hAnsi="Times New Roman" w:cs="Times New Roman"/>
          <w:sz w:val="28"/>
          <w:szCs w:val="28"/>
        </w:rPr>
        <w:t>For most parents, t</w:t>
      </w:r>
      <w:r w:rsidRPr="003B3EF6">
        <w:rPr>
          <w:rFonts w:ascii="Times New Roman" w:hAnsi="Times New Roman" w:cs="Times New Roman"/>
          <w:sz w:val="28"/>
          <w:szCs w:val="28"/>
        </w:rPr>
        <w:t xml:space="preserve">here is </w:t>
      </w:r>
      <w:r w:rsidRPr="003B3EF6">
        <w:rPr>
          <w:rFonts w:ascii="Times New Roman" w:hAnsi="Times New Roman" w:cs="Times New Roman"/>
          <w:sz w:val="28"/>
          <w:szCs w:val="28"/>
        </w:rPr>
        <w:lastRenderedPageBreak/>
        <w:t xml:space="preserve">little point in investing time and resources in </w:t>
      </w:r>
      <w:r w:rsidR="00FA3794" w:rsidRPr="003B3EF6">
        <w:rPr>
          <w:rFonts w:ascii="Times New Roman" w:hAnsi="Times New Roman" w:cs="Times New Roman"/>
          <w:sz w:val="28"/>
          <w:szCs w:val="28"/>
        </w:rPr>
        <w:t>sending their chil</w:t>
      </w:r>
      <w:r w:rsidR="00E87B31" w:rsidRPr="003B3EF6">
        <w:rPr>
          <w:rFonts w:ascii="Times New Roman" w:hAnsi="Times New Roman" w:cs="Times New Roman"/>
          <w:sz w:val="28"/>
          <w:szCs w:val="28"/>
        </w:rPr>
        <w:t xml:space="preserve">dren to </w:t>
      </w:r>
      <w:r w:rsidRPr="003B3EF6">
        <w:rPr>
          <w:rFonts w:ascii="Times New Roman" w:hAnsi="Times New Roman" w:cs="Times New Roman"/>
          <w:sz w:val="28"/>
          <w:szCs w:val="28"/>
        </w:rPr>
        <w:t xml:space="preserve">primary </w:t>
      </w:r>
      <w:r w:rsidR="00E87B31" w:rsidRPr="003B3EF6">
        <w:rPr>
          <w:rFonts w:ascii="Times New Roman" w:hAnsi="Times New Roman" w:cs="Times New Roman"/>
          <w:sz w:val="28"/>
          <w:szCs w:val="28"/>
        </w:rPr>
        <w:t xml:space="preserve">school </w:t>
      </w:r>
      <w:r w:rsidRPr="003B3EF6">
        <w:rPr>
          <w:rFonts w:ascii="Times New Roman" w:hAnsi="Times New Roman" w:cs="Times New Roman"/>
          <w:sz w:val="28"/>
          <w:szCs w:val="28"/>
        </w:rPr>
        <w:t>if this does not lead to the</w:t>
      </w:r>
      <w:r w:rsidR="00E87B31" w:rsidRPr="003B3EF6">
        <w:rPr>
          <w:rFonts w:ascii="Times New Roman" w:hAnsi="Times New Roman" w:cs="Times New Roman"/>
          <w:sz w:val="28"/>
          <w:szCs w:val="28"/>
        </w:rPr>
        <w:t>ir</w:t>
      </w:r>
      <w:r w:rsidRPr="003B3EF6">
        <w:rPr>
          <w:rFonts w:ascii="Times New Roman" w:hAnsi="Times New Roman" w:cs="Times New Roman"/>
          <w:sz w:val="28"/>
          <w:szCs w:val="28"/>
        </w:rPr>
        <w:t xml:space="preserve"> subsequent enrolment and completion of secondary education. </w:t>
      </w:r>
      <w:r w:rsidR="00E87B31" w:rsidRPr="003B3EF6">
        <w:rPr>
          <w:rFonts w:ascii="Times New Roman" w:hAnsi="Times New Roman" w:cs="Times New Roman"/>
          <w:sz w:val="28"/>
          <w:szCs w:val="28"/>
        </w:rPr>
        <w:t>In other words, primary education should be treated as a joint product with secondary education</w:t>
      </w:r>
      <w:r w:rsidR="00B966A7" w:rsidRPr="003B3EF6">
        <w:rPr>
          <w:rStyle w:val="FootnoteReference"/>
          <w:rFonts w:ascii="Times New Roman" w:hAnsi="Times New Roman" w:cs="Times New Roman"/>
          <w:sz w:val="28"/>
          <w:szCs w:val="28"/>
        </w:rPr>
        <w:footnoteReference w:id="41"/>
      </w:r>
      <w:r w:rsidR="00E87B31" w:rsidRPr="003B3EF6">
        <w:rPr>
          <w:rFonts w:ascii="Times New Roman" w:hAnsi="Times New Roman" w:cs="Times New Roman"/>
          <w:sz w:val="28"/>
          <w:szCs w:val="28"/>
        </w:rPr>
        <w:t xml:space="preserve">. </w:t>
      </w:r>
    </w:p>
    <w:p w:rsidR="003375EE" w:rsidRPr="003B3EF6" w:rsidRDefault="00E87B31" w:rsidP="003133DF">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In addition, the potential</w:t>
      </w:r>
      <w:r w:rsidR="005013BF" w:rsidRPr="003B3EF6">
        <w:rPr>
          <w:rFonts w:ascii="Times New Roman" w:hAnsi="Times New Roman" w:cs="Times New Roman"/>
          <w:sz w:val="28"/>
          <w:szCs w:val="28"/>
        </w:rPr>
        <w:t>,</w:t>
      </w:r>
      <w:r w:rsidRPr="003B3EF6">
        <w:rPr>
          <w:rFonts w:ascii="Times New Roman" w:hAnsi="Times New Roman" w:cs="Times New Roman"/>
          <w:sz w:val="28"/>
          <w:szCs w:val="28"/>
        </w:rPr>
        <w:t xml:space="preserve"> longer-term impact</w:t>
      </w:r>
      <w:r w:rsidR="005013BF" w:rsidRPr="003B3EF6">
        <w:rPr>
          <w:rFonts w:ascii="Times New Roman" w:hAnsi="Times New Roman" w:cs="Times New Roman"/>
          <w:sz w:val="28"/>
          <w:szCs w:val="28"/>
        </w:rPr>
        <w:t>s</w:t>
      </w:r>
      <w:r w:rsidRPr="003B3EF6">
        <w:rPr>
          <w:rFonts w:ascii="Times New Roman" w:hAnsi="Times New Roman" w:cs="Times New Roman"/>
          <w:sz w:val="28"/>
          <w:szCs w:val="28"/>
        </w:rPr>
        <w:t xml:space="preserve"> of formal schooling may also be a major deterrent</w:t>
      </w:r>
      <w:r w:rsidR="00FA3794" w:rsidRPr="003B3EF6">
        <w:rPr>
          <w:rFonts w:ascii="Times New Roman" w:hAnsi="Times New Roman" w:cs="Times New Roman"/>
          <w:sz w:val="28"/>
          <w:szCs w:val="28"/>
        </w:rPr>
        <w:t xml:space="preserve"> among poor households</w:t>
      </w:r>
      <w:r w:rsidRPr="003B3EF6">
        <w:rPr>
          <w:rFonts w:ascii="Times New Roman" w:hAnsi="Times New Roman" w:cs="Times New Roman"/>
          <w:sz w:val="28"/>
          <w:szCs w:val="28"/>
        </w:rPr>
        <w:t xml:space="preserve">. </w:t>
      </w:r>
      <w:r w:rsidR="002C1DC3" w:rsidRPr="003B3EF6">
        <w:rPr>
          <w:rFonts w:ascii="Times New Roman" w:hAnsi="Times New Roman" w:cs="Times New Roman"/>
          <w:sz w:val="28"/>
          <w:szCs w:val="28"/>
        </w:rPr>
        <w:t>T</w:t>
      </w:r>
      <w:r w:rsidRPr="003B3EF6">
        <w:rPr>
          <w:rFonts w:ascii="Times New Roman" w:hAnsi="Times New Roman" w:cs="Times New Roman"/>
          <w:sz w:val="28"/>
          <w:szCs w:val="28"/>
        </w:rPr>
        <w:t xml:space="preserve">he perceived parental returns to primary education could be significantly negative if </w:t>
      </w:r>
      <w:r w:rsidR="002C1DC3" w:rsidRPr="003B3EF6">
        <w:rPr>
          <w:rFonts w:ascii="Times New Roman" w:hAnsi="Times New Roman" w:cs="Times New Roman"/>
          <w:sz w:val="28"/>
          <w:szCs w:val="28"/>
        </w:rPr>
        <w:t xml:space="preserve">this </w:t>
      </w:r>
      <w:r w:rsidRPr="003B3EF6">
        <w:rPr>
          <w:rFonts w:ascii="Times New Roman" w:hAnsi="Times New Roman" w:cs="Times New Roman"/>
          <w:sz w:val="28"/>
          <w:szCs w:val="28"/>
        </w:rPr>
        <w:t xml:space="preserve">schooling results in </w:t>
      </w:r>
      <w:r w:rsidR="005013BF" w:rsidRPr="003B3EF6">
        <w:rPr>
          <w:rFonts w:ascii="Times New Roman" w:hAnsi="Times New Roman" w:cs="Times New Roman"/>
          <w:sz w:val="28"/>
          <w:szCs w:val="28"/>
        </w:rPr>
        <w:t xml:space="preserve">their children </w:t>
      </w:r>
      <w:r w:rsidRPr="003B3EF6">
        <w:rPr>
          <w:rFonts w:ascii="Times New Roman" w:hAnsi="Times New Roman" w:cs="Times New Roman"/>
          <w:sz w:val="28"/>
          <w:szCs w:val="28"/>
        </w:rPr>
        <w:t xml:space="preserve">no longer be available for core household and farm activities without any corresponding increases in household income from </w:t>
      </w:r>
      <w:r w:rsidR="005013BF" w:rsidRPr="003B3EF6">
        <w:rPr>
          <w:rFonts w:ascii="Times New Roman" w:hAnsi="Times New Roman" w:cs="Times New Roman"/>
          <w:sz w:val="28"/>
          <w:szCs w:val="28"/>
        </w:rPr>
        <w:t>the non-farm activities of</w:t>
      </w:r>
      <w:r w:rsidR="002C1DC3" w:rsidRPr="003B3EF6">
        <w:rPr>
          <w:rFonts w:ascii="Times New Roman" w:hAnsi="Times New Roman" w:cs="Times New Roman"/>
          <w:sz w:val="28"/>
          <w:szCs w:val="28"/>
        </w:rPr>
        <w:t xml:space="preserve"> these</w:t>
      </w:r>
      <w:r w:rsidR="005013BF" w:rsidRPr="003B3EF6">
        <w:rPr>
          <w:rFonts w:ascii="Times New Roman" w:hAnsi="Times New Roman" w:cs="Times New Roman"/>
          <w:sz w:val="28"/>
          <w:szCs w:val="28"/>
        </w:rPr>
        <w:t xml:space="preserve"> children</w:t>
      </w:r>
      <w:r w:rsidRPr="003B3EF6">
        <w:rPr>
          <w:rFonts w:ascii="Times New Roman" w:hAnsi="Times New Roman" w:cs="Times New Roman"/>
          <w:sz w:val="28"/>
          <w:szCs w:val="28"/>
        </w:rPr>
        <w:t xml:space="preserve">. </w:t>
      </w:r>
      <w:r w:rsidR="005013BF" w:rsidRPr="003B3EF6">
        <w:rPr>
          <w:rFonts w:ascii="Times New Roman" w:hAnsi="Times New Roman" w:cs="Times New Roman"/>
          <w:sz w:val="28"/>
          <w:szCs w:val="28"/>
        </w:rPr>
        <w:t>This is especially because formal e</w:t>
      </w:r>
      <w:r w:rsidRPr="003B3EF6">
        <w:rPr>
          <w:rFonts w:ascii="Times New Roman" w:hAnsi="Times New Roman" w:cs="Times New Roman"/>
          <w:sz w:val="28"/>
          <w:szCs w:val="28"/>
        </w:rPr>
        <w:t>ducation increases the likelihood that youth will migrate to urban centres</w:t>
      </w:r>
      <w:r w:rsidR="005013BF" w:rsidRPr="003B3EF6">
        <w:rPr>
          <w:rFonts w:ascii="Times New Roman" w:hAnsi="Times New Roman" w:cs="Times New Roman"/>
          <w:sz w:val="28"/>
          <w:szCs w:val="28"/>
        </w:rPr>
        <w:t xml:space="preserve"> or work in low-income non-farm rural activities</w:t>
      </w:r>
      <w:r w:rsidRPr="003B3EF6">
        <w:rPr>
          <w:rFonts w:ascii="Times New Roman" w:hAnsi="Times New Roman" w:cs="Times New Roman"/>
          <w:sz w:val="28"/>
          <w:szCs w:val="28"/>
        </w:rPr>
        <w:t xml:space="preserve">. </w:t>
      </w:r>
      <w:r w:rsidR="005013BF" w:rsidRPr="003B3EF6">
        <w:rPr>
          <w:rFonts w:ascii="Times New Roman" w:hAnsi="Times New Roman" w:cs="Times New Roman"/>
          <w:sz w:val="28"/>
          <w:szCs w:val="28"/>
        </w:rPr>
        <w:t>Primary e</w:t>
      </w:r>
      <w:r w:rsidRPr="003B3EF6">
        <w:rPr>
          <w:rFonts w:ascii="Times New Roman" w:hAnsi="Times New Roman" w:cs="Times New Roman"/>
          <w:sz w:val="28"/>
          <w:szCs w:val="28"/>
        </w:rPr>
        <w:t xml:space="preserve">ducation </w:t>
      </w:r>
      <w:r w:rsidR="005013BF" w:rsidRPr="003B3EF6">
        <w:rPr>
          <w:rFonts w:ascii="Times New Roman" w:hAnsi="Times New Roman" w:cs="Times New Roman"/>
          <w:sz w:val="28"/>
          <w:szCs w:val="28"/>
        </w:rPr>
        <w:t>can,</w:t>
      </w:r>
      <w:r w:rsidRPr="003B3EF6">
        <w:rPr>
          <w:rFonts w:ascii="Times New Roman" w:hAnsi="Times New Roman" w:cs="Times New Roman"/>
          <w:sz w:val="28"/>
          <w:szCs w:val="28"/>
        </w:rPr>
        <w:t xml:space="preserve"> therefore</w:t>
      </w:r>
      <w:r w:rsidR="005013BF" w:rsidRPr="003B3EF6">
        <w:rPr>
          <w:rFonts w:ascii="Times New Roman" w:hAnsi="Times New Roman" w:cs="Times New Roman"/>
          <w:sz w:val="28"/>
          <w:szCs w:val="28"/>
        </w:rPr>
        <w:t>,</w:t>
      </w:r>
      <w:r w:rsidRPr="003B3EF6">
        <w:rPr>
          <w:rFonts w:ascii="Times New Roman" w:hAnsi="Times New Roman" w:cs="Times New Roman"/>
          <w:sz w:val="28"/>
          <w:szCs w:val="28"/>
        </w:rPr>
        <w:t xml:space="preserve"> </w:t>
      </w:r>
      <w:r w:rsidR="005013BF" w:rsidRPr="003B3EF6">
        <w:rPr>
          <w:rFonts w:ascii="Times New Roman" w:hAnsi="Times New Roman" w:cs="Times New Roman"/>
          <w:sz w:val="28"/>
          <w:szCs w:val="28"/>
        </w:rPr>
        <w:t xml:space="preserve">pose a real </w:t>
      </w:r>
      <w:r w:rsidRPr="003B3EF6">
        <w:rPr>
          <w:rFonts w:ascii="Times New Roman" w:hAnsi="Times New Roman" w:cs="Times New Roman"/>
          <w:sz w:val="28"/>
          <w:szCs w:val="28"/>
        </w:rPr>
        <w:t>threat to already precarious livelihoods and</w:t>
      </w:r>
      <w:r w:rsidR="005013BF" w:rsidRPr="003B3EF6">
        <w:rPr>
          <w:rFonts w:ascii="Times New Roman" w:hAnsi="Times New Roman" w:cs="Times New Roman"/>
          <w:sz w:val="28"/>
          <w:szCs w:val="28"/>
        </w:rPr>
        <w:t>,</w:t>
      </w:r>
      <w:r w:rsidRPr="003B3EF6">
        <w:rPr>
          <w:rFonts w:ascii="Times New Roman" w:hAnsi="Times New Roman" w:cs="Times New Roman"/>
          <w:sz w:val="28"/>
          <w:szCs w:val="28"/>
        </w:rPr>
        <w:t xml:space="preserve"> as such</w:t>
      </w:r>
      <w:r w:rsidR="005013BF" w:rsidRPr="003B3EF6">
        <w:rPr>
          <w:rFonts w:ascii="Times New Roman" w:hAnsi="Times New Roman" w:cs="Times New Roman"/>
          <w:sz w:val="28"/>
          <w:szCs w:val="28"/>
        </w:rPr>
        <w:t>,</w:t>
      </w:r>
      <w:r w:rsidRPr="003B3EF6">
        <w:rPr>
          <w:rFonts w:ascii="Times New Roman" w:hAnsi="Times New Roman" w:cs="Times New Roman"/>
          <w:sz w:val="28"/>
          <w:szCs w:val="28"/>
        </w:rPr>
        <w:t xml:space="preserve"> may fuel parental resistance.</w:t>
      </w:r>
      <w:r w:rsidR="005013BF" w:rsidRPr="003B3EF6">
        <w:rPr>
          <w:rFonts w:ascii="Times New Roman" w:hAnsi="Times New Roman" w:cs="Times New Roman"/>
          <w:sz w:val="28"/>
          <w:szCs w:val="28"/>
        </w:rPr>
        <w:t xml:space="preserve"> In some countries, customary b</w:t>
      </w:r>
      <w:r w:rsidR="003375EE" w:rsidRPr="003B3EF6">
        <w:rPr>
          <w:rFonts w:ascii="Times New Roman" w:hAnsi="Times New Roman" w:cs="Times New Roman"/>
          <w:sz w:val="28"/>
          <w:szCs w:val="28"/>
        </w:rPr>
        <w:t xml:space="preserve">ride price </w:t>
      </w:r>
      <w:r w:rsidR="005013BF" w:rsidRPr="003B3EF6">
        <w:rPr>
          <w:rFonts w:ascii="Times New Roman" w:hAnsi="Times New Roman" w:cs="Times New Roman"/>
          <w:sz w:val="28"/>
          <w:szCs w:val="28"/>
        </w:rPr>
        <w:t xml:space="preserve">practices </w:t>
      </w:r>
      <w:r w:rsidR="00FA3794" w:rsidRPr="003B3EF6">
        <w:rPr>
          <w:rFonts w:ascii="Times New Roman" w:hAnsi="Times New Roman" w:cs="Times New Roman"/>
          <w:sz w:val="28"/>
          <w:szCs w:val="28"/>
        </w:rPr>
        <w:t xml:space="preserve">continue to be </w:t>
      </w:r>
      <w:r w:rsidR="005013BF" w:rsidRPr="003B3EF6">
        <w:rPr>
          <w:rFonts w:ascii="Times New Roman" w:hAnsi="Times New Roman" w:cs="Times New Roman"/>
          <w:sz w:val="28"/>
          <w:szCs w:val="28"/>
        </w:rPr>
        <w:t xml:space="preserve">a </w:t>
      </w:r>
      <w:r w:rsidR="003375EE" w:rsidRPr="003B3EF6">
        <w:rPr>
          <w:rFonts w:ascii="Times New Roman" w:hAnsi="Times New Roman" w:cs="Times New Roman"/>
          <w:sz w:val="28"/>
          <w:szCs w:val="28"/>
        </w:rPr>
        <w:t>major incentive to marry off daughters as soon as possible.</w:t>
      </w:r>
    </w:p>
    <w:p w:rsidR="003375EE" w:rsidRPr="003B3EF6" w:rsidRDefault="003375EE" w:rsidP="003133DF">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High levels of open unemployment can drive parental demands for increased educational provision. However, there is little </w:t>
      </w:r>
      <w:r w:rsidR="005013BF" w:rsidRPr="003B3EF6">
        <w:rPr>
          <w:rFonts w:ascii="Times New Roman" w:hAnsi="Times New Roman" w:cs="Times New Roman"/>
          <w:sz w:val="28"/>
          <w:szCs w:val="28"/>
        </w:rPr>
        <w:t xml:space="preserve">open </w:t>
      </w:r>
      <w:r w:rsidRPr="003B3EF6">
        <w:rPr>
          <w:rFonts w:ascii="Times New Roman" w:hAnsi="Times New Roman" w:cs="Times New Roman"/>
          <w:sz w:val="28"/>
          <w:szCs w:val="28"/>
        </w:rPr>
        <w:t>unemployment in rural areas</w:t>
      </w:r>
      <w:r w:rsidR="00391329">
        <w:rPr>
          <w:rFonts w:ascii="Times New Roman" w:hAnsi="Times New Roman" w:cs="Times New Roman"/>
          <w:sz w:val="28"/>
          <w:szCs w:val="28"/>
        </w:rPr>
        <w:t xml:space="preserve"> in SSA</w:t>
      </w:r>
      <w:r w:rsidRPr="003B3EF6">
        <w:rPr>
          <w:rFonts w:ascii="Times New Roman" w:hAnsi="Times New Roman" w:cs="Times New Roman"/>
          <w:sz w:val="28"/>
          <w:szCs w:val="28"/>
        </w:rPr>
        <w:t xml:space="preserve">. </w:t>
      </w:r>
    </w:p>
    <w:p w:rsidR="00F27AC2" w:rsidRPr="008D34E1" w:rsidRDefault="0056077D" w:rsidP="003133DF">
      <w:pPr>
        <w:spacing w:line="360" w:lineRule="auto"/>
        <w:rPr>
          <w:rFonts w:ascii="Times New Roman" w:hAnsi="Times New Roman" w:cs="Times New Roman"/>
          <w:b/>
          <w:sz w:val="28"/>
          <w:szCs w:val="28"/>
        </w:rPr>
      </w:pPr>
      <w:r w:rsidRPr="008D34E1">
        <w:rPr>
          <w:rFonts w:ascii="Times New Roman" w:hAnsi="Times New Roman" w:cs="Times New Roman"/>
          <w:b/>
          <w:sz w:val="28"/>
          <w:szCs w:val="28"/>
        </w:rPr>
        <w:t>7</w:t>
      </w:r>
      <w:r w:rsidR="00F27AC2" w:rsidRPr="008D34E1">
        <w:rPr>
          <w:rFonts w:ascii="Times New Roman" w:hAnsi="Times New Roman" w:cs="Times New Roman"/>
          <w:b/>
          <w:sz w:val="28"/>
          <w:szCs w:val="28"/>
        </w:rPr>
        <w:t>. C</w:t>
      </w:r>
      <w:r w:rsidRPr="008D34E1">
        <w:rPr>
          <w:rFonts w:ascii="Times New Roman" w:hAnsi="Times New Roman" w:cs="Times New Roman"/>
          <w:b/>
          <w:sz w:val="28"/>
          <w:szCs w:val="28"/>
        </w:rPr>
        <w:t xml:space="preserve">onclusion </w:t>
      </w:r>
    </w:p>
    <w:p w:rsidR="00DE4CBB" w:rsidRPr="003B3EF6" w:rsidRDefault="00E53CD8" w:rsidP="003133D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This article has </w:t>
      </w:r>
      <w:r w:rsidR="00A9060A">
        <w:rPr>
          <w:rFonts w:ascii="Times New Roman" w:hAnsi="Times New Roman" w:cs="Times New Roman"/>
          <w:sz w:val="28"/>
          <w:szCs w:val="28"/>
        </w:rPr>
        <w:t xml:space="preserve">sought to </w:t>
      </w:r>
      <w:r>
        <w:rPr>
          <w:rFonts w:ascii="Times New Roman" w:hAnsi="Times New Roman" w:cs="Times New Roman"/>
          <w:sz w:val="28"/>
          <w:szCs w:val="28"/>
        </w:rPr>
        <w:t>demonstrate that t</w:t>
      </w:r>
      <w:r w:rsidR="0061167B" w:rsidRPr="003B3EF6">
        <w:rPr>
          <w:rFonts w:ascii="Times New Roman" w:hAnsi="Times New Roman" w:cs="Times New Roman"/>
          <w:sz w:val="28"/>
          <w:szCs w:val="28"/>
        </w:rPr>
        <w:t>he lack of progress in attaining UPE in SSA can only be properly understood by focusing on the wider impact on primary education attainment levels of social and economic forces and processes that characterise th</w:t>
      </w:r>
      <w:r w:rsidR="00220498">
        <w:rPr>
          <w:rFonts w:ascii="Times New Roman" w:hAnsi="Times New Roman" w:cs="Times New Roman"/>
          <w:sz w:val="28"/>
          <w:szCs w:val="28"/>
        </w:rPr>
        <w:t>e</w:t>
      </w:r>
      <w:r w:rsidR="0061167B" w:rsidRPr="003B3EF6">
        <w:rPr>
          <w:rFonts w:ascii="Times New Roman" w:hAnsi="Times New Roman" w:cs="Times New Roman"/>
          <w:sz w:val="28"/>
          <w:szCs w:val="28"/>
        </w:rPr>
        <w:t xml:space="preserve"> new</w:t>
      </w:r>
      <w:r w:rsidR="00220498">
        <w:rPr>
          <w:rFonts w:ascii="Times New Roman" w:hAnsi="Times New Roman" w:cs="Times New Roman"/>
          <w:sz w:val="28"/>
          <w:szCs w:val="28"/>
        </w:rPr>
        <w:t>, neo-liberal</w:t>
      </w:r>
      <w:r w:rsidR="0061167B" w:rsidRPr="003B3EF6">
        <w:rPr>
          <w:rFonts w:ascii="Times New Roman" w:hAnsi="Times New Roman" w:cs="Times New Roman"/>
          <w:sz w:val="28"/>
          <w:szCs w:val="28"/>
        </w:rPr>
        <w:t xml:space="preserve"> political economy</w:t>
      </w:r>
      <w:r w:rsidR="00A9060A">
        <w:rPr>
          <w:rFonts w:ascii="Times New Roman" w:hAnsi="Times New Roman" w:cs="Times New Roman"/>
          <w:sz w:val="28"/>
          <w:szCs w:val="28"/>
        </w:rPr>
        <w:t xml:space="preserve"> in the majority of these countries</w:t>
      </w:r>
      <w:r w:rsidR="0061167B" w:rsidRPr="003B3EF6">
        <w:rPr>
          <w:rFonts w:ascii="Times New Roman" w:hAnsi="Times New Roman" w:cs="Times New Roman"/>
          <w:sz w:val="28"/>
          <w:szCs w:val="28"/>
        </w:rPr>
        <w:t xml:space="preserve">. </w:t>
      </w:r>
      <w:r w:rsidR="005464B3">
        <w:rPr>
          <w:rFonts w:ascii="Times New Roman" w:hAnsi="Times New Roman" w:cs="Times New Roman"/>
          <w:sz w:val="28"/>
          <w:szCs w:val="28"/>
        </w:rPr>
        <w:t xml:space="preserve">In particular, </w:t>
      </w:r>
      <w:r w:rsidR="007C295C">
        <w:rPr>
          <w:rFonts w:ascii="Times New Roman" w:hAnsi="Times New Roman" w:cs="Times New Roman"/>
          <w:sz w:val="28"/>
          <w:szCs w:val="28"/>
        </w:rPr>
        <w:t xml:space="preserve">it is contended that </w:t>
      </w:r>
      <w:r w:rsidR="005464B3">
        <w:rPr>
          <w:rFonts w:ascii="Times New Roman" w:hAnsi="Times New Roman" w:cs="Times New Roman"/>
          <w:sz w:val="28"/>
          <w:szCs w:val="28"/>
        </w:rPr>
        <w:t>t</w:t>
      </w:r>
      <w:r w:rsidR="00DE4CBB" w:rsidRPr="003B3EF6">
        <w:rPr>
          <w:rFonts w:ascii="Times New Roman" w:hAnsi="Times New Roman" w:cs="Times New Roman"/>
          <w:sz w:val="28"/>
          <w:szCs w:val="28"/>
        </w:rPr>
        <w:t xml:space="preserve">he increasing ‘market power’ </w:t>
      </w:r>
      <w:r w:rsidR="00220498">
        <w:rPr>
          <w:rFonts w:ascii="Times New Roman" w:hAnsi="Times New Roman" w:cs="Times New Roman"/>
          <w:sz w:val="28"/>
          <w:szCs w:val="28"/>
        </w:rPr>
        <w:t xml:space="preserve">of </w:t>
      </w:r>
      <w:r w:rsidR="00A9060A">
        <w:rPr>
          <w:rFonts w:ascii="Times New Roman" w:hAnsi="Times New Roman" w:cs="Times New Roman"/>
          <w:sz w:val="28"/>
          <w:szCs w:val="28"/>
        </w:rPr>
        <w:t xml:space="preserve">a </w:t>
      </w:r>
      <w:r w:rsidR="00C70D57">
        <w:rPr>
          <w:rFonts w:ascii="Times New Roman" w:hAnsi="Times New Roman" w:cs="Times New Roman"/>
          <w:sz w:val="28"/>
          <w:szCs w:val="28"/>
        </w:rPr>
        <w:lastRenderedPageBreak/>
        <w:t>newly reconstituted</w:t>
      </w:r>
      <w:r w:rsidR="00220498">
        <w:rPr>
          <w:rFonts w:ascii="Times New Roman" w:hAnsi="Times New Roman" w:cs="Times New Roman"/>
          <w:sz w:val="28"/>
          <w:szCs w:val="28"/>
        </w:rPr>
        <w:t xml:space="preserve"> </w:t>
      </w:r>
      <w:r w:rsidR="00C70D57">
        <w:rPr>
          <w:rFonts w:ascii="Times New Roman" w:hAnsi="Times New Roman" w:cs="Times New Roman"/>
          <w:sz w:val="28"/>
          <w:szCs w:val="28"/>
        </w:rPr>
        <w:t xml:space="preserve">middle class </w:t>
      </w:r>
      <w:r w:rsidR="007C295C">
        <w:rPr>
          <w:rFonts w:ascii="Times New Roman" w:hAnsi="Times New Roman" w:cs="Times New Roman"/>
          <w:sz w:val="28"/>
          <w:szCs w:val="28"/>
        </w:rPr>
        <w:t xml:space="preserve">is leading </w:t>
      </w:r>
      <w:r w:rsidR="00220498">
        <w:rPr>
          <w:rFonts w:ascii="Times New Roman" w:hAnsi="Times New Roman" w:cs="Times New Roman"/>
          <w:sz w:val="28"/>
          <w:szCs w:val="28"/>
        </w:rPr>
        <w:t xml:space="preserve">to the </w:t>
      </w:r>
      <w:r w:rsidR="00DE4CBB" w:rsidRPr="003B3EF6">
        <w:rPr>
          <w:rFonts w:ascii="Times New Roman" w:hAnsi="Times New Roman" w:cs="Times New Roman"/>
          <w:sz w:val="28"/>
          <w:szCs w:val="28"/>
        </w:rPr>
        <w:t>restructur</w:t>
      </w:r>
      <w:r w:rsidR="00220498">
        <w:rPr>
          <w:rFonts w:ascii="Times New Roman" w:hAnsi="Times New Roman" w:cs="Times New Roman"/>
          <w:sz w:val="28"/>
          <w:szCs w:val="28"/>
        </w:rPr>
        <w:t xml:space="preserve">ing </w:t>
      </w:r>
      <w:r w:rsidR="00DE4CBB" w:rsidRPr="003B3EF6">
        <w:rPr>
          <w:rFonts w:ascii="Times New Roman" w:hAnsi="Times New Roman" w:cs="Times New Roman"/>
          <w:sz w:val="28"/>
          <w:szCs w:val="28"/>
        </w:rPr>
        <w:t>or reconfigur</w:t>
      </w:r>
      <w:r w:rsidR="00220498">
        <w:rPr>
          <w:rFonts w:ascii="Times New Roman" w:hAnsi="Times New Roman" w:cs="Times New Roman"/>
          <w:sz w:val="28"/>
          <w:szCs w:val="28"/>
        </w:rPr>
        <w:t xml:space="preserve">ing of national education systems </w:t>
      </w:r>
      <w:r w:rsidR="00DE4CBB" w:rsidRPr="003B3EF6">
        <w:rPr>
          <w:rFonts w:ascii="Times New Roman" w:hAnsi="Times New Roman" w:cs="Times New Roman"/>
          <w:sz w:val="28"/>
          <w:szCs w:val="28"/>
        </w:rPr>
        <w:t xml:space="preserve">in ways which facilitate the consolidation of their new class position. The rapid expansion of the higher education and private education </w:t>
      </w:r>
      <w:r>
        <w:rPr>
          <w:rFonts w:ascii="Times New Roman" w:hAnsi="Times New Roman" w:cs="Times New Roman"/>
          <w:sz w:val="28"/>
          <w:szCs w:val="28"/>
        </w:rPr>
        <w:t xml:space="preserve">have been </w:t>
      </w:r>
      <w:r w:rsidR="00DE4CBB" w:rsidRPr="003B3EF6">
        <w:rPr>
          <w:rFonts w:ascii="Times New Roman" w:hAnsi="Times New Roman" w:cs="Times New Roman"/>
          <w:sz w:val="28"/>
          <w:szCs w:val="28"/>
        </w:rPr>
        <w:t xml:space="preserve">central to these related process of educational distancing and class reproduction.   </w:t>
      </w:r>
    </w:p>
    <w:p w:rsidR="00F27AC2" w:rsidRPr="003B3EF6" w:rsidRDefault="00E53CD8" w:rsidP="003133D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While UPE was expected </w:t>
      </w:r>
      <w:r w:rsidR="008C5EE9" w:rsidRPr="003B3EF6">
        <w:rPr>
          <w:rFonts w:ascii="Times New Roman" w:hAnsi="Times New Roman" w:cs="Times New Roman"/>
          <w:sz w:val="28"/>
          <w:szCs w:val="28"/>
        </w:rPr>
        <w:t>to promote greater educational quality</w:t>
      </w:r>
      <w:r>
        <w:rPr>
          <w:rFonts w:ascii="Times New Roman" w:hAnsi="Times New Roman" w:cs="Times New Roman"/>
          <w:sz w:val="28"/>
          <w:szCs w:val="28"/>
        </w:rPr>
        <w:t xml:space="preserve">, it has become part of </w:t>
      </w:r>
      <w:r w:rsidR="00AE4AB9" w:rsidRPr="003B3EF6">
        <w:rPr>
          <w:rFonts w:ascii="Times New Roman" w:hAnsi="Times New Roman" w:cs="Times New Roman"/>
          <w:sz w:val="28"/>
          <w:szCs w:val="28"/>
        </w:rPr>
        <w:t xml:space="preserve">wider </w:t>
      </w:r>
      <w:r>
        <w:rPr>
          <w:rFonts w:ascii="Times New Roman" w:hAnsi="Times New Roman" w:cs="Times New Roman"/>
          <w:sz w:val="28"/>
          <w:szCs w:val="28"/>
        </w:rPr>
        <w:t xml:space="preserve">economic, social and political </w:t>
      </w:r>
      <w:r w:rsidR="008C5EE9" w:rsidRPr="003B3EF6">
        <w:rPr>
          <w:rFonts w:ascii="Times New Roman" w:hAnsi="Times New Roman" w:cs="Times New Roman"/>
          <w:sz w:val="28"/>
          <w:szCs w:val="28"/>
        </w:rPr>
        <w:t xml:space="preserve">processes that </w:t>
      </w:r>
      <w:r w:rsidR="00AE4AB9" w:rsidRPr="003B3EF6">
        <w:rPr>
          <w:rFonts w:ascii="Times New Roman" w:hAnsi="Times New Roman" w:cs="Times New Roman"/>
          <w:sz w:val="28"/>
          <w:szCs w:val="28"/>
        </w:rPr>
        <w:t xml:space="preserve">are </w:t>
      </w:r>
      <w:r w:rsidR="008C5EE9" w:rsidRPr="003B3EF6">
        <w:rPr>
          <w:rFonts w:ascii="Times New Roman" w:hAnsi="Times New Roman" w:cs="Times New Roman"/>
          <w:sz w:val="28"/>
          <w:szCs w:val="28"/>
        </w:rPr>
        <w:t xml:space="preserve">leading to increasing educational inequality. </w:t>
      </w:r>
      <w:r>
        <w:rPr>
          <w:rFonts w:ascii="Times New Roman" w:hAnsi="Times New Roman" w:cs="Times New Roman"/>
          <w:sz w:val="28"/>
          <w:szCs w:val="28"/>
        </w:rPr>
        <w:t>In particular, UPE has f</w:t>
      </w:r>
      <w:r w:rsidR="00F27AC2" w:rsidRPr="003B3EF6">
        <w:rPr>
          <w:rFonts w:ascii="Times New Roman" w:hAnsi="Times New Roman" w:cs="Times New Roman"/>
          <w:sz w:val="28"/>
          <w:szCs w:val="28"/>
        </w:rPr>
        <w:t xml:space="preserve">uelled qualification escalation and </w:t>
      </w:r>
      <w:r w:rsidR="008C5EE9" w:rsidRPr="003B3EF6">
        <w:rPr>
          <w:rFonts w:ascii="Times New Roman" w:hAnsi="Times New Roman" w:cs="Times New Roman"/>
          <w:sz w:val="28"/>
          <w:szCs w:val="28"/>
        </w:rPr>
        <w:t xml:space="preserve">resulted in lower </w:t>
      </w:r>
      <w:r>
        <w:rPr>
          <w:rFonts w:ascii="Times New Roman" w:hAnsi="Times New Roman" w:cs="Times New Roman"/>
          <w:sz w:val="28"/>
          <w:szCs w:val="28"/>
        </w:rPr>
        <w:t xml:space="preserve">learning outcomes. </w:t>
      </w:r>
      <w:r w:rsidR="00FF7A7F">
        <w:rPr>
          <w:rFonts w:ascii="Times New Roman" w:hAnsi="Times New Roman" w:cs="Times New Roman"/>
          <w:sz w:val="28"/>
          <w:szCs w:val="28"/>
        </w:rPr>
        <w:t>Paradoxically, a</w:t>
      </w:r>
      <w:r>
        <w:rPr>
          <w:rFonts w:ascii="Times New Roman" w:hAnsi="Times New Roman" w:cs="Times New Roman"/>
          <w:sz w:val="28"/>
          <w:szCs w:val="28"/>
        </w:rPr>
        <w:t xml:space="preserve">s a result, it may have led </w:t>
      </w:r>
      <w:r w:rsidR="008C5EE9" w:rsidRPr="003B3EF6">
        <w:rPr>
          <w:rFonts w:ascii="Times New Roman" w:hAnsi="Times New Roman" w:cs="Times New Roman"/>
          <w:sz w:val="28"/>
          <w:szCs w:val="28"/>
        </w:rPr>
        <w:t xml:space="preserve">to reduced demand for </w:t>
      </w:r>
      <w:r>
        <w:rPr>
          <w:rFonts w:ascii="Times New Roman" w:hAnsi="Times New Roman" w:cs="Times New Roman"/>
          <w:sz w:val="28"/>
          <w:szCs w:val="28"/>
        </w:rPr>
        <w:t xml:space="preserve">both primary and secondary education </w:t>
      </w:r>
      <w:r w:rsidR="008C5EE9" w:rsidRPr="003B3EF6">
        <w:rPr>
          <w:rFonts w:ascii="Times New Roman" w:hAnsi="Times New Roman" w:cs="Times New Roman"/>
          <w:sz w:val="28"/>
          <w:szCs w:val="28"/>
        </w:rPr>
        <w:t xml:space="preserve">among the poorest especially in rural areas but boosted demand for </w:t>
      </w:r>
      <w:r>
        <w:rPr>
          <w:rFonts w:ascii="Times New Roman" w:hAnsi="Times New Roman" w:cs="Times New Roman"/>
          <w:sz w:val="28"/>
          <w:szCs w:val="28"/>
        </w:rPr>
        <w:t xml:space="preserve">private schooling and </w:t>
      </w:r>
      <w:r w:rsidR="008C5EE9" w:rsidRPr="003B3EF6">
        <w:rPr>
          <w:rFonts w:ascii="Times New Roman" w:hAnsi="Times New Roman" w:cs="Times New Roman"/>
          <w:sz w:val="28"/>
          <w:szCs w:val="28"/>
        </w:rPr>
        <w:t xml:space="preserve">higher education among </w:t>
      </w:r>
      <w:r>
        <w:rPr>
          <w:rFonts w:ascii="Times New Roman" w:hAnsi="Times New Roman" w:cs="Times New Roman"/>
          <w:sz w:val="28"/>
          <w:szCs w:val="28"/>
        </w:rPr>
        <w:t xml:space="preserve">the </w:t>
      </w:r>
      <w:r w:rsidR="008C09BD">
        <w:rPr>
          <w:rFonts w:ascii="Times New Roman" w:hAnsi="Times New Roman" w:cs="Times New Roman"/>
          <w:sz w:val="28"/>
          <w:szCs w:val="28"/>
        </w:rPr>
        <w:t>middle class</w:t>
      </w:r>
      <w:r w:rsidR="008C5EE9" w:rsidRPr="003B3EF6">
        <w:rPr>
          <w:rFonts w:ascii="Times New Roman" w:hAnsi="Times New Roman" w:cs="Times New Roman"/>
          <w:sz w:val="28"/>
          <w:szCs w:val="28"/>
        </w:rPr>
        <w:t>.</w:t>
      </w:r>
    </w:p>
    <w:p w:rsidR="00AE4AB9" w:rsidRPr="008D34E1" w:rsidRDefault="00E950BE" w:rsidP="003133DF">
      <w:pPr>
        <w:spacing w:line="360" w:lineRule="auto"/>
        <w:jc w:val="both"/>
        <w:rPr>
          <w:rFonts w:ascii="Times New Roman" w:hAnsi="Times New Roman" w:cs="Times New Roman"/>
          <w:i/>
          <w:sz w:val="28"/>
          <w:szCs w:val="28"/>
        </w:rPr>
      </w:pPr>
      <w:r w:rsidRPr="008D34E1">
        <w:rPr>
          <w:rFonts w:ascii="Times New Roman" w:hAnsi="Times New Roman" w:cs="Times New Roman"/>
          <w:i/>
          <w:sz w:val="28"/>
          <w:szCs w:val="28"/>
        </w:rPr>
        <w:t>7</w:t>
      </w:r>
      <w:r w:rsidR="00AE4AB9" w:rsidRPr="008D34E1">
        <w:rPr>
          <w:rFonts w:ascii="Times New Roman" w:hAnsi="Times New Roman" w:cs="Times New Roman"/>
          <w:i/>
          <w:sz w:val="28"/>
          <w:szCs w:val="28"/>
        </w:rPr>
        <w:t>.2 Future research</w:t>
      </w:r>
    </w:p>
    <w:p w:rsidR="00A67DE6" w:rsidRDefault="00E53CD8" w:rsidP="003133DF">
      <w:pPr>
        <w:spacing w:line="360" w:lineRule="auto"/>
        <w:jc w:val="both"/>
        <w:rPr>
          <w:rFonts w:ascii="Times New Roman" w:hAnsi="Times New Roman" w:cs="Times New Roman"/>
          <w:sz w:val="28"/>
          <w:szCs w:val="28"/>
        </w:rPr>
      </w:pPr>
      <w:r w:rsidRPr="00650140">
        <w:rPr>
          <w:rFonts w:ascii="Times New Roman" w:hAnsi="Times New Roman" w:cs="Times New Roman"/>
          <w:sz w:val="28"/>
          <w:szCs w:val="28"/>
        </w:rPr>
        <w:t>Given the lack of data, m</w:t>
      </w:r>
      <w:r w:rsidR="00AE4AB9" w:rsidRPr="00650140">
        <w:rPr>
          <w:rFonts w:ascii="Times New Roman" w:hAnsi="Times New Roman" w:cs="Times New Roman"/>
          <w:sz w:val="28"/>
          <w:szCs w:val="28"/>
        </w:rPr>
        <w:t xml:space="preserve">ost of the </w:t>
      </w:r>
      <w:r w:rsidR="00396A07" w:rsidRPr="00650140">
        <w:rPr>
          <w:rFonts w:ascii="Times New Roman" w:hAnsi="Times New Roman" w:cs="Times New Roman"/>
          <w:sz w:val="28"/>
          <w:szCs w:val="28"/>
        </w:rPr>
        <w:t>conclusions</w:t>
      </w:r>
      <w:r w:rsidR="00AE4AB9" w:rsidRPr="00650140">
        <w:rPr>
          <w:rFonts w:ascii="Times New Roman" w:hAnsi="Times New Roman" w:cs="Times New Roman"/>
          <w:sz w:val="28"/>
          <w:szCs w:val="28"/>
        </w:rPr>
        <w:t xml:space="preserve"> in this </w:t>
      </w:r>
      <w:r w:rsidR="00A67DE6">
        <w:rPr>
          <w:rFonts w:ascii="Times New Roman" w:hAnsi="Times New Roman" w:cs="Times New Roman"/>
          <w:sz w:val="28"/>
          <w:szCs w:val="28"/>
        </w:rPr>
        <w:t xml:space="preserve">article </w:t>
      </w:r>
      <w:r w:rsidR="00AE4AB9" w:rsidRPr="00650140">
        <w:rPr>
          <w:rFonts w:ascii="Times New Roman" w:hAnsi="Times New Roman" w:cs="Times New Roman"/>
          <w:sz w:val="28"/>
          <w:szCs w:val="28"/>
        </w:rPr>
        <w:t>paper are quite tentative</w:t>
      </w:r>
      <w:r w:rsidRPr="00650140">
        <w:rPr>
          <w:rFonts w:ascii="Times New Roman" w:hAnsi="Times New Roman" w:cs="Times New Roman"/>
          <w:sz w:val="28"/>
          <w:szCs w:val="28"/>
        </w:rPr>
        <w:t xml:space="preserve"> which require considerably more research before they can be </w:t>
      </w:r>
      <w:r w:rsidR="007C295C">
        <w:rPr>
          <w:rFonts w:ascii="Times New Roman" w:hAnsi="Times New Roman" w:cs="Times New Roman"/>
          <w:sz w:val="28"/>
          <w:szCs w:val="28"/>
        </w:rPr>
        <w:t xml:space="preserve">properly </w:t>
      </w:r>
      <w:r w:rsidRPr="00650140">
        <w:rPr>
          <w:rFonts w:ascii="Times New Roman" w:hAnsi="Times New Roman" w:cs="Times New Roman"/>
          <w:sz w:val="28"/>
          <w:szCs w:val="28"/>
        </w:rPr>
        <w:t>substantiated.</w:t>
      </w:r>
      <w:r w:rsidR="00A67DE6">
        <w:rPr>
          <w:rFonts w:ascii="Times New Roman" w:hAnsi="Times New Roman" w:cs="Times New Roman"/>
          <w:sz w:val="28"/>
          <w:szCs w:val="28"/>
        </w:rPr>
        <w:t xml:space="preserve"> In particular, the causal links between the growing economic, social and political power of the reconstituted middle class and changes in education policy and provision need</w:t>
      </w:r>
      <w:r w:rsidR="007C295C">
        <w:rPr>
          <w:rFonts w:ascii="Times New Roman" w:hAnsi="Times New Roman" w:cs="Times New Roman"/>
          <w:sz w:val="28"/>
          <w:szCs w:val="28"/>
        </w:rPr>
        <w:t>s</w:t>
      </w:r>
      <w:r w:rsidR="00A67DE6">
        <w:rPr>
          <w:rFonts w:ascii="Times New Roman" w:hAnsi="Times New Roman" w:cs="Times New Roman"/>
          <w:sz w:val="28"/>
          <w:szCs w:val="28"/>
        </w:rPr>
        <w:t xml:space="preserve"> very careful investigation.</w:t>
      </w:r>
      <w:r w:rsidR="008C09BD">
        <w:rPr>
          <w:rFonts w:ascii="Times New Roman" w:hAnsi="Times New Roman" w:cs="Times New Roman"/>
          <w:sz w:val="28"/>
          <w:szCs w:val="28"/>
        </w:rPr>
        <w:t xml:space="preserve"> Well-grounded empirical country case studies are essential in order explore the three main inter-related areas of social class competition, educational competition and job competition.</w:t>
      </w:r>
    </w:p>
    <w:p w:rsidR="00AE4AB9" w:rsidRPr="00650140" w:rsidRDefault="008C09BD" w:rsidP="003133DF">
      <w:pPr>
        <w:spacing w:line="360" w:lineRule="auto"/>
        <w:jc w:val="both"/>
        <w:rPr>
          <w:rFonts w:ascii="Times New Roman" w:hAnsi="Times New Roman" w:cs="Times New Roman"/>
          <w:sz w:val="28"/>
          <w:szCs w:val="28"/>
        </w:rPr>
      </w:pPr>
      <w:r>
        <w:rPr>
          <w:rFonts w:ascii="Times New Roman" w:hAnsi="Times New Roman" w:cs="Times New Roman"/>
          <w:sz w:val="28"/>
          <w:szCs w:val="28"/>
        </w:rPr>
        <w:t>S</w:t>
      </w:r>
      <w:r w:rsidR="007C295C">
        <w:rPr>
          <w:rFonts w:ascii="Times New Roman" w:hAnsi="Times New Roman" w:cs="Times New Roman"/>
          <w:sz w:val="28"/>
          <w:szCs w:val="28"/>
        </w:rPr>
        <w:t xml:space="preserve">ix </w:t>
      </w:r>
      <w:r>
        <w:rPr>
          <w:rFonts w:ascii="Times New Roman" w:hAnsi="Times New Roman" w:cs="Times New Roman"/>
          <w:sz w:val="28"/>
          <w:szCs w:val="28"/>
        </w:rPr>
        <w:t xml:space="preserve">specific </w:t>
      </w:r>
      <w:r w:rsidR="00BB2698" w:rsidRPr="00650140">
        <w:rPr>
          <w:rFonts w:ascii="Times New Roman" w:hAnsi="Times New Roman" w:cs="Times New Roman"/>
          <w:sz w:val="28"/>
          <w:szCs w:val="28"/>
        </w:rPr>
        <w:t xml:space="preserve">research priority areas can be identified. </w:t>
      </w:r>
      <w:r w:rsidR="00877363" w:rsidRPr="00650140">
        <w:rPr>
          <w:rFonts w:ascii="Times New Roman" w:hAnsi="Times New Roman" w:cs="Times New Roman"/>
          <w:sz w:val="28"/>
          <w:szCs w:val="28"/>
        </w:rPr>
        <w:t>(i)</w:t>
      </w:r>
      <w:r w:rsidR="00BB2698" w:rsidRPr="00650140">
        <w:rPr>
          <w:rFonts w:ascii="Times New Roman" w:hAnsi="Times New Roman" w:cs="Times New Roman"/>
          <w:sz w:val="28"/>
          <w:szCs w:val="28"/>
        </w:rPr>
        <w:t xml:space="preserve"> </w:t>
      </w:r>
      <w:r>
        <w:rPr>
          <w:rFonts w:ascii="Times New Roman" w:hAnsi="Times New Roman" w:cs="Times New Roman"/>
          <w:sz w:val="28"/>
          <w:szCs w:val="28"/>
        </w:rPr>
        <w:t xml:space="preserve">) Sociological research on the </w:t>
      </w:r>
      <w:r w:rsidR="007C295C">
        <w:rPr>
          <w:rFonts w:ascii="Times New Roman" w:hAnsi="Times New Roman" w:cs="Times New Roman"/>
          <w:sz w:val="28"/>
          <w:szCs w:val="28"/>
        </w:rPr>
        <w:t xml:space="preserve">size, </w:t>
      </w:r>
      <w:r>
        <w:rPr>
          <w:rFonts w:ascii="Times New Roman" w:hAnsi="Times New Roman" w:cs="Times New Roman"/>
          <w:sz w:val="28"/>
          <w:szCs w:val="28"/>
        </w:rPr>
        <w:t xml:space="preserve">composition, attitudes and behaviours of the reconstituted middle class; (ii) </w:t>
      </w:r>
      <w:r w:rsidR="007C295C">
        <w:rPr>
          <w:rFonts w:ascii="Times New Roman" w:hAnsi="Times New Roman" w:cs="Times New Roman"/>
          <w:sz w:val="28"/>
          <w:szCs w:val="28"/>
        </w:rPr>
        <w:t>E</w:t>
      </w:r>
      <w:r w:rsidR="007C295C" w:rsidRPr="00650140">
        <w:rPr>
          <w:rFonts w:ascii="Times New Roman" w:hAnsi="Times New Roman" w:cs="Times New Roman"/>
          <w:sz w:val="28"/>
          <w:szCs w:val="28"/>
        </w:rPr>
        <w:t xml:space="preserve">thnographic and economic analysis of household decision making and behaviour with respect to both primary and secondary education (schooling </w:t>
      </w:r>
      <w:r w:rsidR="007C295C">
        <w:rPr>
          <w:rFonts w:ascii="Times New Roman" w:hAnsi="Times New Roman" w:cs="Times New Roman"/>
          <w:sz w:val="28"/>
          <w:szCs w:val="28"/>
        </w:rPr>
        <w:t xml:space="preserve">costs, </w:t>
      </w:r>
      <w:r w:rsidR="007C295C" w:rsidRPr="00650140">
        <w:rPr>
          <w:rFonts w:ascii="Times New Roman" w:hAnsi="Times New Roman" w:cs="Times New Roman"/>
          <w:sz w:val="28"/>
          <w:szCs w:val="28"/>
        </w:rPr>
        <w:t>access, progression and completion);</w:t>
      </w:r>
      <w:r w:rsidR="007C295C">
        <w:rPr>
          <w:rFonts w:ascii="Times New Roman" w:hAnsi="Times New Roman" w:cs="Times New Roman"/>
          <w:sz w:val="28"/>
          <w:szCs w:val="28"/>
        </w:rPr>
        <w:t xml:space="preserve"> (iii) </w:t>
      </w:r>
      <w:r>
        <w:rPr>
          <w:rFonts w:ascii="Times New Roman" w:hAnsi="Times New Roman" w:cs="Times New Roman"/>
          <w:sz w:val="28"/>
          <w:szCs w:val="28"/>
        </w:rPr>
        <w:t>L</w:t>
      </w:r>
      <w:r w:rsidR="008B7C79" w:rsidRPr="00650140">
        <w:rPr>
          <w:rFonts w:ascii="Times New Roman" w:hAnsi="Times New Roman" w:cs="Times New Roman"/>
          <w:sz w:val="28"/>
          <w:szCs w:val="28"/>
        </w:rPr>
        <w:t>ongitudinal</w:t>
      </w:r>
      <w:r w:rsidR="00877363" w:rsidRPr="00650140">
        <w:rPr>
          <w:rFonts w:ascii="Times New Roman" w:hAnsi="Times New Roman" w:cs="Times New Roman"/>
          <w:sz w:val="28"/>
          <w:szCs w:val="28"/>
        </w:rPr>
        <w:t xml:space="preserve"> tracer studies of primary and secondary school leavers and university and other tertiary level graduates </w:t>
      </w:r>
      <w:r w:rsidR="00877363" w:rsidRPr="00650140">
        <w:rPr>
          <w:rFonts w:ascii="Times New Roman" w:hAnsi="Times New Roman" w:cs="Times New Roman"/>
          <w:sz w:val="28"/>
          <w:szCs w:val="28"/>
        </w:rPr>
        <w:lastRenderedPageBreak/>
        <w:t>(education-employment linkages, social mo</w:t>
      </w:r>
      <w:r>
        <w:rPr>
          <w:rFonts w:ascii="Times New Roman" w:hAnsi="Times New Roman" w:cs="Times New Roman"/>
          <w:sz w:val="28"/>
          <w:szCs w:val="28"/>
        </w:rPr>
        <w:t>bilit</w:t>
      </w:r>
      <w:r w:rsidR="007C295C">
        <w:rPr>
          <w:rFonts w:ascii="Times New Roman" w:hAnsi="Times New Roman" w:cs="Times New Roman"/>
          <w:sz w:val="28"/>
          <w:szCs w:val="28"/>
        </w:rPr>
        <w:t>y, class formation); (iv</w:t>
      </w:r>
      <w:r>
        <w:rPr>
          <w:rFonts w:ascii="Times New Roman" w:hAnsi="Times New Roman" w:cs="Times New Roman"/>
          <w:sz w:val="28"/>
          <w:szCs w:val="28"/>
        </w:rPr>
        <w:t>) R</w:t>
      </w:r>
      <w:r w:rsidR="00877363" w:rsidRPr="00650140">
        <w:rPr>
          <w:rFonts w:ascii="Times New Roman" w:hAnsi="Times New Roman" w:cs="Times New Roman"/>
          <w:sz w:val="28"/>
          <w:szCs w:val="28"/>
        </w:rPr>
        <w:t>egular surveys of formal sector employees in order to ascertain their educational profiles</w:t>
      </w:r>
      <w:r w:rsidR="00650140">
        <w:rPr>
          <w:rFonts w:ascii="Times New Roman" w:hAnsi="Times New Roman" w:cs="Times New Roman"/>
          <w:sz w:val="28"/>
          <w:szCs w:val="28"/>
        </w:rPr>
        <w:t xml:space="preserve"> and incomes</w:t>
      </w:r>
      <w:r w:rsidR="00877363" w:rsidRPr="00650140">
        <w:rPr>
          <w:rFonts w:ascii="Times New Roman" w:hAnsi="Times New Roman" w:cs="Times New Roman"/>
          <w:sz w:val="28"/>
          <w:szCs w:val="28"/>
        </w:rPr>
        <w:t xml:space="preserve"> (sorting/qualification escalation); </w:t>
      </w:r>
      <w:r w:rsidR="007C295C">
        <w:rPr>
          <w:rFonts w:ascii="Times New Roman" w:hAnsi="Times New Roman" w:cs="Times New Roman"/>
          <w:sz w:val="28"/>
          <w:szCs w:val="28"/>
        </w:rPr>
        <w:t xml:space="preserve">(v) Analysis of private sector schooling, in particular enrolment characteristics and learning outcomes by well-defined geographical and socio-economic categories and the growth prospects for private education provision as a whole;  and </w:t>
      </w:r>
      <w:r w:rsidR="00877363" w:rsidRPr="00650140">
        <w:rPr>
          <w:rFonts w:ascii="Times New Roman" w:hAnsi="Times New Roman" w:cs="Times New Roman"/>
          <w:sz w:val="28"/>
          <w:szCs w:val="28"/>
        </w:rPr>
        <w:t>(v</w:t>
      </w:r>
      <w:r w:rsidR="007C295C">
        <w:rPr>
          <w:rFonts w:ascii="Times New Roman" w:hAnsi="Times New Roman" w:cs="Times New Roman"/>
          <w:sz w:val="28"/>
          <w:szCs w:val="28"/>
        </w:rPr>
        <w:t>i</w:t>
      </w:r>
      <w:r w:rsidR="00877363" w:rsidRPr="00650140">
        <w:rPr>
          <w:rFonts w:ascii="Times New Roman" w:hAnsi="Times New Roman" w:cs="Times New Roman"/>
          <w:sz w:val="28"/>
          <w:szCs w:val="28"/>
        </w:rPr>
        <w:t xml:space="preserve">) </w:t>
      </w:r>
      <w:r>
        <w:rPr>
          <w:rFonts w:ascii="Times New Roman" w:hAnsi="Times New Roman" w:cs="Times New Roman"/>
          <w:sz w:val="28"/>
          <w:szCs w:val="28"/>
        </w:rPr>
        <w:t>N</w:t>
      </w:r>
      <w:r w:rsidR="00650140" w:rsidRPr="00650140">
        <w:rPr>
          <w:rFonts w:ascii="Times New Roman" w:hAnsi="Times New Roman" w:cs="Times New Roman"/>
          <w:sz w:val="28"/>
          <w:szCs w:val="28"/>
        </w:rPr>
        <w:t xml:space="preserve">ational </w:t>
      </w:r>
      <w:r w:rsidR="007C295C">
        <w:rPr>
          <w:rFonts w:ascii="Times New Roman" w:hAnsi="Times New Roman" w:cs="Times New Roman"/>
          <w:sz w:val="28"/>
          <w:szCs w:val="28"/>
        </w:rPr>
        <w:t xml:space="preserve">public </w:t>
      </w:r>
      <w:r w:rsidR="00650140" w:rsidRPr="00650140">
        <w:rPr>
          <w:rFonts w:ascii="Times New Roman" w:hAnsi="Times New Roman" w:cs="Times New Roman"/>
          <w:sz w:val="28"/>
          <w:szCs w:val="28"/>
        </w:rPr>
        <w:t>and donor funding over time of key sectors (education, health, economic services</w:t>
      </w:r>
      <w:r w:rsidR="00A67DE6">
        <w:rPr>
          <w:rFonts w:ascii="Times New Roman" w:hAnsi="Times New Roman" w:cs="Times New Roman"/>
          <w:sz w:val="28"/>
          <w:szCs w:val="28"/>
        </w:rPr>
        <w:t xml:space="preserve">, </w:t>
      </w:r>
      <w:r w:rsidR="008B7C79">
        <w:rPr>
          <w:rFonts w:ascii="Times New Roman" w:hAnsi="Times New Roman" w:cs="Times New Roman"/>
          <w:sz w:val="28"/>
          <w:szCs w:val="28"/>
        </w:rPr>
        <w:t>etc.</w:t>
      </w:r>
      <w:r w:rsidR="00A67DE6">
        <w:rPr>
          <w:rFonts w:ascii="Times New Roman" w:hAnsi="Times New Roman" w:cs="Times New Roman"/>
          <w:sz w:val="28"/>
          <w:szCs w:val="28"/>
        </w:rPr>
        <w:t>)</w:t>
      </w:r>
      <w:r w:rsidR="007C295C">
        <w:rPr>
          <w:rFonts w:ascii="Times New Roman" w:hAnsi="Times New Roman" w:cs="Times New Roman"/>
          <w:sz w:val="28"/>
          <w:szCs w:val="28"/>
        </w:rPr>
        <w:t>.</w:t>
      </w:r>
      <w:r w:rsidR="00A67DE6">
        <w:rPr>
          <w:rFonts w:ascii="Times New Roman" w:hAnsi="Times New Roman" w:cs="Times New Roman"/>
          <w:sz w:val="28"/>
          <w:szCs w:val="28"/>
        </w:rPr>
        <w:t xml:space="preserve"> </w:t>
      </w:r>
    </w:p>
    <w:p w:rsidR="002F5F04" w:rsidRDefault="002F5F04" w:rsidP="003133DF">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F27AC2" w:rsidRPr="003B3EF6" w:rsidRDefault="007E2A8A" w:rsidP="0084111F">
      <w:pPr>
        <w:jc w:val="center"/>
        <w:rPr>
          <w:rFonts w:ascii="Times New Roman" w:hAnsi="Times New Roman" w:cs="Times New Roman"/>
          <w:sz w:val="28"/>
          <w:szCs w:val="28"/>
        </w:rPr>
      </w:pPr>
      <w:r w:rsidRPr="003B3EF6">
        <w:rPr>
          <w:rFonts w:ascii="Times New Roman" w:hAnsi="Times New Roman" w:cs="Times New Roman"/>
          <w:sz w:val="28"/>
          <w:szCs w:val="28"/>
        </w:rPr>
        <w:lastRenderedPageBreak/>
        <w:t>REFERENCES</w:t>
      </w:r>
    </w:p>
    <w:p w:rsidR="00D84E3B" w:rsidRDefault="00D84E3B" w:rsidP="00CF29FF">
      <w:pPr>
        <w:jc w:val="both"/>
        <w:rPr>
          <w:rFonts w:ascii="Times New Roman" w:hAnsi="Times New Roman" w:cs="Times New Roman"/>
          <w:sz w:val="28"/>
          <w:szCs w:val="28"/>
        </w:rPr>
      </w:pPr>
    </w:p>
    <w:p w:rsidR="0048164D" w:rsidRDefault="000F7991" w:rsidP="00CF29FF">
      <w:pPr>
        <w:jc w:val="both"/>
        <w:rPr>
          <w:rFonts w:ascii="Times New Roman" w:hAnsi="Times New Roman" w:cs="Times New Roman"/>
          <w:sz w:val="28"/>
          <w:szCs w:val="28"/>
        </w:rPr>
      </w:pPr>
      <w:r w:rsidRPr="003B3EF6">
        <w:rPr>
          <w:rFonts w:ascii="Times New Roman" w:hAnsi="Times New Roman" w:cs="Times New Roman"/>
          <w:sz w:val="28"/>
          <w:szCs w:val="28"/>
        </w:rPr>
        <w:t>Al-Samarrai S.</w:t>
      </w:r>
      <w:r w:rsidR="005F0476">
        <w:rPr>
          <w:rFonts w:ascii="Times New Roman" w:hAnsi="Times New Roman" w:cs="Times New Roman"/>
          <w:sz w:val="28"/>
          <w:szCs w:val="28"/>
        </w:rPr>
        <w:t>,</w:t>
      </w:r>
      <w:r w:rsidRPr="003B3EF6">
        <w:rPr>
          <w:rFonts w:ascii="Times New Roman" w:hAnsi="Times New Roman" w:cs="Times New Roman"/>
          <w:sz w:val="28"/>
          <w:szCs w:val="28"/>
        </w:rPr>
        <w:t xml:space="preserve"> Bennell P.</w:t>
      </w:r>
      <w:r w:rsidR="005F0476">
        <w:rPr>
          <w:rFonts w:ascii="Times New Roman" w:hAnsi="Times New Roman" w:cs="Times New Roman"/>
          <w:sz w:val="28"/>
          <w:szCs w:val="28"/>
        </w:rPr>
        <w:t>S.</w:t>
      </w:r>
      <w:r w:rsidRPr="003B3EF6">
        <w:rPr>
          <w:rFonts w:ascii="Times New Roman" w:hAnsi="Times New Roman" w:cs="Times New Roman"/>
          <w:sz w:val="28"/>
          <w:szCs w:val="28"/>
        </w:rPr>
        <w:t xml:space="preserve"> </w:t>
      </w:r>
      <w:r w:rsidR="00E44C7B" w:rsidRPr="003B3EF6">
        <w:rPr>
          <w:rFonts w:ascii="Times New Roman" w:hAnsi="Times New Roman" w:cs="Times New Roman"/>
          <w:sz w:val="28"/>
          <w:szCs w:val="28"/>
        </w:rPr>
        <w:t>(</w:t>
      </w:r>
      <w:r w:rsidRPr="003B3EF6">
        <w:rPr>
          <w:rFonts w:ascii="Times New Roman" w:hAnsi="Times New Roman" w:cs="Times New Roman"/>
          <w:sz w:val="28"/>
          <w:szCs w:val="28"/>
        </w:rPr>
        <w:t>2003</w:t>
      </w:r>
      <w:r w:rsidR="00E44C7B" w:rsidRPr="003B3EF6">
        <w:rPr>
          <w:rFonts w:ascii="Times New Roman" w:hAnsi="Times New Roman" w:cs="Times New Roman"/>
          <w:sz w:val="28"/>
          <w:szCs w:val="28"/>
        </w:rPr>
        <w:t>)</w:t>
      </w:r>
      <w:r w:rsidRPr="003B3EF6">
        <w:rPr>
          <w:rFonts w:ascii="Times New Roman" w:hAnsi="Times New Roman" w:cs="Times New Roman"/>
          <w:sz w:val="28"/>
          <w:szCs w:val="28"/>
        </w:rPr>
        <w:t xml:space="preserve"> </w:t>
      </w:r>
      <w:r w:rsidR="00396A07" w:rsidRPr="003B3EF6">
        <w:rPr>
          <w:rFonts w:ascii="Times New Roman" w:hAnsi="Times New Roman" w:cs="Times New Roman"/>
          <w:sz w:val="28"/>
          <w:szCs w:val="28"/>
        </w:rPr>
        <w:t>Where</w:t>
      </w:r>
      <w:r w:rsidRPr="003B3EF6">
        <w:rPr>
          <w:rFonts w:ascii="Times New Roman" w:hAnsi="Times New Roman" w:cs="Times New Roman"/>
          <w:sz w:val="28"/>
          <w:szCs w:val="28"/>
        </w:rPr>
        <w:t xml:space="preserve"> has all the education gone in Africa? Employment outcomes among secondary school and university leavers. Institute of Development Studies, Sussex University.</w:t>
      </w:r>
    </w:p>
    <w:p w:rsidR="002B525F" w:rsidRPr="003B3EF6" w:rsidRDefault="002B525F" w:rsidP="00CF29FF">
      <w:pPr>
        <w:jc w:val="both"/>
        <w:rPr>
          <w:rFonts w:ascii="Times New Roman" w:hAnsi="Times New Roman" w:cs="Times New Roman"/>
          <w:sz w:val="28"/>
          <w:szCs w:val="28"/>
        </w:rPr>
      </w:pPr>
      <w:r>
        <w:rPr>
          <w:rFonts w:ascii="Times New Roman" w:hAnsi="Times New Roman" w:cs="Times New Roman"/>
          <w:sz w:val="28"/>
          <w:szCs w:val="28"/>
        </w:rPr>
        <w:t>Arias O.,</w:t>
      </w:r>
      <w:r w:rsidR="006C5FE5">
        <w:rPr>
          <w:rFonts w:ascii="Times New Roman" w:hAnsi="Times New Roman" w:cs="Times New Roman"/>
          <w:sz w:val="28"/>
          <w:szCs w:val="28"/>
        </w:rPr>
        <w:t xml:space="preserve"> Santos, A., Evans D.K. (2019) T</w:t>
      </w:r>
      <w:r>
        <w:rPr>
          <w:rFonts w:ascii="Times New Roman" w:hAnsi="Times New Roman" w:cs="Times New Roman"/>
          <w:sz w:val="28"/>
          <w:szCs w:val="28"/>
        </w:rPr>
        <w:t>he skills balancing act in sub-Saharan Africa: Investing in skills for productivity, inclusion and adaptability. World Bank, Washington D.C.</w:t>
      </w:r>
    </w:p>
    <w:p w:rsidR="0049729F" w:rsidRPr="003B3EF6" w:rsidRDefault="00DE496D" w:rsidP="00CF29FF">
      <w:pPr>
        <w:jc w:val="both"/>
        <w:rPr>
          <w:rFonts w:ascii="Times New Roman" w:hAnsi="Times New Roman" w:cs="Times New Roman"/>
          <w:sz w:val="28"/>
          <w:szCs w:val="28"/>
        </w:rPr>
      </w:pPr>
      <w:r w:rsidRPr="003B3EF6">
        <w:rPr>
          <w:rFonts w:ascii="Times New Roman" w:hAnsi="Times New Roman" w:cs="Times New Roman"/>
          <w:sz w:val="28"/>
          <w:szCs w:val="28"/>
        </w:rPr>
        <w:t>Azomahou</w:t>
      </w:r>
      <w:r w:rsidR="00C977E4" w:rsidRPr="003B3EF6">
        <w:rPr>
          <w:rFonts w:ascii="Times New Roman" w:hAnsi="Times New Roman" w:cs="Times New Roman"/>
          <w:sz w:val="28"/>
          <w:szCs w:val="28"/>
        </w:rPr>
        <w:t xml:space="preserve"> T.T.</w:t>
      </w:r>
      <w:r w:rsidR="005F0476">
        <w:rPr>
          <w:rFonts w:ascii="Times New Roman" w:hAnsi="Times New Roman" w:cs="Times New Roman"/>
          <w:sz w:val="28"/>
          <w:szCs w:val="28"/>
        </w:rPr>
        <w:t xml:space="preserve">, </w:t>
      </w:r>
      <w:r w:rsidRPr="003B3EF6">
        <w:rPr>
          <w:rFonts w:ascii="Times New Roman" w:hAnsi="Times New Roman" w:cs="Times New Roman"/>
          <w:sz w:val="28"/>
          <w:szCs w:val="28"/>
        </w:rPr>
        <w:t>Yitbarek</w:t>
      </w:r>
      <w:r w:rsidR="00C977E4" w:rsidRPr="003B3EF6">
        <w:rPr>
          <w:rFonts w:ascii="Times New Roman" w:hAnsi="Times New Roman" w:cs="Times New Roman"/>
          <w:sz w:val="28"/>
          <w:szCs w:val="28"/>
        </w:rPr>
        <w:t>, E.A.</w:t>
      </w:r>
      <w:r w:rsidRPr="003B3EF6">
        <w:rPr>
          <w:rFonts w:ascii="Times New Roman" w:hAnsi="Times New Roman" w:cs="Times New Roman"/>
          <w:sz w:val="28"/>
          <w:szCs w:val="28"/>
        </w:rPr>
        <w:t xml:space="preserve"> (2015) </w:t>
      </w:r>
      <w:r w:rsidR="00C977E4" w:rsidRPr="003B3EF6">
        <w:rPr>
          <w:rFonts w:ascii="Times New Roman" w:hAnsi="Times New Roman" w:cs="Times New Roman"/>
          <w:sz w:val="28"/>
          <w:szCs w:val="28"/>
        </w:rPr>
        <w:t xml:space="preserve">Intergenerational </w:t>
      </w:r>
      <w:r w:rsidRPr="003B3EF6">
        <w:rPr>
          <w:rFonts w:ascii="Times New Roman" w:hAnsi="Times New Roman" w:cs="Times New Roman"/>
          <w:sz w:val="28"/>
          <w:szCs w:val="28"/>
        </w:rPr>
        <w:t>mobility</w:t>
      </w:r>
      <w:r w:rsidR="00C977E4" w:rsidRPr="003B3EF6">
        <w:rPr>
          <w:rFonts w:ascii="Times New Roman" w:hAnsi="Times New Roman" w:cs="Times New Roman"/>
          <w:sz w:val="28"/>
          <w:szCs w:val="28"/>
        </w:rPr>
        <w:t xml:space="preserve"> in Africa:</w:t>
      </w:r>
      <w:r w:rsidR="00F51258" w:rsidRPr="003B3EF6">
        <w:rPr>
          <w:rFonts w:ascii="Times New Roman" w:hAnsi="Times New Roman" w:cs="Times New Roman"/>
          <w:sz w:val="28"/>
          <w:szCs w:val="28"/>
        </w:rPr>
        <w:t xml:space="preserve"> H</w:t>
      </w:r>
      <w:r w:rsidR="00C977E4" w:rsidRPr="003B3EF6">
        <w:rPr>
          <w:rFonts w:ascii="Times New Roman" w:hAnsi="Times New Roman" w:cs="Times New Roman"/>
          <w:sz w:val="28"/>
          <w:szCs w:val="28"/>
        </w:rPr>
        <w:t>as progress been inclusive?  Maastricht University</w:t>
      </w:r>
    </w:p>
    <w:p w:rsidR="00DE496D" w:rsidRPr="003B3EF6" w:rsidRDefault="0049729F" w:rsidP="00CF29FF">
      <w:pPr>
        <w:jc w:val="both"/>
        <w:rPr>
          <w:rFonts w:ascii="Times New Roman" w:hAnsi="Times New Roman" w:cs="Times New Roman"/>
          <w:sz w:val="28"/>
          <w:szCs w:val="28"/>
        </w:rPr>
      </w:pPr>
      <w:r w:rsidRPr="003B3EF6">
        <w:rPr>
          <w:rFonts w:ascii="Times New Roman" w:hAnsi="Times New Roman" w:cs="Times New Roman"/>
          <w:sz w:val="28"/>
          <w:szCs w:val="28"/>
        </w:rPr>
        <w:t xml:space="preserve">Banerji R. (2000) </w:t>
      </w:r>
      <w:r w:rsidR="00F51258" w:rsidRPr="003B3EF6">
        <w:rPr>
          <w:rFonts w:ascii="Times New Roman" w:hAnsi="Times New Roman" w:cs="Times New Roman"/>
          <w:sz w:val="28"/>
          <w:szCs w:val="28"/>
        </w:rPr>
        <w:t>Poverty and primary schooling: F</w:t>
      </w:r>
      <w:r w:rsidRPr="003B3EF6">
        <w:rPr>
          <w:rFonts w:ascii="Times New Roman" w:hAnsi="Times New Roman" w:cs="Times New Roman"/>
          <w:sz w:val="28"/>
          <w:szCs w:val="28"/>
        </w:rPr>
        <w:t>ield studies from Mumbai and Delhi. Economic and Political Weekly. March 4.</w:t>
      </w:r>
      <w:r w:rsidR="00DE496D" w:rsidRPr="003B3EF6">
        <w:rPr>
          <w:rFonts w:ascii="Times New Roman" w:hAnsi="Times New Roman" w:cs="Times New Roman"/>
          <w:sz w:val="28"/>
          <w:szCs w:val="28"/>
        </w:rPr>
        <w:t xml:space="preserve"> </w:t>
      </w:r>
    </w:p>
    <w:p w:rsidR="0048164D" w:rsidRPr="003B3EF6" w:rsidRDefault="00DE496D" w:rsidP="00CF29FF">
      <w:pPr>
        <w:jc w:val="both"/>
        <w:rPr>
          <w:rFonts w:ascii="Times New Roman" w:hAnsi="Times New Roman" w:cs="Times New Roman"/>
          <w:sz w:val="28"/>
          <w:szCs w:val="28"/>
        </w:rPr>
      </w:pPr>
      <w:r w:rsidRPr="003B3EF6">
        <w:rPr>
          <w:rFonts w:ascii="Times New Roman" w:hAnsi="Times New Roman" w:cs="Times New Roman"/>
          <w:sz w:val="28"/>
          <w:szCs w:val="28"/>
        </w:rPr>
        <w:t>Barouni M., Broecke., S. (2014) The returns to education in Africa:</w:t>
      </w:r>
      <w:r w:rsidR="00F51258" w:rsidRPr="003B3EF6">
        <w:rPr>
          <w:rFonts w:ascii="Times New Roman" w:hAnsi="Times New Roman" w:cs="Times New Roman"/>
          <w:sz w:val="28"/>
          <w:szCs w:val="28"/>
        </w:rPr>
        <w:t xml:space="preserve"> S</w:t>
      </w:r>
      <w:r w:rsidRPr="003B3EF6">
        <w:rPr>
          <w:rFonts w:ascii="Times New Roman" w:hAnsi="Times New Roman" w:cs="Times New Roman"/>
          <w:sz w:val="28"/>
          <w:szCs w:val="28"/>
        </w:rPr>
        <w:t>ome new estimates. Journal of Development Studies, 50:12, 1593-1613.</w:t>
      </w:r>
    </w:p>
    <w:p w:rsidR="00C977E4" w:rsidRPr="003B3EF6" w:rsidRDefault="006450E9" w:rsidP="006450E9">
      <w:pPr>
        <w:jc w:val="both"/>
        <w:rPr>
          <w:rFonts w:ascii="Times New Roman" w:hAnsi="Times New Roman" w:cs="Times New Roman"/>
          <w:sz w:val="28"/>
          <w:szCs w:val="28"/>
        </w:rPr>
      </w:pPr>
      <w:r w:rsidRPr="003B3EF6">
        <w:rPr>
          <w:rFonts w:ascii="Times New Roman" w:hAnsi="Times New Roman" w:cs="Times New Roman"/>
          <w:sz w:val="28"/>
          <w:szCs w:val="28"/>
        </w:rPr>
        <w:t>Bashir S., Lockheed, M, Ninan, E., Tan J-P. (2018) Facing forward: Schooling for learning in Africa. AFD and World Bank. Washington D.C.</w:t>
      </w:r>
    </w:p>
    <w:p w:rsidR="006450E9" w:rsidRPr="003B3EF6" w:rsidRDefault="00C977E4" w:rsidP="006450E9">
      <w:pPr>
        <w:jc w:val="both"/>
        <w:rPr>
          <w:rFonts w:ascii="Times New Roman" w:hAnsi="Times New Roman" w:cs="Times New Roman"/>
          <w:sz w:val="28"/>
          <w:szCs w:val="28"/>
        </w:rPr>
      </w:pPr>
      <w:r w:rsidRPr="003B3EF6">
        <w:rPr>
          <w:rFonts w:ascii="Times New Roman" w:hAnsi="Times New Roman" w:cs="Times New Roman"/>
          <w:sz w:val="28"/>
          <w:szCs w:val="28"/>
        </w:rPr>
        <w:t xml:space="preserve">Beegle K., Christiaensen, L., Dabalen, A., Gaddis, I. </w:t>
      </w:r>
      <w:r w:rsidR="009B341A">
        <w:rPr>
          <w:rFonts w:ascii="Times New Roman" w:hAnsi="Times New Roman" w:cs="Times New Roman"/>
          <w:sz w:val="28"/>
          <w:szCs w:val="28"/>
        </w:rPr>
        <w:t>(</w:t>
      </w:r>
      <w:r w:rsidRPr="003B3EF6">
        <w:rPr>
          <w:rFonts w:ascii="Times New Roman" w:hAnsi="Times New Roman" w:cs="Times New Roman"/>
          <w:sz w:val="28"/>
          <w:szCs w:val="28"/>
        </w:rPr>
        <w:t>2016</w:t>
      </w:r>
      <w:r w:rsidR="009B341A">
        <w:rPr>
          <w:rFonts w:ascii="Times New Roman" w:hAnsi="Times New Roman" w:cs="Times New Roman"/>
          <w:sz w:val="28"/>
          <w:szCs w:val="28"/>
        </w:rPr>
        <w:t>)</w:t>
      </w:r>
      <w:r w:rsidRPr="003B3EF6">
        <w:rPr>
          <w:rFonts w:ascii="Times New Roman" w:hAnsi="Times New Roman" w:cs="Times New Roman"/>
          <w:sz w:val="28"/>
          <w:szCs w:val="28"/>
        </w:rPr>
        <w:t xml:space="preserve"> Inequality in Africa. World Bank, Washington D.C.</w:t>
      </w:r>
      <w:r w:rsidR="006450E9" w:rsidRPr="003B3EF6">
        <w:rPr>
          <w:rFonts w:ascii="Times New Roman" w:hAnsi="Times New Roman" w:cs="Times New Roman"/>
          <w:sz w:val="28"/>
          <w:szCs w:val="28"/>
        </w:rPr>
        <w:t xml:space="preserve">    </w:t>
      </w:r>
    </w:p>
    <w:p w:rsidR="00E03296" w:rsidRPr="003B3EF6" w:rsidRDefault="00E03296" w:rsidP="00E03296">
      <w:pPr>
        <w:jc w:val="both"/>
        <w:rPr>
          <w:rFonts w:ascii="Times New Roman" w:hAnsi="Times New Roman" w:cs="Times New Roman"/>
          <w:sz w:val="28"/>
          <w:szCs w:val="28"/>
        </w:rPr>
      </w:pPr>
      <w:r w:rsidRPr="003B3EF6">
        <w:rPr>
          <w:rFonts w:ascii="Times New Roman" w:hAnsi="Times New Roman" w:cs="Times New Roman"/>
          <w:sz w:val="28"/>
          <w:szCs w:val="28"/>
        </w:rPr>
        <w:t xml:space="preserve">Beegle K., Christiaensen, L., Dabalen, A., Gaddis, I. </w:t>
      </w:r>
      <w:r w:rsidR="009B341A">
        <w:rPr>
          <w:rFonts w:ascii="Times New Roman" w:hAnsi="Times New Roman" w:cs="Times New Roman"/>
          <w:sz w:val="28"/>
          <w:szCs w:val="28"/>
        </w:rPr>
        <w:t>(</w:t>
      </w:r>
      <w:r w:rsidRPr="003B3EF6">
        <w:rPr>
          <w:rFonts w:ascii="Times New Roman" w:hAnsi="Times New Roman" w:cs="Times New Roman"/>
          <w:sz w:val="28"/>
          <w:szCs w:val="28"/>
        </w:rPr>
        <w:t>2016</w:t>
      </w:r>
      <w:r w:rsidR="009B341A">
        <w:rPr>
          <w:rFonts w:ascii="Times New Roman" w:hAnsi="Times New Roman" w:cs="Times New Roman"/>
          <w:sz w:val="28"/>
          <w:szCs w:val="28"/>
        </w:rPr>
        <w:t>)</w:t>
      </w:r>
      <w:r w:rsidRPr="003B3EF6">
        <w:rPr>
          <w:rFonts w:ascii="Times New Roman" w:hAnsi="Times New Roman" w:cs="Times New Roman"/>
          <w:sz w:val="28"/>
          <w:szCs w:val="28"/>
        </w:rPr>
        <w:t xml:space="preserve"> Poverty in a rising Africa. World Bank, Washington D.C.    </w:t>
      </w:r>
    </w:p>
    <w:p w:rsidR="00663402" w:rsidRPr="003B3EF6" w:rsidRDefault="00663402" w:rsidP="00CF29FF">
      <w:pPr>
        <w:jc w:val="both"/>
        <w:rPr>
          <w:rFonts w:ascii="Times New Roman" w:hAnsi="Times New Roman" w:cs="Times New Roman"/>
          <w:sz w:val="28"/>
          <w:szCs w:val="28"/>
        </w:rPr>
      </w:pPr>
      <w:r w:rsidRPr="003B3EF6">
        <w:rPr>
          <w:rFonts w:ascii="Times New Roman" w:hAnsi="Times New Roman" w:cs="Times New Roman"/>
          <w:sz w:val="28"/>
          <w:szCs w:val="28"/>
        </w:rPr>
        <w:t>Bhatia</w:t>
      </w:r>
      <w:r w:rsidR="009457AB" w:rsidRPr="003B3EF6">
        <w:rPr>
          <w:rFonts w:ascii="Times New Roman" w:hAnsi="Times New Roman" w:cs="Times New Roman"/>
          <w:sz w:val="28"/>
          <w:szCs w:val="28"/>
        </w:rPr>
        <w:t xml:space="preserve"> K</w:t>
      </w:r>
      <w:r w:rsidR="009B341A">
        <w:rPr>
          <w:rFonts w:ascii="Times New Roman" w:hAnsi="Times New Roman" w:cs="Times New Roman"/>
          <w:sz w:val="28"/>
          <w:szCs w:val="28"/>
        </w:rPr>
        <w:t>.,</w:t>
      </w:r>
      <w:r w:rsidRPr="003B3EF6">
        <w:rPr>
          <w:rFonts w:ascii="Times New Roman" w:hAnsi="Times New Roman" w:cs="Times New Roman"/>
          <w:sz w:val="28"/>
          <w:szCs w:val="28"/>
        </w:rPr>
        <w:t xml:space="preserve"> Ghanem</w:t>
      </w:r>
      <w:r w:rsidR="008C1876" w:rsidRPr="003B3EF6">
        <w:rPr>
          <w:rFonts w:ascii="Times New Roman" w:hAnsi="Times New Roman" w:cs="Times New Roman"/>
          <w:sz w:val="28"/>
          <w:szCs w:val="28"/>
        </w:rPr>
        <w:t>, H. (2017) How do education and unemployment affect support for violent extremism? Brookings, Washington D.C.</w:t>
      </w:r>
    </w:p>
    <w:p w:rsidR="005E224B" w:rsidRPr="003B3EF6" w:rsidRDefault="005E224B" w:rsidP="00CF29FF">
      <w:pPr>
        <w:jc w:val="both"/>
        <w:rPr>
          <w:rFonts w:ascii="Times New Roman" w:hAnsi="Times New Roman" w:cs="Times New Roman"/>
          <w:sz w:val="28"/>
          <w:szCs w:val="28"/>
        </w:rPr>
      </w:pPr>
      <w:r w:rsidRPr="003B3EF6">
        <w:rPr>
          <w:rFonts w:ascii="Times New Roman" w:hAnsi="Times New Roman" w:cs="Times New Roman"/>
          <w:sz w:val="28"/>
          <w:szCs w:val="28"/>
        </w:rPr>
        <w:t xml:space="preserve">Beauchemin </w:t>
      </w:r>
      <w:r w:rsidR="009B341A">
        <w:rPr>
          <w:rFonts w:ascii="Times New Roman" w:hAnsi="Times New Roman" w:cs="Times New Roman"/>
          <w:sz w:val="28"/>
          <w:szCs w:val="28"/>
        </w:rPr>
        <w:t>J</w:t>
      </w:r>
      <w:r w:rsidRPr="003B3EF6">
        <w:rPr>
          <w:rFonts w:ascii="Times New Roman" w:hAnsi="Times New Roman" w:cs="Times New Roman"/>
          <w:sz w:val="28"/>
          <w:szCs w:val="28"/>
        </w:rPr>
        <w:t xml:space="preserve">. </w:t>
      </w:r>
      <w:r w:rsidR="009B341A">
        <w:rPr>
          <w:rFonts w:ascii="Times New Roman" w:hAnsi="Times New Roman" w:cs="Times New Roman"/>
          <w:sz w:val="28"/>
          <w:szCs w:val="28"/>
        </w:rPr>
        <w:t>(</w:t>
      </w:r>
      <w:r w:rsidRPr="003B3EF6">
        <w:rPr>
          <w:rFonts w:ascii="Times New Roman" w:hAnsi="Times New Roman" w:cs="Times New Roman"/>
          <w:sz w:val="28"/>
          <w:szCs w:val="28"/>
        </w:rPr>
        <w:t>20</w:t>
      </w:r>
      <w:r w:rsidR="00C977E4" w:rsidRPr="003B3EF6">
        <w:rPr>
          <w:rFonts w:ascii="Times New Roman" w:hAnsi="Times New Roman" w:cs="Times New Roman"/>
          <w:sz w:val="28"/>
          <w:szCs w:val="28"/>
        </w:rPr>
        <w:t>11</w:t>
      </w:r>
      <w:r w:rsidR="009B341A">
        <w:rPr>
          <w:rFonts w:ascii="Times New Roman" w:hAnsi="Times New Roman" w:cs="Times New Roman"/>
          <w:sz w:val="28"/>
          <w:szCs w:val="28"/>
        </w:rPr>
        <w:t>)</w:t>
      </w:r>
      <w:r w:rsidR="00396A07">
        <w:rPr>
          <w:rFonts w:ascii="Times New Roman" w:hAnsi="Times New Roman" w:cs="Times New Roman"/>
          <w:sz w:val="28"/>
          <w:szCs w:val="28"/>
        </w:rPr>
        <w:t xml:space="preserve"> Urban-urban migration in Wes</w:t>
      </w:r>
      <w:r w:rsidR="00C977E4" w:rsidRPr="003B3EF6">
        <w:rPr>
          <w:rFonts w:ascii="Times New Roman" w:hAnsi="Times New Roman" w:cs="Times New Roman"/>
          <w:sz w:val="28"/>
          <w:szCs w:val="28"/>
        </w:rPr>
        <w:t>t Africa:</w:t>
      </w:r>
      <w:r w:rsidR="00F51258" w:rsidRPr="003B3EF6">
        <w:rPr>
          <w:rFonts w:ascii="Times New Roman" w:hAnsi="Times New Roman" w:cs="Times New Roman"/>
          <w:sz w:val="28"/>
          <w:szCs w:val="28"/>
        </w:rPr>
        <w:t xml:space="preserve"> T</w:t>
      </w:r>
      <w:r w:rsidR="00C977E4" w:rsidRPr="003B3EF6">
        <w:rPr>
          <w:rFonts w:ascii="Times New Roman" w:hAnsi="Times New Roman" w:cs="Times New Roman"/>
          <w:sz w:val="28"/>
          <w:szCs w:val="28"/>
        </w:rPr>
        <w:t xml:space="preserve">owards a reversal? Migration trends and economic situation in Burkina Faso and Cote d’Ivoire. Population, Space and Place. </w:t>
      </w:r>
    </w:p>
    <w:p w:rsidR="00663402" w:rsidRPr="003B3EF6" w:rsidRDefault="00663402" w:rsidP="00CF29FF">
      <w:pPr>
        <w:jc w:val="both"/>
        <w:rPr>
          <w:rFonts w:ascii="Times New Roman" w:hAnsi="Times New Roman" w:cs="Times New Roman"/>
          <w:sz w:val="28"/>
          <w:szCs w:val="28"/>
        </w:rPr>
      </w:pPr>
      <w:r w:rsidRPr="003B3EF6">
        <w:rPr>
          <w:rFonts w:ascii="Times New Roman" w:hAnsi="Times New Roman" w:cs="Times New Roman"/>
          <w:sz w:val="28"/>
          <w:szCs w:val="28"/>
        </w:rPr>
        <w:t>Cammack</w:t>
      </w:r>
      <w:r w:rsidR="00C977E4" w:rsidRPr="003B3EF6">
        <w:rPr>
          <w:rFonts w:ascii="Times New Roman" w:hAnsi="Times New Roman" w:cs="Times New Roman"/>
          <w:sz w:val="28"/>
          <w:szCs w:val="28"/>
        </w:rPr>
        <w:t>, D.</w:t>
      </w:r>
      <w:r w:rsidR="008C1876" w:rsidRPr="003B3EF6">
        <w:rPr>
          <w:rFonts w:ascii="Times New Roman" w:hAnsi="Times New Roman" w:cs="Times New Roman"/>
          <w:sz w:val="28"/>
          <w:szCs w:val="28"/>
        </w:rPr>
        <w:t xml:space="preserve"> (2017).</w:t>
      </w:r>
      <w:r w:rsidR="00C977E4" w:rsidRPr="003B3EF6">
        <w:rPr>
          <w:rFonts w:ascii="Times New Roman" w:hAnsi="Times New Roman" w:cs="Times New Roman"/>
          <w:sz w:val="28"/>
          <w:szCs w:val="28"/>
        </w:rPr>
        <w:t xml:space="preserve"> Malawi’s political settlement:</w:t>
      </w:r>
      <w:r w:rsidR="00F51258" w:rsidRPr="003B3EF6">
        <w:rPr>
          <w:rFonts w:ascii="Times New Roman" w:hAnsi="Times New Roman" w:cs="Times New Roman"/>
          <w:sz w:val="28"/>
          <w:szCs w:val="28"/>
        </w:rPr>
        <w:t xml:space="preserve"> C</w:t>
      </w:r>
      <w:r w:rsidR="00C977E4" w:rsidRPr="003B3EF6">
        <w:rPr>
          <w:rFonts w:ascii="Times New Roman" w:hAnsi="Times New Roman" w:cs="Times New Roman"/>
          <w:sz w:val="28"/>
          <w:szCs w:val="28"/>
        </w:rPr>
        <w:t>rafting poverty and peace. Journal of International Development</w:t>
      </w:r>
      <w:r w:rsidR="006C5FE5">
        <w:rPr>
          <w:rFonts w:ascii="Times New Roman" w:hAnsi="Times New Roman" w:cs="Times New Roman"/>
          <w:sz w:val="28"/>
          <w:szCs w:val="28"/>
        </w:rPr>
        <w:t>: 660-685.</w:t>
      </w:r>
    </w:p>
    <w:p w:rsidR="008C1876" w:rsidRDefault="008C1876" w:rsidP="00CF29FF">
      <w:pPr>
        <w:jc w:val="both"/>
        <w:rPr>
          <w:rFonts w:ascii="Times New Roman" w:hAnsi="Times New Roman" w:cs="Times New Roman"/>
          <w:sz w:val="28"/>
          <w:szCs w:val="28"/>
        </w:rPr>
      </w:pPr>
      <w:r w:rsidRPr="003B3EF6">
        <w:rPr>
          <w:rFonts w:ascii="Times New Roman" w:hAnsi="Times New Roman" w:cs="Times New Roman"/>
          <w:sz w:val="28"/>
          <w:szCs w:val="28"/>
        </w:rPr>
        <w:t>Davies L</w:t>
      </w:r>
      <w:r w:rsidR="005F0476">
        <w:rPr>
          <w:rFonts w:ascii="Times New Roman" w:hAnsi="Times New Roman" w:cs="Times New Roman"/>
          <w:sz w:val="28"/>
          <w:szCs w:val="28"/>
        </w:rPr>
        <w:t>. (2008) E</w:t>
      </w:r>
      <w:r w:rsidRPr="003B3EF6">
        <w:rPr>
          <w:rFonts w:ascii="Times New Roman" w:hAnsi="Times New Roman" w:cs="Times New Roman"/>
          <w:sz w:val="28"/>
          <w:szCs w:val="28"/>
        </w:rPr>
        <w:t xml:space="preserve">ducation against extremism. International Review </w:t>
      </w:r>
      <w:r w:rsidR="00396A07" w:rsidRPr="003B3EF6">
        <w:rPr>
          <w:rFonts w:ascii="Times New Roman" w:hAnsi="Times New Roman" w:cs="Times New Roman"/>
          <w:sz w:val="28"/>
          <w:szCs w:val="28"/>
        </w:rPr>
        <w:t>of</w:t>
      </w:r>
      <w:r w:rsidRPr="003B3EF6">
        <w:rPr>
          <w:rFonts w:ascii="Times New Roman" w:hAnsi="Times New Roman" w:cs="Times New Roman"/>
          <w:sz w:val="28"/>
          <w:szCs w:val="28"/>
        </w:rPr>
        <w:t xml:space="preserve"> Education 55, 2-3.</w:t>
      </w:r>
    </w:p>
    <w:p w:rsidR="0084111F" w:rsidRPr="003B3EF6" w:rsidRDefault="0084111F" w:rsidP="00CF29FF">
      <w:pPr>
        <w:jc w:val="both"/>
        <w:rPr>
          <w:rFonts w:ascii="Times New Roman" w:hAnsi="Times New Roman" w:cs="Times New Roman"/>
          <w:sz w:val="28"/>
          <w:szCs w:val="28"/>
        </w:rPr>
      </w:pPr>
      <w:r>
        <w:rPr>
          <w:rFonts w:ascii="Times New Roman" w:hAnsi="Times New Roman" w:cs="Times New Roman"/>
          <w:sz w:val="28"/>
          <w:szCs w:val="28"/>
        </w:rPr>
        <w:t>Dore, D. 1976. The diploma disease. Allen and Unwin, London.</w:t>
      </w:r>
    </w:p>
    <w:p w:rsidR="00663402" w:rsidRDefault="00663402" w:rsidP="00CF29FF">
      <w:pPr>
        <w:jc w:val="both"/>
        <w:rPr>
          <w:rFonts w:ascii="Times New Roman" w:hAnsi="Times New Roman" w:cs="Times New Roman"/>
          <w:sz w:val="28"/>
          <w:szCs w:val="28"/>
        </w:rPr>
      </w:pPr>
      <w:r w:rsidRPr="003B3EF6">
        <w:rPr>
          <w:rFonts w:ascii="Times New Roman" w:hAnsi="Times New Roman" w:cs="Times New Roman"/>
          <w:sz w:val="28"/>
          <w:szCs w:val="28"/>
        </w:rPr>
        <w:t>Doeringer</w:t>
      </w:r>
      <w:r w:rsidR="00C977E4" w:rsidRPr="003B3EF6">
        <w:rPr>
          <w:rFonts w:ascii="Times New Roman" w:hAnsi="Times New Roman" w:cs="Times New Roman"/>
          <w:sz w:val="28"/>
          <w:szCs w:val="28"/>
        </w:rPr>
        <w:t xml:space="preserve"> P.B. and </w:t>
      </w:r>
      <w:r w:rsidRPr="003B3EF6">
        <w:rPr>
          <w:rFonts w:ascii="Times New Roman" w:hAnsi="Times New Roman" w:cs="Times New Roman"/>
          <w:sz w:val="28"/>
          <w:szCs w:val="28"/>
        </w:rPr>
        <w:t xml:space="preserve"> Priore</w:t>
      </w:r>
      <w:r w:rsidR="00C977E4" w:rsidRPr="003B3EF6">
        <w:rPr>
          <w:rFonts w:ascii="Times New Roman" w:hAnsi="Times New Roman" w:cs="Times New Roman"/>
          <w:sz w:val="28"/>
          <w:szCs w:val="28"/>
        </w:rPr>
        <w:t xml:space="preserve">, M.J. (1985) Internal labour markets and manpower analysis. </w:t>
      </w:r>
    </w:p>
    <w:p w:rsidR="00F51258" w:rsidRPr="003B3EF6" w:rsidRDefault="00F51258" w:rsidP="00F51258">
      <w:pPr>
        <w:jc w:val="both"/>
        <w:rPr>
          <w:rFonts w:ascii="Times New Roman" w:hAnsi="Times New Roman" w:cs="Times New Roman"/>
          <w:sz w:val="28"/>
          <w:szCs w:val="28"/>
        </w:rPr>
      </w:pPr>
      <w:r w:rsidRPr="003B3EF6">
        <w:rPr>
          <w:rFonts w:ascii="Times New Roman" w:hAnsi="Times New Roman" w:cs="Times New Roman"/>
          <w:sz w:val="28"/>
          <w:szCs w:val="28"/>
        </w:rPr>
        <w:lastRenderedPageBreak/>
        <w:t>Filmer D. and Fox, L. (2014) Youth unemployment in sub-Saharan Africa. Africa Development Series. Washington D.C. World Bank.</w:t>
      </w:r>
    </w:p>
    <w:p w:rsidR="008C5039" w:rsidRDefault="008C5039" w:rsidP="00CF29FF">
      <w:pPr>
        <w:jc w:val="both"/>
        <w:rPr>
          <w:rFonts w:ascii="Times New Roman" w:hAnsi="Times New Roman" w:cs="Times New Roman"/>
          <w:sz w:val="28"/>
          <w:szCs w:val="28"/>
        </w:rPr>
      </w:pPr>
      <w:r>
        <w:rPr>
          <w:rFonts w:ascii="Times New Roman" w:hAnsi="Times New Roman" w:cs="Times New Roman"/>
          <w:sz w:val="28"/>
          <w:szCs w:val="28"/>
        </w:rPr>
        <w:t>Gintis and Bowles. Schooling in capitalist A</w:t>
      </w:r>
      <w:r w:rsidR="00D84E3B">
        <w:rPr>
          <w:rFonts w:ascii="Times New Roman" w:hAnsi="Times New Roman" w:cs="Times New Roman"/>
          <w:sz w:val="28"/>
          <w:szCs w:val="28"/>
        </w:rPr>
        <w:t>merica:</w:t>
      </w:r>
      <w:r w:rsidR="008B7C79">
        <w:rPr>
          <w:rFonts w:ascii="Times New Roman" w:hAnsi="Times New Roman" w:cs="Times New Roman"/>
          <w:sz w:val="28"/>
          <w:szCs w:val="28"/>
        </w:rPr>
        <w:t xml:space="preserve"> </w:t>
      </w:r>
      <w:r w:rsidR="00D84E3B">
        <w:rPr>
          <w:rFonts w:ascii="Times New Roman" w:hAnsi="Times New Roman" w:cs="Times New Roman"/>
          <w:sz w:val="28"/>
          <w:szCs w:val="28"/>
        </w:rPr>
        <w:t>Education reform and the contradictions of economic life. Basic Books, New York.</w:t>
      </w:r>
    </w:p>
    <w:p w:rsidR="00F81E01" w:rsidRPr="003B3EF6" w:rsidRDefault="00F81E01" w:rsidP="00CF29FF">
      <w:pPr>
        <w:jc w:val="both"/>
        <w:rPr>
          <w:rFonts w:ascii="Times New Roman" w:hAnsi="Times New Roman" w:cs="Times New Roman"/>
          <w:sz w:val="28"/>
          <w:szCs w:val="28"/>
        </w:rPr>
      </w:pPr>
      <w:r w:rsidRPr="003B3EF6">
        <w:rPr>
          <w:rFonts w:ascii="Times New Roman" w:hAnsi="Times New Roman" w:cs="Times New Roman"/>
          <w:sz w:val="28"/>
          <w:szCs w:val="28"/>
        </w:rPr>
        <w:t>Glewwe P., Muralidharan, K</w:t>
      </w:r>
      <w:r w:rsidR="00DE496D" w:rsidRPr="003B3EF6">
        <w:rPr>
          <w:rFonts w:ascii="Times New Roman" w:hAnsi="Times New Roman" w:cs="Times New Roman"/>
          <w:sz w:val="28"/>
          <w:szCs w:val="28"/>
        </w:rPr>
        <w:t>. (2015) Improving school education out</w:t>
      </w:r>
      <w:r w:rsidR="00F51258" w:rsidRPr="003B3EF6">
        <w:rPr>
          <w:rFonts w:ascii="Times New Roman" w:hAnsi="Times New Roman" w:cs="Times New Roman"/>
          <w:sz w:val="28"/>
          <w:szCs w:val="28"/>
        </w:rPr>
        <w:t>comes in developing countries: E</w:t>
      </w:r>
      <w:r w:rsidR="00DE496D" w:rsidRPr="003B3EF6">
        <w:rPr>
          <w:rFonts w:ascii="Times New Roman" w:hAnsi="Times New Roman" w:cs="Times New Roman"/>
          <w:sz w:val="28"/>
          <w:szCs w:val="28"/>
        </w:rPr>
        <w:t>vidence, knowledge gaps and policy implications.</w:t>
      </w:r>
    </w:p>
    <w:p w:rsidR="00F51258" w:rsidRPr="003B3EF6" w:rsidRDefault="00F51258" w:rsidP="00F51258">
      <w:pPr>
        <w:jc w:val="both"/>
        <w:rPr>
          <w:rFonts w:ascii="Times New Roman" w:hAnsi="Times New Roman" w:cs="Times New Roman"/>
          <w:sz w:val="28"/>
          <w:szCs w:val="28"/>
        </w:rPr>
      </w:pPr>
      <w:r w:rsidRPr="003B3EF6">
        <w:rPr>
          <w:rFonts w:ascii="Times New Roman" w:hAnsi="Times New Roman" w:cs="Times New Roman"/>
          <w:sz w:val="28"/>
          <w:szCs w:val="28"/>
        </w:rPr>
        <w:t xml:space="preserve">Govinda R. (2005) Elementary education: progress and challenges. </w:t>
      </w:r>
    </w:p>
    <w:p w:rsidR="00F51258" w:rsidRPr="003B3EF6" w:rsidRDefault="00F51258" w:rsidP="00F51258">
      <w:pPr>
        <w:jc w:val="both"/>
        <w:rPr>
          <w:rFonts w:ascii="Times New Roman" w:hAnsi="Times New Roman" w:cs="Times New Roman"/>
          <w:sz w:val="28"/>
          <w:szCs w:val="28"/>
        </w:rPr>
      </w:pPr>
      <w:r w:rsidRPr="003B3EF6">
        <w:rPr>
          <w:rFonts w:ascii="Times New Roman" w:hAnsi="Times New Roman" w:cs="Times New Roman"/>
          <w:sz w:val="28"/>
          <w:szCs w:val="28"/>
        </w:rPr>
        <w:t>Gruber L.</w:t>
      </w:r>
      <w:r w:rsidR="005F0476">
        <w:rPr>
          <w:rFonts w:ascii="Times New Roman" w:hAnsi="Times New Roman" w:cs="Times New Roman"/>
          <w:sz w:val="28"/>
          <w:szCs w:val="28"/>
        </w:rPr>
        <w:t xml:space="preserve">, </w:t>
      </w:r>
      <w:r w:rsidRPr="003B3EF6">
        <w:rPr>
          <w:rFonts w:ascii="Times New Roman" w:hAnsi="Times New Roman" w:cs="Times New Roman"/>
          <w:sz w:val="28"/>
          <w:szCs w:val="28"/>
        </w:rPr>
        <w:t>Kosack.</w:t>
      </w:r>
      <w:r w:rsidR="005F0476">
        <w:rPr>
          <w:rFonts w:ascii="Times New Roman" w:hAnsi="Times New Roman" w:cs="Times New Roman"/>
          <w:sz w:val="28"/>
          <w:szCs w:val="28"/>
        </w:rPr>
        <w:t xml:space="preserve"> </w:t>
      </w:r>
      <w:r w:rsidRPr="003B3EF6">
        <w:rPr>
          <w:rFonts w:ascii="Times New Roman" w:hAnsi="Times New Roman" w:cs="Times New Roman"/>
          <w:sz w:val="28"/>
          <w:szCs w:val="28"/>
        </w:rPr>
        <w:t>S. (2014) The tertiary education tilt: Education and inequality in the developing world. World Development 54:253.</w:t>
      </w:r>
    </w:p>
    <w:p w:rsidR="00663402" w:rsidRPr="003B3EF6" w:rsidRDefault="00663402" w:rsidP="00CF29FF">
      <w:pPr>
        <w:jc w:val="both"/>
        <w:rPr>
          <w:rFonts w:ascii="Times New Roman" w:hAnsi="Times New Roman" w:cs="Times New Roman"/>
          <w:sz w:val="28"/>
          <w:szCs w:val="28"/>
        </w:rPr>
      </w:pPr>
      <w:r w:rsidRPr="003B3EF6">
        <w:rPr>
          <w:rFonts w:ascii="Times New Roman" w:hAnsi="Times New Roman" w:cs="Times New Roman"/>
          <w:sz w:val="28"/>
          <w:szCs w:val="28"/>
        </w:rPr>
        <w:t>Harma</w:t>
      </w:r>
      <w:r w:rsidR="00C977E4" w:rsidRPr="003B3EF6">
        <w:rPr>
          <w:rFonts w:ascii="Times New Roman" w:hAnsi="Times New Roman" w:cs="Times New Roman"/>
          <w:sz w:val="28"/>
          <w:szCs w:val="28"/>
        </w:rPr>
        <w:t xml:space="preserve"> J. (2013) Access or quality? Why do families living in slums choose low-cost private schools in Lagos, Niger</w:t>
      </w:r>
      <w:r w:rsidR="005F0476">
        <w:rPr>
          <w:rFonts w:ascii="Times New Roman" w:hAnsi="Times New Roman" w:cs="Times New Roman"/>
          <w:sz w:val="28"/>
          <w:szCs w:val="28"/>
        </w:rPr>
        <w:t>ia?</w:t>
      </w:r>
      <w:r w:rsidR="00C977E4" w:rsidRPr="003B3EF6">
        <w:rPr>
          <w:rFonts w:ascii="Times New Roman" w:hAnsi="Times New Roman" w:cs="Times New Roman"/>
          <w:sz w:val="28"/>
          <w:szCs w:val="28"/>
        </w:rPr>
        <w:t xml:space="preserve"> </w:t>
      </w:r>
      <w:r w:rsidR="00E03296" w:rsidRPr="003B3EF6">
        <w:rPr>
          <w:rFonts w:ascii="Times New Roman" w:hAnsi="Times New Roman" w:cs="Times New Roman"/>
          <w:sz w:val="28"/>
          <w:szCs w:val="28"/>
        </w:rPr>
        <w:t>Oxford Review of Education.</w:t>
      </w:r>
    </w:p>
    <w:p w:rsidR="00E03296" w:rsidRPr="003B3EF6" w:rsidRDefault="007256FE" w:rsidP="00E03296">
      <w:pPr>
        <w:jc w:val="both"/>
        <w:rPr>
          <w:rFonts w:ascii="Times New Roman" w:hAnsi="Times New Roman" w:cs="Times New Roman"/>
          <w:sz w:val="28"/>
          <w:szCs w:val="28"/>
        </w:rPr>
      </w:pPr>
      <w:r>
        <w:rPr>
          <w:rFonts w:ascii="Times New Roman" w:hAnsi="Times New Roman" w:cs="Times New Roman"/>
          <w:sz w:val="28"/>
          <w:szCs w:val="28"/>
        </w:rPr>
        <w:t xml:space="preserve">Harma J., </w:t>
      </w:r>
      <w:r w:rsidR="00E03296" w:rsidRPr="003B3EF6">
        <w:rPr>
          <w:rFonts w:ascii="Times New Roman" w:hAnsi="Times New Roman" w:cs="Times New Roman"/>
          <w:sz w:val="28"/>
          <w:szCs w:val="28"/>
        </w:rPr>
        <w:t xml:space="preserve">Pikholz, L. </w:t>
      </w:r>
      <w:r w:rsidR="005F0476">
        <w:rPr>
          <w:rFonts w:ascii="Times New Roman" w:hAnsi="Times New Roman" w:cs="Times New Roman"/>
          <w:sz w:val="28"/>
          <w:szCs w:val="28"/>
        </w:rPr>
        <w:t>(</w:t>
      </w:r>
      <w:r w:rsidR="00E03296" w:rsidRPr="003B3EF6">
        <w:rPr>
          <w:rFonts w:ascii="Times New Roman" w:hAnsi="Times New Roman" w:cs="Times New Roman"/>
          <w:sz w:val="28"/>
          <w:szCs w:val="28"/>
        </w:rPr>
        <w:t>2017</w:t>
      </w:r>
      <w:r w:rsidR="005F0476">
        <w:rPr>
          <w:rFonts w:ascii="Times New Roman" w:hAnsi="Times New Roman" w:cs="Times New Roman"/>
          <w:sz w:val="28"/>
          <w:szCs w:val="28"/>
        </w:rPr>
        <w:t>)</w:t>
      </w:r>
      <w:r w:rsidR="00E03296" w:rsidRPr="003B3EF6">
        <w:rPr>
          <w:rFonts w:ascii="Times New Roman" w:hAnsi="Times New Roman" w:cs="Times New Roman"/>
          <w:sz w:val="28"/>
          <w:szCs w:val="28"/>
        </w:rPr>
        <w:t xml:space="preserve"> Market demand for low-fee private schools in K</w:t>
      </w:r>
      <w:r w:rsidR="005F0476">
        <w:rPr>
          <w:rFonts w:ascii="Times New Roman" w:hAnsi="Times New Roman" w:cs="Times New Roman"/>
          <w:sz w:val="28"/>
          <w:szCs w:val="28"/>
        </w:rPr>
        <w:t>ampala, Uganda. CapitalPlus Exch</w:t>
      </w:r>
      <w:r w:rsidR="00E03296" w:rsidRPr="003B3EF6">
        <w:rPr>
          <w:rFonts w:ascii="Times New Roman" w:hAnsi="Times New Roman" w:cs="Times New Roman"/>
          <w:sz w:val="28"/>
          <w:szCs w:val="28"/>
        </w:rPr>
        <w:t>ange Corporation. March.</w:t>
      </w:r>
    </w:p>
    <w:p w:rsidR="00663402" w:rsidRPr="003B3EF6" w:rsidRDefault="00663402" w:rsidP="00CF29FF">
      <w:pPr>
        <w:jc w:val="both"/>
        <w:rPr>
          <w:rFonts w:ascii="Times New Roman" w:hAnsi="Times New Roman" w:cs="Times New Roman"/>
          <w:sz w:val="28"/>
          <w:szCs w:val="28"/>
        </w:rPr>
      </w:pPr>
      <w:r w:rsidRPr="003B3EF6">
        <w:rPr>
          <w:rFonts w:ascii="Times New Roman" w:hAnsi="Times New Roman" w:cs="Times New Roman"/>
          <w:sz w:val="28"/>
          <w:szCs w:val="28"/>
        </w:rPr>
        <w:t>Harris</w:t>
      </w:r>
      <w:r w:rsidR="00913868">
        <w:rPr>
          <w:rFonts w:ascii="Times New Roman" w:hAnsi="Times New Roman" w:cs="Times New Roman"/>
          <w:sz w:val="28"/>
          <w:szCs w:val="28"/>
        </w:rPr>
        <w:t xml:space="preserve"> J.;</w:t>
      </w:r>
      <w:r w:rsidRPr="003B3EF6">
        <w:rPr>
          <w:rFonts w:ascii="Times New Roman" w:hAnsi="Times New Roman" w:cs="Times New Roman"/>
          <w:sz w:val="28"/>
          <w:szCs w:val="28"/>
        </w:rPr>
        <w:t xml:space="preserve"> Todaro</w:t>
      </w:r>
      <w:r w:rsidR="00913868">
        <w:rPr>
          <w:rFonts w:ascii="Times New Roman" w:hAnsi="Times New Roman" w:cs="Times New Roman"/>
          <w:sz w:val="28"/>
          <w:szCs w:val="28"/>
        </w:rPr>
        <w:t xml:space="preserve">, M. </w:t>
      </w:r>
      <w:r w:rsidR="004F0D10">
        <w:rPr>
          <w:rFonts w:ascii="Times New Roman" w:hAnsi="Times New Roman" w:cs="Times New Roman"/>
          <w:sz w:val="28"/>
          <w:szCs w:val="28"/>
        </w:rPr>
        <w:t xml:space="preserve">(1970) </w:t>
      </w:r>
      <w:r w:rsidR="00913868">
        <w:rPr>
          <w:rFonts w:ascii="Times New Roman" w:hAnsi="Times New Roman" w:cs="Times New Roman"/>
          <w:sz w:val="28"/>
          <w:szCs w:val="28"/>
        </w:rPr>
        <w:t>Migration, unemployment and development:</w:t>
      </w:r>
      <w:r w:rsidR="004F0D10">
        <w:rPr>
          <w:rFonts w:ascii="Times New Roman" w:hAnsi="Times New Roman" w:cs="Times New Roman"/>
          <w:sz w:val="28"/>
          <w:szCs w:val="28"/>
        </w:rPr>
        <w:t xml:space="preserve"> A two-sector analysis. American Economic Review 60, 126-</w:t>
      </w:r>
      <w:r w:rsidR="00D84E3B">
        <w:rPr>
          <w:rFonts w:ascii="Times New Roman" w:hAnsi="Times New Roman" w:cs="Times New Roman"/>
          <w:sz w:val="28"/>
          <w:szCs w:val="28"/>
        </w:rPr>
        <w:t>1</w:t>
      </w:r>
      <w:r w:rsidR="004F0D10">
        <w:rPr>
          <w:rFonts w:ascii="Times New Roman" w:hAnsi="Times New Roman" w:cs="Times New Roman"/>
          <w:sz w:val="28"/>
          <w:szCs w:val="28"/>
        </w:rPr>
        <w:t>42.</w:t>
      </w:r>
    </w:p>
    <w:p w:rsidR="00F51258" w:rsidRDefault="00F51258" w:rsidP="00F51258">
      <w:pPr>
        <w:jc w:val="both"/>
        <w:rPr>
          <w:rFonts w:ascii="Times New Roman" w:hAnsi="Times New Roman" w:cs="Times New Roman"/>
          <w:sz w:val="28"/>
          <w:szCs w:val="28"/>
        </w:rPr>
      </w:pPr>
      <w:r w:rsidRPr="003B3EF6">
        <w:rPr>
          <w:rFonts w:ascii="Times New Roman" w:hAnsi="Times New Roman" w:cs="Times New Roman"/>
          <w:sz w:val="28"/>
          <w:szCs w:val="28"/>
        </w:rPr>
        <w:t>ILO (2013-15) Labour market transitions od young women and men in Benin, Congo-Brazzaville, Liberia, Malawi, Tanzania, Togo, Uganda and Zambia. Youth Employment Programme, ILO: Geneva.</w:t>
      </w:r>
    </w:p>
    <w:p w:rsidR="006568A8" w:rsidRDefault="006568A8" w:rsidP="009D3064">
      <w:pPr>
        <w:spacing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Kosack, S. (2009) Realising Education for All: defining and using the political will to invest in primary education. Comparative Education, 45, 4. pp. 495-523.</w:t>
      </w:r>
    </w:p>
    <w:p w:rsidR="005E224B" w:rsidRDefault="005E224B" w:rsidP="009D3064">
      <w:pPr>
        <w:spacing w:after="100" w:afterAutospacing="1" w:line="240" w:lineRule="auto"/>
        <w:jc w:val="both"/>
        <w:rPr>
          <w:rFonts w:ascii="Times New Roman" w:hAnsi="Times New Roman" w:cs="Times New Roman"/>
          <w:sz w:val="28"/>
          <w:szCs w:val="28"/>
        </w:rPr>
      </w:pPr>
      <w:r w:rsidRPr="003B3EF6">
        <w:rPr>
          <w:rFonts w:ascii="Times New Roman" w:hAnsi="Times New Roman" w:cs="Times New Roman"/>
          <w:sz w:val="28"/>
          <w:szCs w:val="28"/>
        </w:rPr>
        <w:t>Lavy V. (1996) School supply constraints and children’s educational</w:t>
      </w:r>
      <w:r w:rsidR="00F51258" w:rsidRPr="003B3EF6">
        <w:rPr>
          <w:rFonts w:ascii="Times New Roman" w:hAnsi="Times New Roman" w:cs="Times New Roman"/>
          <w:sz w:val="28"/>
          <w:szCs w:val="28"/>
        </w:rPr>
        <w:t xml:space="preserve"> outcomes in Ghana. Journal of D</w:t>
      </w:r>
      <w:r w:rsidRPr="003B3EF6">
        <w:rPr>
          <w:rFonts w:ascii="Times New Roman" w:hAnsi="Times New Roman" w:cs="Times New Roman"/>
          <w:sz w:val="28"/>
          <w:szCs w:val="28"/>
        </w:rPr>
        <w:t>evelopment Economics 51, 291-314.</w:t>
      </w:r>
    </w:p>
    <w:p w:rsidR="00E5681B" w:rsidRPr="003B3EF6" w:rsidRDefault="00E5681B" w:rsidP="00CF29FF">
      <w:pPr>
        <w:jc w:val="both"/>
        <w:rPr>
          <w:rFonts w:ascii="Times New Roman" w:hAnsi="Times New Roman" w:cs="Times New Roman"/>
          <w:sz w:val="28"/>
          <w:szCs w:val="28"/>
        </w:rPr>
      </w:pPr>
      <w:r>
        <w:rPr>
          <w:rFonts w:ascii="Times New Roman" w:hAnsi="Times New Roman" w:cs="Times New Roman"/>
          <w:sz w:val="28"/>
          <w:szCs w:val="28"/>
        </w:rPr>
        <w:t>Leys C</w:t>
      </w:r>
      <w:r w:rsidR="005F0476">
        <w:rPr>
          <w:rFonts w:ascii="Times New Roman" w:hAnsi="Times New Roman" w:cs="Times New Roman"/>
          <w:sz w:val="28"/>
          <w:szCs w:val="28"/>
        </w:rPr>
        <w:t>.</w:t>
      </w:r>
      <w:r>
        <w:rPr>
          <w:rFonts w:ascii="Times New Roman" w:hAnsi="Times New Roman" w:cs="Times New Roman"/>
          <w:sz w:val="28"/>
          <w:szCs w:val="28"/>
        </w:rPr>
        <w:t xml:space="preserve"> (1975) Underdevelopment in Kenya. The political economy of neo-colonialism. East African Education Publishers, Nairobi.</w:t>
      </w:r>
    </w:p>
    <w:p w:rsidR="009B341A" w:rsidRPr="003B3EF6" w:rsidRDefault="009B341A" w:rsidP="00CF29FF">
      <w:pPr>
        <w:jc w:val="both"/>
        <w:rPr>
          <w:rFonts w:ascii="Times New Roman" w:hAnsi="Times New Roman" w:cs="Times New Roman"/>
          <w:sz w:val="28"/>
          <w:szCs w:val="28"/>
        </w:rPr>
      </w:pPr>
      <w:r>
        <w:rPr>
          <w:rFonts w:ascii="Times New Roman" w:hAnsi="Times New Roman" w:cs="Times New Roman"/>
          <w:sz w:val="28"/>
          <w:szCs w:val="28"/>
        </w:rPr>
        <w:t xml:space="preserve">Lewin </w:t>
      </w:r>
      <w:r w:rsidR="00913868">
        <w:rPr>
          <w:rFonts w:ascii="Times New Roman" w:hAnsi="Times New Roman" w:cs="Times New Roman"/>
          <w:sz w:val="28"/>
          <w:szCs w:val="28"/>
        </w:rPr>
        <w:t>K. (2007) The limits to growth of non-government private schooling in sub-Saharan Africa. Research monograph no. 5, CREATE Pathways to Access, June. Sussex University, Brighton.</w:t>
      </w:r>
    </w:p>
    <w:p w:rsidR="00A21A1E" w:rsidRPr="003B3EF6" w:rsidRDefault="0084111F" w:rsidP="00CF29FF">
      <w:pPr>
        <w:jc w:val="both"/>
        <w:rPr>
          <w:rFonts w:ascii="Times New Roman" w:hAnsi="Times New Roman" w:cs="Times New Roman"/>
          <w:sz w:val="28"/>
          <w:szCs w:val="28"/>
        </w:rPr>
      </w:pPr>
      <w:r>
        <w:rPr>
          <w:rFonts w:ascii="Times New Roman" w:hAnsi="Times New Roman" w:cs="Times New Roman"/>
          <w:sz w:val="28"/>
          <w:szCs w:val="28"/>
        </w:rPr>
        <w:t>Lockheed</w:t>
      </w:r>
      <w:r w:rsidR="00A21A1E" w:rsidRPr="003B3EF6">
        <w:rPr>
          <w:rFonts w:ascii="Times New Roman" w:hAnsi="Times New Roman" w:cs="Times New Roman"/>
          <w:sz w:val="28"/>
          <w:szCs w:val="28"/>
        </w:rPr>
        <w:t xml:space="preserve"> M.</w:t>
      </w:r>
      <w:r w:rsidR="002B525F">
        <w:rPr>
          <w:rFonts w:ascii="Times New Roman" w:hAnsi="Times New Roman" w:cs="Times New Roman"/>
          <w:sz w:val="28"/>
          <w:szCs w:val="28"/>
        </w:rPr>
        <w:t>E.</w:t>
      </w:r>
      <w:r w:rsidR="00A21A1E" w:rsidRPr="003B3EF6">
        <w:rPr>
          <w:rFonts w:ascii="Times New Roman" w:hAnsi="Times New Roman" w:cs="Times New Roman"/>
          <w:sz w:val="28"/>
          <w:szCs w:val="28"/>
        </w:rPr>
        <w:t>, Verspoor, M.A. (1991) Improving primary education in developing countries. Oxford: Oxford University Press for World Bank.</w:t>
      </w:r>
    </w:p>
    <w:p w:rsidR="00E03296" w:rsidRDefault="0084111F" w:rsidP="00CF29FF">
      <w:pPr>
        <w:jc w:val="both"/>
        <w:rPr>
          <w:rFonts w:ascii="Times New Roman" w:hAnsi="Times New Roman" w:cs="Times New Roman"/>
          <w:sz w:val="28"/>
          <w:szCs w:val="28"/>
        </w:rPr>
      </w:pPr>
      <w:r>
        <w:rPr>
          <w:rFonts w:ascii="Times New Roman" w:hAnsi="Times New Roman" w:cs="Times New Roman"/>
          <w:sz w:val="28"/>
          <w:szCs w:val="28"/>
        </w:rPr>
        <w:t>Potts</w:t>
      </w:r>
      <w:r w:rsidR="00254F17" w:rsidRPr="003B3EF6">
        <w:rPr>
          <w:rFonts w:ascii="Times New Roman" w:hAnsi="Times New Roman" w:cs="Times New Roman"/>
          <w:sz w:val="28"/>
          <w:szCs w:val="28"/>
        </w:rPr>
        <w:t xml:space="preserve"> D. (2008)</w:t>
      </w:r>
      <w:r w:rsidR="005E224B" w:rsidRPr="003B3EF6">
        <w:rPr>
          <w:rFonts w:ascii="Times New Roman" w:hAnsi="Times New Roman" w:cs="Times New Roman"/>
          <w:sz w:val="28"/>
          <w:szCs w:val="28"/>
        </w:rPr>
        <w:t xml:space="preserve"> </w:t>
      </w:r>
      <w:r w:rsidR="00254F17" w:rsidRPr="003B3EF6">
        <w:rPr>
          <w:rFonts w:ascii="Times New Roman" w:hAnsi="Times New Roman" w:cs="Times New Roman"/>
          <w:sz w:val="28"/>
          <w:szCs w:val="28"/>
        </w:rPr>
        <w:t>Recent trends in rural-urban an</w:t>
      </w:r>
      <w:r w:rsidR="00396A07">
        <w:rPr>
          <w:rFonts w:ascii="Times New Roman" w:hAnsi="Times New Roman" w:cs="Times New Roman"/>
          <w:sz w:val="28"/>
          <w:szCs w:val="28"/>
        </w:rPr>
        <w:t>d urban-rural migration in sub-S</w:t>
      </w:r>
      <w:r w:rsidR="00254F17" w:rsidRPr="003B3EF6">
        <w:rPr>
          <w:rFonts w:ascii="Times New Roman" w:hAnsi="Times New Roman" w:cs="Times New Roman"/>
          <w:sz w:val="28"/>
          <w:szCs w:val="28"/>
        </w:rPr>
        <w:t xml:space="preserve">aharan Africa: </w:t>
      </w:r>
      <w:r w:rsidR="00F51258" w:rsidRPr="003B3EF6">
        <w:rPr>
          <w:rFonts w:ascii="Times New Roman" w:hAnsi="Times New Roman" w:cs="Times New Roman"/>
          <w:sz w:val="28"/>
          <w:szCs w:val="28"/>
        </w:rPr>
        <w:t>T</w:t>
      </w:r>
      <w:r w:rsidR="00254F17" w:rsidRPr="003B3EF6">
        <w:rPr>
          <w:rFonts w:ascii="Times New Roman" w:hAnsi="Times New Roman" w:cs="Times New Roman"/>
          <w:sz w:val="28"/>
          <w:szCs w:val="28"/>
        </w:rPr>
        <w:t xml:space="preserve">he empirical evidence and implications for understanding urban livelihood </w:t>
      </w:r>
      <w:r w:rsidR="00396A07" w:rsidRPr="003B3EF6">
        <w:rPr>
          <w:rFonts w:ascii="Times New Roman" w:hAnsi="Times New Roman" w:cs="Times New Roman"/>
          <w:sz w:val="28"/>
          <w:szCs w:val="28"/>
        </w:rPr>
        <w:t>insecurity. Environment</w:t>
      </w:r>
      <w:r w:rsidR="00254F17" w:rsidRPr="003B3EF6">
        <w:rPr>
          <w:rFonts w:ascii="Times New Roman" w:hAnsi="Times New Roman" w:cs="Times New Roman"/>
          <w:sz w:val="28"/>
          <w:szCs w:val="28"/>
        </w:rPr>
        <w:t>, Politics and Development Working Paper Series. Department of Geography, King’s College, London.</w:t>
      </w:r>
    </w:p>
    <w:p w:rsidR="0084111F" w:rsidRDefault="00D84E3B" w:rsidP="00CF29F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Psacharopoulos,G. (1994) Returns to investment in education: an update. World Development, 22,9:1325-1343. </w:t>
      </w:r>
    </w:p>
    <w:p w:rsidR="00A21A1E" w:rsidRDefault="0084111F" w:rsidP="00CF29FF">
      <w:pPr>
        <w:jc w:val="both"/>
        <w:rPr>
          <w:rFonts w:ascii="Times New Roman" w:hAnsi="Times New Roman" w:cs="Times New Roman"/>
          <w:sz w:val="28"/>
          <w:szCs w:val="28"/>
        </w:rPr>
      </w:pPr>
      <w:r>
        <w:rPr>
          <w:rFonts w:ascii="Times New Roman" w:hAnsi="Times New Roman" w:cs="Times New Roman"/>
          <w:sz w:val="28"/>
          <w:szCs w:val="28"/>
        </w:rPr>
        <w:t>Rawal</w:t>
      </w:r>
      <w:r w:rsidR="00E03296" w:rsidRPr="003B3EF6">
        <w:rPr>
          <w:rFonts w:ascii="Times New Roman" w:hAnsi="Times New Roman" w:cs="Times New Roman"/>
          <w:sz w:val="28"/>
          <w:szCs w:val="28"/>
        </w:rPr>
        <w:t xml:space="preserve"> S</w:t>
      </w:r>
      <w:r>
        <w:rPr>
          <w:rFonts w:ascii="Times New Roman" w:hAnsi="Times New Roman" w:cs="Times New Roman"/>
          <w:sz w:val="28"/>
          <w:szCs w:val="28"/>
        </w:rPr>
        <w:t>.</w:t>
      </w:r>
      <w:r w:rsidR="00E03296" w:rsidRPr="003B3EF6">
        <w:rPr>
          <w:rFonts w:ascii="Times New Roman" w:hAnsi="Times New Roman" w:cs="Times New Roman"/>
          <w:sz w:val="28"/>
          <w:szCs w:val="28"/>
        </w:rPr>
        <w:t>, Batley, R., Kingdon, G.</w:t>
      </w:r>
      <w:r>
        <w:rPr>
          <w:rFonts w:ascii="Times New Roman" w:hAnsi="Times New Roman" w:cs="Times New Roman"/>
          <w:sz w:val="28"/>
          <w:szCs w:val="28"/>
        </w:rPr>
        <w:t>,</w:t>
      </w:r>
      <w:r w:rsidR="00E03296" w:rsidRPr="003B3EF6">
        <w:rPr>
          <w:rFonts w:ascii="Times New Roman" w:hAnsi="Times New Roman" w:cs="Times New Roman"/>
          <w:sz w:val="28"/>
          <w:szCs w:val="28"/>
        </w:rPr>
        <w:t xml:space="preserve"> Nicolai, S.</w:t>
      </w:r>
      <w:r w:rsidR="005F0476">
        <w:rPr>
          <w:rFonts w:ascii="Times New Roman" w:hAnsi="Times New Roman" w:cs="Times New Roman"/>
          <w:sz w:val="28"/>
          <w:szCs w:val="28"/>
        </w:rPr>
        <w:t xml:space="preserve">, </w:t>
      </w:r>
      <w:r w:rsidR="00E03296" w:rsidRPr="003B3EF6">
        <w:rPr>
          <w:rFonts w:ascii="Times New Roman" w:hAnsi="Times New Roman" w:cs="Times New Roman"/>
          <w:sz w:val="28"/>
          <w:szCs w:val="28"/>
        </w:rPr>
        <w:t xml:space="preserve">Rose, P. </w:t>
      </w:r>
      <w:r w:rsidR="005F0476">
        <w:rPr>
          <w:rFonts w:ascii="Times New Roman" w:hAnsi="Times New Roman" w:cs="Times New Roman"/>
          <w:sz w:val="28"/>
          <w:szCs w:val="28"/>
        </w:rPr>
        <w:t>(</w:t>
      </w:r>
      <w:r w:rsidR="00E03296" w:rsidRPr="003B3EF6">
        <w:rPr>
          <w:rFonts w:ascii="Times New Roman" w:hAnsi="Times New Roman" w:cs="Times New Roman"/>
          <w:sz w:val="28"/>
          <w:szCs w:val="28"/>
        </w:rPr>
        <w:t>2014</w:t>
      </w:r>
      <w:r w:rsidR="005F0476">
        <w:rPr>
          <w:rFonts w:ascii="Times New Roman" w:hAnsi="Times New Roman" w:cs="Times New Roman"/>
          <w:sz w:val="28"/>
          <w:szCs w:val="28"/>
        </w:rPr>
        <w:t>)</w:t>
      </w:r>
      <w:r w:rsidR="00E03296" w:rsidRPr="003B3EF6">
        <w:rPr>
          <w:rFonts w:ascii="Times New Roman" w:hAnsi="Times New Roman" w:cs="Times New Roman"/>
          <w:sz w:val="28"/>
          <w:szCs w:val="28"/>
        </w:rPr>
        <w:t xml:space="preserve"> The role and impact of private schools in developing countries:</w:t>
      </w:r>
      <w:r w:rsidR="00F51258" w:rsidRPr="003B3EF6">
        <w:rPr>
          <w:rFonts w:ascii="Times New Roman" w:hAnsi="Times New Roman" w:cs="Times New Roman"/>
          <w:sz w:val="28"/>
          <w:szCs w:val="28"/>
        </w:rPr>
        <w:t xml:space="preserve"> A</w:t>
      </w:r>
      <w:r w:rsidR="00E03296" w:rsidRPr="003B3EF6">
        <w:rPr>
          <w:rFonts w:ascii="Times New Roman" w:hAnsi="Times New Roman" w:cs="Times New Roman"/>
          <w:sz w:val="28"/>
          <w:szCs w:val="28"/>
        </w:rPr>
        <w:t xml:space="preserve"> rigorous review</w:t>
      </w:r>
      <w:r w:rsidR="00254F17" w:rsidRPr="003B3EF6">
        <w:rPr>
          <w:rFonts w:ascii="Times New Roman" w:hAnsi="Times New Roman" w:cs="Times New Roman"/>
          <w:sz w:val="28"/>
          <w:szCs w:val="28"/>
        </w:rPr>
        <w:t xml:space="preserve"> </w:t>
      </w:r>
      <w:r w:rsidR="00E03296" w:rsidRPr="003B3EF6">
        <w:rPr>
          <w:rFonts w:ascii="Times New Roman" w:hAnsi="Times New Roman" w:cs="Times New Roman"/>
          <w:sz w:val="28"/>
          <w:szCs w:val="28"/>
        </w:rPr>
        <w:t>of the evidence. Final report. EPPI Centre, London.</w:t>
      </w:r>
    </w:p>
    <w:p w:rsidR="00E5681B" w:rsidRDefault="00E5681B" w:rsidP="00CF29FF">
      <w:pPr>
        <w:jc w:val="both"/>
        <w:rPr>
          <w:rFonts w:ascii="Times New Roman" w:hAnsi="Times New Roman" w:cs="Times New Roman"/>
          <w:sz w:val="28"/>
          <w:szCs w:val="28"/>
        </w:rPr>
      </w:pPr>
      <w:r>
        <w:rPr>
          <w:rFonts w:ascii="Times New Roman" w:hAnsi="Times New Roman" w:cs="Times New Roman"/>
          <w:sz w:val="28"/>
          <w:szCs w:val="28"/>
        </w:rPr>
        <w:t>S</w:t>
      </w:r>
      <w:r w:rsidR="0084111F">
        <w:rPr>
          <w:rFonts w:ascii="Times New Roman" w:hAnsi="Times New Roman" w:cs="Times New Roman"/>
          <w:sz w:val="28"/>
          <w:szCs w:val="28"/>
        </w:rPr>
        <w:t>almi</w:t>
      </w:r>
      <w:r>
        <w:rPr>
          <w:rFonts w:ascii="Times New Roman" w:hAnsi="Times New Roman" w:cs="Times New Roman"/>
          <w:sz w:val="28"/>
          <w:szCs w:val="28"/>
        </w:rPr>
        <w:t xml:space="preserve"> J. (2009) The challenge of establishing world class universities. World Bank, Washington D.C.</w:t>
      </w:r>
    </w:p>
    <w:p w:rsidR="00B01BE6" w:rsidRPr="003B3EF6" w:rsidRDefault="00B01BE6" w:rsidP="00CF29FF">
      <w:pPr>
        <w:jc w:val="both"/>
        <w:rPr>
          <w:rFonts w:ascii="Times New Roman" w:hAnsi="Times New Roman" w:cs="Times New Roman"/>
          <w:sz w:val="28"/>
          <w:szCs w:val="28"/>
        </w:rPr>
      </w:pPr>
      <w:r w:rsidRPr="003B3EF6">
        <w:rPr>
          <w:rFonts w:ascii="Times New Roman" w:hAnsi="Times New Roman" w:cs="Times New Roman"/>
          <w:sz w:val="28"/>
          <w:szCs w:val="28"/>
        </w:rPr>
        <w:t xml:space="preserve">Snilsveit et al. </w:t>
      </w:r>
      <w:r w:rsidR="00A21A1E" w:rsidRPr="003B3EF6">
        <w:rPr>
          <w:rFonts w:ascii="Times New Roman" w:hAnsi="Times New Roman" w:cs="Times New Roman"/>
          <w:sz w:val="28"/>
          <w:szCs w:val="28"/>
        </w:rPr>
        <w:t>(</w:t>
      </w:r>
      <w:r w:rsidRPr="003B3EF6">
        <w:rPr>
          <w:rFonts w:ascii="Times New Roman" w:hAnsi="Times New Roman" w:cs="Times New Roman"/>
          <w:sz w:val="28"/>
          <w:szCs w:val="28"/>
        </w:rPr>
        <w:t>2015</w:t>
      </w:r>
      <w:r w:rsidR="00A21A1E" w:rsidRPr="003B3EF6">
        <w:rPr>
          <w:rFonts w:ascii="Times New Roman" w:hAnsi="Times New Roman" w:cs="Times New Roman"/>
          <w:sz w:val="28"/>
          <w:szCs w:val="28"/>
        </w:rPr>
        <w:t>) Interventions for improving learning outcomes and access to education in low</w:t>
      </w:r>
      <w:r w:rsidR="00F51258" w:rsidRPr="003B3EF6">
        <w:rPr>
          <w:rFonts w:ascii="Times New Roman" w:hAnsi="Times New Roman" w:cs="Times New Roman"/>
          <w:sz w:val="28"/>
          <w:szCs w:val="28"/>
        </w:rPr>
        <w:t>- and middle-income countries: A</w:t>
      </w:r>
      <w:r w:rsidR="00A21A1E" w:rsidRPr="003B3EF6">
        <w:rPr>
          <w:rFonts w:ascii="Times New Roman" w:hAnsi="Times New Roman" w:cs="Times New Roman"/>
          <w:sz w:val="28"/>
          <w:szCs w:val="28"/>
        </w:rPr>
        <w:t xml:space="preserve"> systematic review. Systematic Review 24, International Initiative for Impact Evaluation, London.</w:t>
      </w:r>
    </w:p>
    <w:p w:rsidR="00E5681B" w:rsidRDefault="00396A07" w:rsidP="00CF29FF">
      <w:pPr>
        <w:jc w:val="both"/>
        <w:rPr>
          <w:rFonts w:ascii="Times New Roman" w:hAnsi="Times New Roman" w:cs="Times New Roman"/>
          <w:sz w:val="28"/>
          <w:szCs w:val="28"/>
        </w:rPr>
      </w:pPr>
      <w:r>
        <w:rPr>
          <w:rFonts w:ascii="Times New Roman" w:hAnsi="Times New Roman" w:cs="Times New Roman"/>
          <w:sz w:val="28"/>
          <w:szCs w:val="28"/>
        </w:rPr>
        <w:t>Southa</w:t>
      </w:r>
      <w:r w:rsidR="0084111F">
        <w:rPr>
          <w:rFonts w:ascii="Times New Roman" w:hAnsi="Times New Roman" w:cs="Times New Roman"/>
          <w:sz w:val="28"/>
          <w:szCs w:val="28"/>
        </w:rPr>
        <w:t>ll</w:t>
      </w:r>
      <w:r w:rsidR="00E5681B">
        <w:rPr>
          <w:rFonts w:ascii="Times New Roman" w:hAnsi="Times New Roman" w:cs="Times New Roman"/>
          <w:sz w:val="28"/>
          <w:szCs w:val="28"/>
        </w:rPr>
        <w:t xml:space="preserve"> R. (2016) The new black middle class in South Africa. James Currey, London.</w:t>
      </w:r>
    </w:p>
    <w:p w:rsidR="00663402" w:rsidRDefault="00663402" w:rsidP="00CF29FF">
      <w:pPr>
        <w:jc w:val="both"/>
        <w:rPr>
          <w:rFonts w:ascii="Times New Roman" w:hAnsi="Times New Roman" w:cs="Times New Roman"/>
          <w:sz w:val="28"/>
          <w:szCs w:val="28"/>
        </w:rPr>
      </w:pPr>
      <w:r w:rsidRPr="003B3EF6">
        <w:rPr>
          <w:rFonts w:ascii="Times New Roman" w:hAnsi="Times New Roman" w:cs="Times New Roman"/>
          <w:sz w:val="28"/>
          <w:szCs w:val="28"/>
        </w:rPr>
        <w:t>Sumberg</w:t>
      </w:r>
      <w:r w:rsidR="009457AB" w:rsidRPr="003B3EF6">
        <w:rPr>
          <w:rFonts w:ascii="Times New Roman" w:hAnsi="Times New Roman" w:cs="Times New Roman"/>
          <w:sz w:val="28"/>
          <w:szCs w:val="28"/>
        </w:rPr>
        <w:t xml:space="preserve"> J., Flynn, J., Mader, P, Mwaura, G., Oosterom, M., Sam-Kpakra, R. Shittu A. I. (2019)</w:t>
      </w:r>
      <w:r w:rsidR="00B966A7" w:rsidRPr="003B3EF6">
        <w:rPr>
          <w:rFonts w:ascii="Times New Roman" w:hAnsi="Times New Roman" w:cs="Times New Roman"/>
          <w:sz w:val="28"/>
          <w:szCs w:val="28"/>
        </w:rPr>
        <w:t xml:space="preserve"> Formal sector employment and Africa’s youth crisis: Irrelevance or policy priority. Development Policy Review</w:t>
      </w:r>
      <w:r w:rsidR="009457AB" w:rsidRPr="003B3EF6">
        <w:rPr>
          <w:rFonts w:ascii="Times New Roman" w:hAnsi="Times New Roman" w:cs="Times New Roman"/>
          <w:sz w:val="28"/>
          <w:szCs w:val="28"/>
        </w:rPr>
        <w:t>, April.</w:t>
      </w:r>
    </w:p>
    <w:p w:rsidR="0084111F" w:rsidRDefault="0084111F" w:rsidP="00CF29FF">
      <w:pPr>
        <w:jc w:val="both"/>
        <w:rPr>
          <w:rFonts w:ascii="Times New Roman" w:hAnsi="Times New Roman" w:cs="Times New Roman"/>
          <w:sz w:val="28"/>
          <w:szCs w:val="28"/>
        </w:rPr>
      </w:pPr>
      <w:r>
        <w:rPr>
          <w:rFonts w:ascii="Times New Roman" w:hAnsi="Times New Roman" w:cs="Times New Roman"/>
          <w:sz w:val="28"/>
          <w:szCs w:val="28"/>
        </w:rPr>
        <w:t xml:space="preserve">Thurow L.C. (1975) Generating inequality of distribution in the United States economy. Basic Books, New York. </w:t>
      </w:r>
    </w:p>
    <w:p w:rsidR="009B341A" w:rsidRPr="003B3EF6" w:rsidRDefault="0084111F" w:rsidP="00CF29FF">
      <w:pPr>
        <w:jc w:val="both"/>
        <w:rPr>
          <w:rFonts w:ascii="Times New Roman" w:hAnsi="Times New Roman" w:cs="Times New Roman"/>
          <w:sz w:val="28"/>
          <w:szCs w:val="28"/>
        </w:rPr>
      </w:pPr>
      <w:r>
        <w:rPr>
          <w:rFonts w:ascii="Times New Roman" w:hAnsi="Times New Roman" w:cs="Times New Roman"/>
          <w:sz w:val="28"/>
          <w:szCs w:val="28"/>
        </w:rPr>
        <w:t xml:space="preserve">Tooley </w:t>
      </w:r>
      <w:r w:rsidR="00913868">
        <w:rPr>
          <w:rFonts w:ascii="Times New Roman" w:hAnsi="Times New Roman" w:cs="Times New Roman"/>
          <w:sz w:val="28"/>
          <w:szCs w:val="28"/>
        </w:rPr>
        <w:t>J; Dixon, P. (2005) Private education is good for the poor: A study of private schools serving the poor in low-income countries.</w:t>
      </w:r>
    </w:p>
    <w:p w:rsidR="008C1876" w:rsidRPr="003B3EF6" w:rsidRDefault="00663402" w:rsidP="00CF29FF">
      <w:pPr>
        <w:jc w:val="both"/>
        <w:rPr>
          <w:rFonts w:ascii="Times New Roman" w:hAnsi="Times New Roman" w:cs="Times New Roman"/>
          <w:sz w:val="28"/>
          <w:szCs w:val="28"/>
        </w:rPr>
      </w:pPr>
      <w:r w:rsidRPr="003B3EF6">
        <w:rPr>
          <w:rFonts w:ascii="Times New Roman" w:hAnsi="Times New Roman" w:cs="Times New Roman"/>
          <w:sz w:val="28"/>
          <w:szCs w:val="28"/>
        </w:rPr>
        <w:t>UNESCO (2019) Global</w:t>
      </w:r>
      <w:r w:rsidR="00F51258" w:rsidRPr="003B3EF6">
        <w:rPr>
          <w:rFonts w:ascii="Times New Roman" w:hAnsi="Times New Roman" w:cs="Times New Roman"/>
          <w:sz w:val="28"/>
          <w:szCs w:val="28"/>
        </w:rPr>
        <w:t xml:space="preserve"> Education Monitoring Report. UNESCO, Paris.</w:t>
      </w:r>
    </w:p>
    <w:p w:rsidR="005E224B" w:rsidRDefault="005E224B" w:rsidP="00CF29FF">
      <w:pPr>
        <w:jc w:val="both"/>
        <w:rPr>
          <w:rFonts w:ascii="Times New Roman" w:hAnsi="Times New Roman" w:cs="Times New Roman"/>
          <w:sz w:val="28"/>
          <w:szCs w:val="28"/>
        </w:rPr>
      </w:pPr>
      <w:r w:rsidRPr="003B3EF6">
        <w:rPr>
          <w:rFonts w:ascii="Times New Roman" w:hAnsi="Times New Roman" w:cs="Times New Roman"/>
          <w:sz w:val="28"/>
          <w:szCs w:val="28"/>
        </w:rPr>
        <w:t>Watkins S., A</w:t>
      </w:r>
      <w:r w:rsidR="00E44C7B" w:rsidRPr="003B3EF6">
        <w:rPr>
          <w:rFonts w:ascii="Times New Roman" w:hAnsi="Times New Roman" w:cs="Times New Roman"/>
          <w:sz w:val="28"/>
          <w:szCs w:val="28"/>
        </w:rPr>
        <w:t>s</w:t>
      </w:r>
      <w:r w:rsidRPr="003B3EF6">
        <w:rPr>
          <w:rFonts w:ascii="Times New Roman" w:hAnsi="Times New Roman" w:cs="Times New Roman"/>
          <w:sz w:val="28"/>
          <w:szCs w:val="28"/>
        </w:rPr>
        <w:t>hforth, A. (2019) An analysis of the political economy</w:t>
      </w:r>
      <w:r w:rsidR="00F51258" w:rsidRPr="003B3EF6">
        <w:rPr>
          <w:rFonts w:ascii="Times New Roman" w:hAnsi="Times New Roman" w:cs="Times New Roman"/>
          <w:sz w:val="28"/>
          <w:szCs w:val="28"/>
        </w:rPr>
        <w:t xml:space="preserve"> of schooling in rural Malawi: I</w:t>
      </w:r>
      <w:r w:rsidRPr="003B3EF6">
        <w:rPr>
          <w:rFonts w:ascii="Times New Roman" w:hAnsi="Times New Roman" w:cs="Times New Roman"/>
          <w:sz w:val="28"/>
          <w:szCs w:val="28"/>
        </w:rPr>
        <w:t>nteractions among parents, teachers, students, chiefs and primary education advisors. RISE Working Paper 31.</w:t>
      </w:r>
    </w:p>
    <w:p w:rsidR="0084111F" w:rsidRPr="003B3EF6" w:rsidRDefault="0084111F" w:rsidP="00CF29FF">
      <w:pPr>
        <w:jc w:val="both"/>
        <w:rPr>
          <w:rFonts w:ascii="Times New Roman" w:hAnsi="Times New Roman" w:cs="Times New Roman"/>
          <w:sz w:val="28"/>
          <w:szCs w:val="28"/>
        </w:rPr>
      </w:pPr>
    </w:p>
    <w:sectPr w:rsidR="0084111F" w:rsidRPr="003B3EF6" w:rsidSect="00000CC2">
      <w:foot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85B" w:rsidRDefault="00B9385B" w:rsidP="00607416">
      <w:pPr>
        <w:spacing w:after="0" w:line="240" w:lineRule="auto"/>
      </w:pPr>
      <w:r>
        <w:separator/>
      </w:r>
    </w:p>
  </w:endnote>
  <w:endnote w:type="continuationSeparator" w:id="0">
    <w:p w:rsidR="00B9385B" w:rsidRDefault="00B9385B" w:rsidP="00607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6149362"/>
      <w:docPartObj>
        <w:docPartGallery w:val="Page Numbers (Bottom of Page)"/>
        <w:docPartUnique/>
      </w:docPartObj>
    </w:sdtPr>
    <w:sdtEndPr>
      <w:rPr>
        <w:noProof/>
      </w:rPr>
    </w:sdtEndPr>
    <w:sdtContent>
      <w:p w:rsidR="009F7046" w:rsidRDefault="009F7046">
        <w:pPr>
          <w:pStyle w:val="Footer"/>
          <w:jc w:val="center"/>
        </w:pPr>
        <w:r>
          <w:fldChar w:fldCharType="begin"/>
        </w:r>
        <w:r>
          <w:instrText xml:space="preserve"> PAGE   \* MERGEFORMAT </w:instrText>
        </w:r>
        <w:r>
          <w:fldChar w:fldCharType="separate"/>
        </w:r>
        <w:r w:rsidR="00BD0B24">
          <w:rPr>
            <w:noProof/>
          </w:rPr>
          <w:t>1</w:t>
        </w:r>
        <w:r>
          <w:rPr>
            <w:noProof/>
          </w:rPr>
          <w:fldChar w:fldCharType="end"/>
        </w:r>
      </w:p>
    </w:sdtContent>
  </w:sdt>
  <w:p w:rsidR="009F7046" w:rsidRDefault="009F70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85B" w:rsidRDefault="00B9385B" w:rsidP="00607416">
      <w:pPr>
        <w:spacing w:after="0" w:line="240" w:lineRule="auto"/>
      </w:pPr>
      <w:r>
        <w:separator/>
      </w:r>
    </w:p>
  </w:footnote>
  <w:footnote w:type="continuationSeparator" w:id="0">
    <w:p w:rsidR="00B9385B" w:rsidRDefault="00B9385B" w:rsidP="00607416">
      <w:pPr>
        <w:spacing w:after="0" w:line="240" w:lineRule="auto"/>
      </w:pPr>
      <w:r>
        <w:continuationSeparator/>
      </w:r>
    </w:p>
  </w:footnote>
  <w:footnote w:id="1">
    <w:p w:rsidR="009F7046" w:rsidRPr="00BB4122" w:rsidRDefault="009F7046">
      <w:pPr>
        <w:pStyle w:val="FootnoteText"/>
        <w:rPr>
          <w:rFonts w:ascii="Times New Roman" w:hAnsi="Times New Roman" w:cs="Times New Roman"/>
          <w:sz w:val="24"/>
          <w:szCs w:val="24"/>
        </w:rPr>
      </w:pPr>
      <w:r w:rsidRPr="00BB4122">
        <w:rPr>
          <w:rStyle w:val="FootnoteReference"/>
          <w:rFonts w:ascii="Times New Roman" w:hAnsi="Times New Roman" w:cs="Times New Roman"/>
          <w:sz w:val="24"/>
          <w:szCs w:val="24"/>
        </w:rPr>
        <w:footnoteRef/>
      </w:r>
      <w:r w:rsidRPr="00BB4122">
        <w:rPr>
          <w:rFonts w:ascii="Times New Roman" w:hAnsi="Times New Roman" w:cs="Times New Roman"/>
          <w:sz w:val="24"/>
          <w:szCs w:val="24"/>
        </w:rPr>
        <w:t xml:space="preserve"> This statement is with respect to increases in net enrolment rates.</w:t>
      </w:r>
    </w:p>
  </w:footnote>
  <w:footnote w:id="2">
    <w:p w:rsidR="009F7046" w:rsidRPr="00A20FDC" w:rsidRDefault="009F7046" w:rsidP="00BF5FC7">
      <w:pPr>
        <w:pStyle w:val="FootnoteText"/>
        <w:jc w:val="both"/>
        <w:rPr>
          <w:rFonts w:ascii="Times New Roman" w:hAnsi="Times New Roman" w:cs="Times New Roman"/>
          <w:sz w:val="24"/>
          <w:szCs w:val="24"/>
        </w:rPr>
      </w:pPr>
      <w:r w:rsidRPr="00A20FDC">
        <w:rPr>
          <w:rStyle w:val="FootnoteReference"/>
          <w:rFonts w:ascii="Times New Roman" w:hAnsi="Times New Roman" w:cs="Times New Roman"/>
          <w:sz w:val="24"/>
          <w:szCs w:val="24"/>
        </w:rPr>
        <w:footnoteRef/>
      </w:r>
      <w:r w:rsidRPr="00A20FDC">
        <w:rPr>
          <w:rFonts w:ascii="Times New Roman" w:hAnsi="Times New Roman" w:cs="Times New Roman"/>
          <w:sz w:val="24"/>
          <w:szCs w:val="24"/>
        </w:rPr>
        <w:t xml:space="preserve"> The main theme of the 2017/18 GMR report is ‘accountability’. The report notes that for education systems to be accountable requires ‘adequate resources, capacity and genuine commitment’ (p.24).  However, the underlying reasons why governments lack commitment and, in particular, the nature of the wider political economy including the political system and the state itself are not explored in any depth (see below).  </w:t>
      </w:r>
    </w:p>
  </w:footnote>
  <w:footnote w:id="3">
    <w:p w:rsidR="009F7046" w:rsidRPr="00023120" w:rsidRDefault="009F7046" w:rsidP="00023120">
      <w:pPr>
        <w:pStyle w:val="FootnoteText"/>
        <w:jc w:val="both"/>
        <w:rPr>
          <w:rFonts w:ascii="Times New Roman" w:hAnsi="Times New Roman" w:cs="Times New Roman"/>
          <w:sz w:val="24"/>
          <w:szCs w:val="24"/>
        </w:rPr>
      </w:pPr>
      <w:r w:rsidRPr="00023120">
        <w:rPr>
          <w:rStyle w:val="FootnoteReference"/>
          <w:rFonts w:ascii="Times New Roman" w:hAnsi="Times New Roman" w:cs="Times New Roman"/>
          <w:sz w:val="24"/>
          <w:szCs w:val="24"/>
        </w:rPr>
        <w:footnoteRef/>
      </w:r>
      <w:r w:rsidRPr="00023120">
        <w:rPr>
          <w:rFonts w:ascii="Times New Roman" w:hAnsi="Times New Roman" w:cs="Times New Roman"/>
          <w:sz w:val="24"/>
          <w:szCs w:val="24"/>
        </w:rPr>
        <w:t xml:space="preserve"> International declarations and other pronouncements and policies to universalise primary education pre-date the early 1990s. However, there were no concerted efforts to follow-up them with sustained pressure and the necessary levels of financial support. A few governments in SSA did mount ambitious campaigns (most notably Nigeria and Tanzania during the 1970s) but, by the late 1980s, none had managed to achieve and/or sustain UPE. </w:t>
      </w:r>
      <w:r>
        <w:rPr>
          <w:rFonts w:ascii="Times New Roman" w:hAnsi="Times New Roman" w:cs="Times New Roman"/>
          <w:sz w:val="24"/>
          <w:szCs w:val="24"/>
        </w:rPr>
        <w:t xml:space="preserve">While gross enrolment rates increased rapidly during the first 20 years of independence (during the 1960s and 1970s), they stagnated and even declined during the next 20 years (mainly as result of deep and protracted economic crisis and the relative ease of increasing GERs from a low base). </w:t>
      </w:r>
      <w:r w:rsidRPr="00023120">
        <w:rPr>
          <w:rFonts w:ascii="Times New Roman" w:hAnsi="Times New Roman" w:cs="Times New Roman"/>
          <w:sz w:val="24"/>
          <w:szCs w:val="24"/>
        </w:rPr>
        <w:t xml:space="preserve">It was only after the Jomtien Declaration in 1990 that there was </w:t>
      </w:r>
      <w:r>
        <w:rPr>
          <w:rFonts w:ascii="Times New Roman" w:hAnsi="Times New Roman" w:cs="Times New Roman"/>
          <w:sz w:val="24"/>
          <w:szCs w:val="24"/>
        </w:rPr>
        <w:t xml:space="preserve">a </w:t>
      </w:r>
      <w:r w:rsidRPr="00023120">
        <w:rPr>
          <w:rFonts w:ascii="Times New Roman" w:hAnsi="Times New Roman" w:cs="Times New Roman"/>
          <w:sz w:val="24"/>
          <w:szCs w:val="24"/>
        </w:rPr>
        <w:t>decisive increase in the overall commitment to achieve UPE in all developing countries with a clear target date of 2015. Initially, this was largely driven by the major donor agencies but it was quickly taken up by the large majority of governments</w:t>
      </w:r>
      <w:r>
        <w:rPr>
          <w:rFonts w:ascii="Times New Roman" w:hAnsi="Times New Roman" w:cs="Times New Roman"/>
          <w:sz w:val="24"/>
          <w:szCs w:val="24"/>
        </w:rPr>
        <w:t xml:space="preserve"> in SSA and elsewhere in the developing world.</w:t>
      </w:r>
      <w:r w:rsidRPr="00023120">
        <w:rPr>
          <w:rFonts w:ascii="Times New Roman" w:hAnsi="Times New Roman" w:cs="Times New Roman"/>
          <w:sz w:val="24"/>
          <w:szCs w:val="24"/>
        </w:rPr>
        <w:t xml:space="preserve"> </w:t>
      </w:r>
    </w:p>
  </w:footnote>
  <w:footnote w:id="4">
    <w:p w:rsidR="009F7046" w:rsidRPr="00BB4122" w:rsidRDefault="009F7046">
      <w:pPr>
        <w:pStyle w:val="FootnoteText"/>
        <w:rPr>
          <w:rFonts w:ascii="Times New Roman" w:hAnsi="Times New Roman" w:cs="Times New Roman"/>
          <w:sz w:val="24"/>
          <w:szCs w:val="24"/>
        </w:rPr>
      </w:pPr>
      <w:r w:rsidRPr="00BB4122">
        <w:rPr>
          <w:rStyle w:val="FootnoteReference"/>
          <w:rFonts w:ascii="Times New Roman" w:hAnsi="Times New Roman" w:cs="Times New Roman"/>
          <w:sz w:val="24"/>
          <w:szCs w:val="24"/>
        </w:rPr>
        <w:footnoteRef/>
      </w:r>
      <w:r w:rsidRPr="00BB4122">
        <w:rPr>
          <w:rFonts w:ascii="Times New Roman" w:hAnsi="Times New Roman" w:cs="Times New Roman"/>
          <w:sz w:val="24"/>
          <w:szCs w:val="24"/>
        </w:rPr>
        <w:t xml:space="preserve"> National sample sizes for DHS surveys vary from 30,000 to 70,000 individuals depending on national populations.</w:t>
      </w:r>
    </w:p>
  </w:footnote>
  <w:footnote w:id="5">
    <w:p w:rsidR="009F7046" w:rsidRPr="00BB4122" w:rsidRDefault="009F7046" w:rsidP="0081445B">
      <w:pPr>
        <w:jc w:val="both"/>
        <w:rPr>
          <w:rFonts w:ascii="Times New Roman" w:hAnsi="Times New Roman" w:cs="Times New Roman"/>
          <w:sz w:val="24"/>
          <w:szCs w:val="24"/>
        </w:rPr>
      </w:pPr>
      <w:r w:rsidRPr="00BB4122">
        <w:rPr>
          <w:rStyle w:val="FootnoteReference"/>
          <w:rFonts w:ascii="Times New Roman" w:hAnsi="Times New Roman" w:cs="Times New Roman"/>
          <w:sz w:val="24"/>
          <w:szCs w:val="24"/>
        </w:rPr>
        <w:footnoteRef/>
      </w:r>
      <w:r w:rsidRPr="00BB4122">
        <w:rPr>
          <w:rFonts w:ascii="Times New Roman" w:hAnsi="Times New Roman" w:cs="Times New Roman"/>
          <w:sz w:val="24"/>
          <w:szCs w:val="24"/>
        </w:rPr>
        <w:t xml:space="preserve"> MICS survey coverage both over time and countries is particularly patchy.</w:t>
      </w:r>
    </w:p>
  </w:footnote>
  <w:footnote w:id="6">
    <w:p w:rsidR="009F7046" w:rsidRPr="00BB4122" w:rsidRDefault="009F7046" w:rsidP="00AB5D66">
      <w:pPr>
        <w:jc w:val="both"/>
        <w:rPr>
          <w:rFonts w:ascii="Times New Roman" w:hAnsi="Times New Roman" w:cs="Times New Roman"/>
          <w:sz w:val="24"/>
          <w:szCs w:val="24"/>
        </w:rPr>
      </w:pPr>
      <w:r w:rsidRPr="00BB4122">
        <w:rPr>
          <w:rStyle w:val="FootnoteReference"/>
          <w:rFonts w:ascii="Times New Roman" w:hAnsi="Times New Roman" w:cs="Times New Roman"/>
          <w:sz w:val="24"/>
          <w:szCs w:val="24"/>
        </w:rPr>
        <w:footnoteRef/>
      </w:r>
      <w:r w:rsidRPr="00BB4122">
        <w:rPr>
          <w:rFonts w:ascii="Times New Roman" w:hAnsi="Times New Roman" w:cs="Times New Roman"/>
          <w:sz w:val="24"/>
          <w:szCs w:val="24"/>
        </w:rPr>
        <w:t xml:space="preserve">  The UNESCO Global Monitoring Report relies heavily on net enrolment rates as the main performance indicator for UPE. However, net enrolment rates are poorly correlated with PSCRs (the r-squared value is only 0.23). Gross enrolment rates are even less correlated. </w:t>
      </w:r>
    </w:p>
  </w:footnote>
  <w:footnote w:id="7">
    <w:p w:rsidR="009F7046" w:rsidRPr="00BB4122" w:rsidRDefault="009F7046" w:rsidP="00AB5D66">
      <w:pPr>
        <w:pStyle w:val="FootnoteText"/>
        <w:rPr>
          <w:rFonts w:ascii="Times New Roman" w:hAnsi="Times New Roman" w:cs="Times New Roman"/>
          <w:sz w:val="24"/>
          <w:szCs w:val="24"/>
        </w:rPr>
      </w:pPr>
      <w:r w:rsidRPr="00BB4122">
        <w:rPr>
          <w:rStyle w:val="FootnoteReference"/>
          <w:rFonts w:ascii="Times New Roman" w:hAnsi="Times New Roman" w:cs="Times New Roman"/>
          <w:sz w:val="24"/>
          <w:szCs w:val="24"/>
        </w:rPr>
        <w:footnoteRef/>
      </w:r>
      <w:r w:rsidRPr="00BB4122">
        <w:rPr>
          <w:rFonts w:ascii="Times New Roman" w:hAnsi="Times New Roman" w:cs="Times New Roman"/>
          <w:sz w:val="24"/>
          <w:szCs w:val="24"/>
        </w:rPr>
        <w:t xml:space="preserve"> The five small island states of Cap Verde, Comoros, Mauritius, Sao Tome and Seychelles have been excluded from </w:t>
      </w:r>
      <w:r>
        <w:rPr>
          <w:rFonts w:ascii="Times New Roman" w:hAnsi="Times New Roman" w:cs="Times New Roman"/>
          <w:sz w:val="24"/>
          <w:szCs w:val="24"/>
        </w:rPr>
        <w:t>all the analysis in this review</w:t>
      </w:r>
      <w:r w:rsidRPr="00BB4122">
        <w:rPr>
          <w:rFonts w:ascii="Times New Roman" w:hAnsi="Times New Roman" w:cs="Times New Roman"/>
          <w:sz w:val="24"/>
          <w:szCs w:val="24"/>
        </w:rPr>
        <w:t>.</w:t>
      </w:r>
    </w:p>
  </w:footnote>
  <w:footnote w:id="8">
    <w:p w:rsidR="009F7046" w:rsidRPr="00BB4122" w:rsidRDefault="009F7046" w:rsidP="007D6F41">
      <w:pPr>
        <w:pStyle w:val="FootnoteText"/>
        <w:rPr>
          <w:rFonts w:ascii="Times New Roman" w:hAnsi="Times New Roman" w:cs="Times New Roman"/>
          <w:sz w:val="24"/>
          <w:szCs w:val="24"/>
        </w:rPr>
      </w:pPr>
      <w:r w:rsidRPr="00BB4122">
        <w:rPr>
          <w:rStyle w:val="FootnoteReference"/>
          <w:rFonts w:ascii="Times New Roman" w:hAnsi="Times New Roman" w:cs="Times New Roman"/>
          <w:sz w:val="24"/>
          <w:szCs w:val="24"/>
        </w:rPr>
        <w:footnoteRef/>
      </w:r>
      <w:r w:rsidRPr="00BB4122">
        <w:rPr>
          <w:rFonts w:ascii="Times New Roman" w:hAnsi="Times New Roman" w:cs="Times New Roman"/>
          <w:sz w:val="24"/>
          <w:szCs w:val="24"/>
        </w:rPr>
        <w:t xml:space="preserve"> The first group of countries (on the left in Figure 2) are PSCR ‘lower starters’ (&lt;30% in 2000), the second group ‘medium starters’ (30-50%) and the third group ‘higher starters’ (50%&gt;).</w:t>
      </w:r>
    </w:p>
  </w:footnote>
  <w:footnote w:id="9">
    <w:p w:rsidR="009F7046" w:rsidRPr="00B65D8C" w:rsidRDefault="009F7046" w:rsidP="00B65D8C">
      <w:pPr>
        <w:pStyle w:val="FootnoteText"/>
        <w:jc w:val="both"/>
        <w:rPr>
          <w:rFonts w:ascii="Times New Roman" w:hAnsi="Times New Roman" w:cs="Times New Roman"/>
          <w:sz w:val="24"/>
          <w:szCs w:val="24"/>
        </w:rPr>
      </w:pPr>
      <w:r w:rsidRPr="00B65D8C">
        <w:rPr>
          <w:rStyle w:val="FootnoteReference"/>
          <w:rFonts w:ascii="Times New Roman" w:hAnsi="Times New Roman" w:cs="Times New Roman"/>
          <w:sz w:val="24"/>
          <w:szCs w:val="24"/>
        </w:rPr>
        <w:footnoteRef/>
      </w:r>
      <w:r w:rsidRPr="00B65D8C">
        <w:rPr>
          <w:rFonts w:ascii="Times New Roman" w:hAnsi="Times New Roman" w:cs="Times New Roman"/>
          <w:sz w:val="24"/>
          <w:szCs w:val="24"/>
        </w:rPr>
        <w:t xml:space="preserve"> At the regional (continental) level, progress in attaining UPE has been lowest in SSA. This is due to many factors but relatively very low initial enrolment rates in many countries (especially in Francophone West Africa with relatively large Muslim populations) and very limited growth in formal sector employment are likely to be particularly important.</w:t>
      </w:r>
    </w:p>
  </w:footnote>
  <w:footnote w:id="10">
    <w:p w:rsidR="009F7046" w:rsidRPr="00352169" w:rsidRDefault="009F7046">
      <w:pPr>
        <w:pStyle w:val="FootnoteText"/>
        <w:rPr>
          <w:rFonts w:ascii="Times New Roman" w:hAnsi="Times New Roman" w:cs="Times New Roman"/>
          <w:sz w:val="24"/>
          <w:szCs w:val="24"/>
        </w:rPr>
      </w:pPr>
      <w:r w:rsidRPr="00352169">
        <w:rPr>
          <w:rStyle w:val="FootnoteReference"/>
          <w:rFonts w:ascii="Times New Roman" w:hAnsi="Times New Roman" w:cs="Times New Roman"/>
          <w:sz w:val="24"/>
          <w:szCs w:val="24"/>
        </w:rPr>
        <w:footnoteRef/>
      </w:r>
      <w:r w:rsidRPr="00352169">
        <w:rPr>
          <w:rFonts w:ascii="Times New Roman" w:hAnsi="Times New Roman" w:cs="Times New Roman"/>
          <w:sz w:val="24"/>
          <w:szCs w:val="24"/>
        </w:rPr>
        <w:t xml:space="preserve"> </w:t>
      </w:r>
      <w:r>
        <w:rPr>
          <w:rFonts w:ascii="Times New Roman" w:hAnsi="Times New Roman" w:cs="Times New Roman"/>
          <w:sz w:val="24"/>
          <w:szCs w:val="24"/>
        </w:rPr>
        <w:t>I.e. they</w:t>
      </w:r>
      <w:r w:rsidRPr="00352169">
        <w:rPr>
          <w:rFonts w:ascii="Times New Roman" w:hAnsi="Times New Roman" w:cs="Times New Roman"/>
          <w:sz w:val="24"/>
          <w:szCs w:val="24"/>
        </w:rPr>
        <w:t xml:space="preserve"> are in the lowest</w:t>
      </w:r>
      <w:r>
        <w:rPr>
          <w:rFonts w:ascii="Times New Roman" w:hAnsi="Times New Roman" w:cs="Times New Roman"/>
          <w:sz w:val="24"/>
          <w:szCs w:val="24"/>
        </w:rPr>
        <w:t>,</w:t>
      </w:r>
      <w:r w:rsidRPr="00352169">
        <w:rPr>
          <w:rFonts w:ascii="Times New Roman" w:hAnsi="Times New Roman" w:cs="Times New Roman"/>
          <w:sz w:val="24"/>
          <w:szCs w:val="24"/>
        </w:rPr>
        <w:t xml:space="preserve"> fifth wealth quintile</w:t>
      </w:r>
      <w:r>
        <w:rPr>
          <w:rFonts w:ascii="Times New Roman" w:hAnsi="Times New Roman" w:cs="Times New Roman"/>
          <w:sz w:val="24"/>
          <w:szCs w:val="24"/>
        </w:rPr>
        <w:t>.</w:t>
      </w:r>
    </w:p>
  </w:footnote>
  <w:footnote w:id="11">
    <w:p w:rsidR="009F7046" w:rsidRPr="00462DBF" w:rsidRDefault="009F7046">
      <w:pPr>
        <w:pStyle w:val="FootnoteText"/>
        <w:rPr>
          <w:rFonts w:ascii="Times New Roman" w:hAnsi="Times New Roman" w:cs="Times New Roman"/>
          <w:sz w:val="24"/>
          <w:szCs w:val="24"/>
        </w:rPr>
      </w:pPr>
      <w:r>
        <w:rPr>
          <w:rStyle w:val="FootnoteReference"/>
        </w:rPr>
        <w:footnoteRef/>
      </w:r>
      <w:r>
        <w:t xml:space="preserve"> </w:t>
      </w:r>
      <w:r w:rsidRPr="00462DBF">
        <w:rPr>
          <w:rFonts w:ascii="Times New Roman" w:hAnsi="Times New Roman" w:cs="Times New Roman"/>
          <w:sz w:val="24"/>
          <w:szCs w:val="24"/>
        </w:rPr>
        <w:t>Just why these declines have occurred in these three countries requires further research but differences in levels of urbanisation are likely to be important with respect to Malawi and Zambia.</w:t>
      </w:r>
    </w:p>
  </w:footnote>
  <w:footnote w:id="12">
    <w:p w:rsidR="009F7046" w:rsidRPr="00BB4122" w:rsidRDefault="009F7046" w:rsidP="00AB5D66">
      <w:pPr>
        <w:jc w:val="both"/>
        <w:rPr>
          <w:rFonts w:ascii="Times New Roman" w:hAnsi="Times New Roman" w:cs="Times New Roman"/>
          <w:sz w:val="24"/>
          <w:szCs w:val="24"/>
        </w:rPr>
      </w:pPr>
      <w:r w:rsidRPr="00BB4122">
        <w:rPr>
          <w:rStyle w:val="FootnoteReference"/>
          <w:rFonts w:ascii="Times New Roman" w:hAnsi="Times New Roman" w:cs="Times New Roman"/>
          <w:sz w:val="24"/>
          <w:szCs w:val="24"/>
        </w:rPr>
        <w:footnoteRef/>
      </w:r>
      <w:r w:rsidRPr="00BB4122">
        <w:rPr>
          <w:rFonts w:ascii="Times New Roman" w:hAnsi="Times New Roman" w:cs="Times New Roman"/>
          <w:sz w:val="24"/>
          <w:szCs w:val="24"/>
        </w:rPr>
        <w:t xml:space="preserve"> The 2015 Global Monitoring Report also concludes that ‘educational policy reforms have benefited wealthier households more substantially’ (p.nn) but no reasons or evidence are presented in support of this statement.</w:t>
      </w:r>
    </w:p>
    <w:p w:rsidR="009F7046" w:rsidRDefault="009F7046" w:rsidP="00AB5D66">
      <w:pPr>
        <w:pStyle w:val="FootnoteText"/>
      </w:pPr>
    </w:p>
  </w:footnote>
  <w:footnote w:id="13">
    <w:p w:rsidR="009F7046" w:rsidRPr="00BB4122" w:rsidRDefault="009F7046">
      <w:pPr>
        <w:pStyle w:val="FootnoteText"/>
        <w:rPr>
          <w:rFonts w:ascii="Times New Roman" w:hAnsi="Times New Roman" w:cs="Times New Roman"/>
          <w:sz w:val="24"/>
          <w:szCs w:val="24"/>
        </w:rPr>
      </w:pPr>
      <w:r w:rsidRPr="00BB4122">
        <w:rPr>
          <w:rStyle w:val="FootnoteReference"/>
          <w:rFonts w:ascii="Times New Roman" w:hAnsi="Times New Roman" w:cs="Times New Roman"/>
          <w:sz w:val="24"/>
          <w:szCs w:val="24"/>
        </w:rPr>
        <w:footnoteRef/>
      </w:r>
      <w:r w:rsidRPr="00BB4122">
        <w:rPr>
          <w:rFonts w:ascii="Times New Roman" w:hAnsi="Times New Roman" w:cs="Times New Roman"/>
          <w:sz w:val="24"/>
          <w:szCs w:val="24"/>
        </w:rPr>
        <w:t xml:space="preserve"> Assessment is a primary function of schoo</w:t>
      </w:r>
      <w:r>
        <w:rPr>
          <w:rFonts w:ascii="Times New Roman" w:hAnsi="Times New Roman" w:cs="Times New Roman"/>
          <w:sz w:val="24"/>
          <w:szCs w:val="24"/>
        </w:rPr>
        <w:t>l examinations but the way very high-</w:t>
      </w:r>
      <w:r w:rsidRPr="00BB4122">
        <w:rPr>
          <w:rFonts w:ascii="Times New Roman" w:hAnsi="Times New Roman" w:cs="Times New Roman"/>
          <w:sz w:val="24"/>
          <w:szCs w:val="24"/>
        </w:rPr>
        <w:t xml:space="preserve">stakes examinations </w:t>
      </w:r>
      <w:r>
        <w:rPr>
          <w:rFonts w:ascii="Times New Roman" w:hAnsi="Times New Roman" w:cs="Times New Roman"/>
          <w:sz w:val="24"/>
          <w:szCs w:val="24"/>
        </w:rPr>
        <w:t xml:space="preserve">(especially at the end of primary schooling) </w:t>
      </w:r>
      <w:r w:rsidRPr="00BB4122">
        <w:rPr>
          <w:rFonts w:ascii="Times New Roman" w:hAnsi="Times New Roman" w:cs="Times New Roman"/>
          <w:sz w:val="24"/>
          <w:szCs w:val="24"/>
        </w:rPr>
        <w:t>are used to select out a small minority of ‘successful’ students is very evident and has been widely criticised.</w:t>
      </w:r>
    </w:p>
  </w:footnote>
  <w:footnote w:id="14">
    <w:p w:rsidR="009F7046" w:rsidRPr="00777D0B" w:rsidRDefault="009F7046" w:rsidP="00AB5D66">
      <w:pPr>
        <w:pStyle w:val="FootnoteText"/>
        <w:rPr>
          <w:rFonts w:ascii="Times New Roman" w:hAnsi="Times New Roman" w:cs="Times New Roman"/>
          <w:sz w:val="24"/>
          <w:szCs w:val="24"/>
        </w:rPr>
      </w:pPr>
      <w:r w:rsidRPr="00777D0B">
        <w:rPr>
          <w:rStyle w:val="FootnoteReference"/>
          <w:rFonts w:ascii="Times New Roman" w:hAnsi="Times New Roman" w:cs="Times New Roman"/>
          <w:sz w:val="24"/>
          <w:szCs w:val="24"/>
        </w:rPr>
        <w:footnoteRef/>
      </w:r>
      <w:r w:rsidRPr="00777D0B">
        <w:rPr>
          <w:rFonts w:ascii="Times New Roman" w:hAnsi="Times New Roman" w:cs="Times New Roman"/>
          <w:sz w:val="24"/>
          <w:szCs w:val="24"/>
        </w:rPr>
        <w:t xml:space="preserve"> Unfortunately, information on the relative performance of government and private primary schools is not usually publically available.</w:t>
      </w:r>
    </w:p>
  </w:footnote>
  <w:footnote w:id="15">
    <w:p w:rsidR="009F7046" w:rsidRPr="00970E16" w:rsidRDefault="009F7046" w:rsidP="003C795F">
      <w:pPr>
        <w:pStyle w:val="FootnoteText"/>
        <w:jc w:val="both"/>
        <w:rPr>
          <w:rFonts w:ascii="Times New Roman" w:hAnsi="Times New Roman" w:cs="Times New Roman"/>
          <w:sz w:val="24"/>
          <w:szCs w:val="24"/>
        </w:rPr>
      </w:pPr>
      <w:r>
        <w:rPr>
          <w:rStyle w:val="FootnoteReference"/>
        </w:rPr>
        <w:footnoteRef/>
      </w:r>
      <w:r>
        <w:t xml:space="preserve"> </w:t>
      </w:r>
      <w:r w:rsidRPr="00970E16">
        <w:rPr>
          <w:rFonts w:ascii="Times New Roman" w:hAnsi="Times New Roman" w:cs="Times New Roman"/>
          <w:sz w:val="24"/>
          <w:szCs w:val="24"/>
        </w:rPr>
        <w:t>In most countries</w:t>
      </w:r>
      <w:r>
        <w:rPr>
          <w:rFonts w:ascii="Times New Roman" w:hAnsi="Times New Roman" w:cs="Times New Roman"/>
          <w:sz w:val="24"/>
          <w:szCs w:val="24"/>
        </w:rPr>
        <w:t xml:space="preserve"> in SSA</w:t>
      </w:r>
      <w:r w:rsidRPr="00970E16">
        <w:rPr>
          <w:rFonts w:ascii="Times New Roman" w:hAnsi="Times New Roman" w:cs="Times New Roman"/>
          <w:sz w:val="24"/>
          <w:szCs w:val="24"/>
        </w:rPr>
        <w:t xml:space="preserve">, foreign companies dominate the key growth sectors including construction, hospitality and tourism, finance, telecommunications and mining.  </w:t>
      </w:r>
    </w:p>
    <w:p w:rsidR="009F7046" w:rsidRDefault="009F7046">
      <w:pPr>
        <w:pStyle w:val="FootnoteText"/>
      </w:pPr>
    </w:p>
  </w:footnote>
  <w:footnote w:id="16">
    <w:p w:rsidR="009F7046" w:rsidRPr="00371E25" w:rsidRDefault="009F7046">
      <w:pPr>
        <w:pStyle w:val="FootnoteText"/>
        <w:rPr>
          <w:rFonts w:ascii="Times New Roman" w:hAnsi="Times New Roman" w:cs="Times New Roman"/>
          <w:sz w:val="24"/>
          <w:szCs w:val="24"/>
        </w:rPr>
      </w:pPr>
      <w:r>
        <w:rPr>
          <w:rStyle w:val="FootnoteReference"/>
        </w:rPr>
        <w:footnoteRef/>
      </w:r>
      <w:r>
        <w:t xml:space="preserve"> </w:t>
      </w:r>
      <w:r w:rsidRPr="00371E25">
        <w:rPr>
          <w:rFonts w:ascii="Times New Roman" w:hAnsi="Times New Roman" w:cs="Times New Roman"/>
          <w:sz w:val="24"/>
          <w:szCs w:val="24"/>
        </w:rPr>
        <w:t xml:space="preserve">A small African middle class first emerged during the mid-late colonial period members of which dominated most nationalist movements after the Second World War. </w:t>
      </w:r>
    </w:p>
  </w:footnote>
  <w:footnote w:id="17">
    <w:p w:rsidR="009F7046" w:rsidRPr="00A90866" w:rsidRDefault="009F7046" w:rsidP="000828E2">
      <w:pPr>
        <w:pStyle w:val="FootnoteText"/>
        <w:jc w:val="both"/>
        <w:rPr>
          <w:rFonts w:ascii="Times New Roman" w:hAnsi="Times New Roman" w:cs="Times New Roman"/>
          <w:sz w:val="24"/>
          <w:szCs w:val="24"/>
        </w:rPr>
      </w:pPr>
      <w:r>
        <w:rPr>
          <w:rStyle w:val="FootnoteReference"/>
        </w:rPr>
        <w:footnoteRef/>
      </w:r>
      <w:r>
        <w:t xml:space="preserve"> </w:t>
      </w:r>
      <w:r w:rsidRPr="00A90866">
        <w:rPr>
          <w:rFonts w:ascii="Times New Roman" w:hAnsi="Times New Roman" w:cs="Times New Roman"/>
          <w:sz w:val="24"/>
          <w:szCs w:val="24"/>
        </w:rPr>
        <w:t>The main exception is South Africa (see, for example, Southall, 2016).</w:t>
      </w:r>
    </w:p>
    <w:p w:rsidR="009F7046" w:rsidRDefault="009F7046">
      <w:pPr>
        <w:pStyle w:val="FootnoteText"/>
      </w:pPr>
    </w:p>
  </w:footnote>
  <w:footnote w:id="18">
    <w:p w:rsidR="009F7046" w:rsidRPr="003C795F" w:rsidRDefault="009F7046" w:rsidP="006D4221">
      <w:pPr>
        <w:pStyle w:val="FootnoteText"/>
        <w:jc w:val="both"/>
        <w:rPr>
          <w:sz w:val="24"/>
          <w:szCs w:val="24"/>
        </w:rPr>
      </w:pPr>
      <w:r>
        <w:rPr>
          <w:rStyle w:val="FootnoteReference"/>
        </w:rPr>
        <w:footnoteRef/>
      </w:r>
      <w:r>
        <w:t xml:space="preserve"> </w:t>
      </w:r>
      <w:r w:rsidRPr="003C795F">
        <w:rPr>
          <w:rFonts w:ascii="Times New Roman" w:hAnsi="Times New Roman" w:cs="Times New Roman"/>
          <w:sz w:val="24"/>
          <w:szCs w:val="24"/>
        </w:rPr>
        <w:t>The renewed policy commitment to industrial development in many countries during the last decade is perhaps the most striking example of this convergence of interests.</w:t>
      </w:r>
    </w:p>
  </w:footnote>
  <w:footnote w:id="19">
    <w:p w:rsidR="009F7046" w:rsidRPr="00A90866" w:rsidRDefault="009F7046" w:rsidP="006D4221">
      <w:pPr>
        <w:pStyle w:val="FootnoteText"/>
        <w:jc w:val="both"/>
        <w:rPr>
          <w:rFonts w:ascii="Times New Roman" w:hAnsi="Times New Roman" w:cs="Times New Roman"/>
          <w:sz w:val="24"/>
          <w:szCs w:val="24"/>
        </w:rPr>
      </w:pPr>
      <w:r w:rsidRPr="00A90866">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This should not, however, seen in crudely instrumentalist terms </w:t>
      </w:r>
      <w:r w:rsidRPr="00A90866">
        <w:rPr>
          <w:rFonts w:ascii="Times New Roman" w:hAnsi="Times New Roman" w:cs="Times New Roman"/>
          <w:sz w:val="24"/>
          <w:szCs w:val="24"/>
        </w:rPr>
        <w:t>as part of a deliberate</w:t>
      </w:r>
      <w:r>
        <w:rPr>
          <w:rFonts w:ascii="Times New Roman" w:hAnsi="Times New Roman" w:cs="Times New Roman"/>
          <w:sz w:val="24"/>
          <w:szCs w:val="24"/>
        </w:rPr>
        <w:t>/ explicit</w:t>
      </w:r>
      <w:r w:rsidRPr="00A90866">
        <w:rPr>
          <w:rFonts w:ascii="Times New Roman" w:hAnsi="Times New Roman" w:cs="Times New Roman"/>
          <w:sz w:val="24"/>
          <w:szCs w:val="24"/>
        </w:rPr>
        <w:t xml:space="preserve"> class strategy of the </w:t>
      </w:r>
      <w:r>
        <w:rPr>
          <w:rFonts w:ascii="Times New Roman" w:hAnsi="Times New Roman" w:cs="Times New Roman"/>
          <w:sz w:val="24"/>
          <w:szCs w:val="24"/>
        </w:rPr>
        <w:t xml:space="preserve">middle class as a whole </w:t>
      </w:r>
      <w:r w:rsidRPr="00A90866">
        <w:rPr>
          <w:rFonts w:ascii="Times New Roman" w:hAnsi="Times New Roman" w:cs="Times New Roman"/>
          <w:sz w:val="24"/>
          <w:szCs w:val="24"/>
        </w:rPr>
        <w:t>but rather the result of wider economic, social and political</w:t>
      </w:r>
      <w:r>
        <w:rPr>
          <w:rFonts w:ascii="Times New Roman" w:hAnsi="Times New Roman" w:cs="Times New Roman"/>
          <w:sz w:val="24"/>
          <w:szCs w:val="24"/>
        </w:rPr>
        <w:t xml:space="preserve"> forces in society</w:t>
      </w:r>
      <w:r w:rsidRPr="00A90866">
        <w:rPr>
          <w:rFonts w:ascii="Times New Roman" w:hAnsi="Times New Roman" w:cs="Times New Roman"/>
          <w:sz w:val="24"/>
          <w:szCs w:val="24"/>
        </w:rPr>
        <w:t>.</w:t>
      </w:r>
    </w:p>
  </w:footnote>
  <w:footnote w:id="20">
    <w:p w:rsidR="009F7046" w:rsidRPr="00A90866" w:rsidRDefault="009F7046" w:rsidP="006D4221">
      <w:pPr>
        <w:pStyle w:val="FootnoteText"/>
        <w:jc w:val="both"/>
        <w:rPr>
          <w:rFonts w:ascii="Times New Roman" w:hAnsi="Times New Roman" w:cs="Times New Roman"/>
          <w:sz w:val="24"/>
          <w:szCs w:val="24"/>
        </w:rPr>
      </w:pPr>
      <w:r w:rsidRPr="00A90866">
        <w:rPr>
          <w:rStyle w:val="FootnoteReference"/>
          <w:rFonts w:ascii="Times New Roman" w:hAnsi="Times New Roman" w:cs="Times New Roman"/>
          <w:sz w:val="24"/>
          <w:szCs w:val="24"/>
        </w:rPr>
        <w:footnoteRef/>
      </w:r>
      <w:r w:rsidRPr="00A90866">
        <w:rPr>
          <w:rFonts w:ascii="Times New Roman" w:hAnsi="Times New Roman" w:cs="Times New Roman"/>
          <w:sz w:val="24"/>
          <w:szCs w:val="24"/>
        </w:rPr>
        <w:t xml:space="preserve"> It remains to be seen to what extent declining income inequality in some countries is part of a wider long-term continental trend towards greater equality.</w:t>
      </w:r>
      <w:r>
        <w:rPr>
          <w:rFonts w:ascii="Times New Roman" w:hAnsi="Times New Roman" w:cs="Times New Roman"/>
          <w:sz w:val="24"/>
          <w:szCs w:val="24"/>
        </w:rPr>
        <w:t xml:space="preserve"> These poverty rates are an absolute measure while income/wealth quintiles are relative measures. Consequently, decreasing poverty rates are entirely consistent with increasing inequality.</w:t>
      </w:r>
    </w:p>
  </w:footnote>
  <w:footnote w:id="21">
    <w:p w:rsidR="009F7046" w:rsidRPr="00731751" w:rsidRDefault="009F7046" w:rsidP="00731751">
      <w:pPr>
        <w:pStyle w:val="FootnoteText"/>
        <w:jc w:val="both"/>
        <w:rPr>
          <w:rFonts w:ascii="Times New Roman" w:hAnsi="Times New Roman" w:cs="Times New Roman"/>
          <w:sz w:val="24"/>
          <w:szCs w:val="24"/>
        </w:rPr>
      </w:pPr>
      <w:r w:rsidRPr="00731751">
        <w:rPr>
          <w:rStyle w:val="FootnoteReference"/>
          <w:rFonts w:ascii="Times New Roman" w:hAnsi="Times New Roman" w:cs="Times New Roman"/>
          <w:sz w:val="24"/>
          <w:szCs w:val="24"/>
        </w:rPr>
        <w:footnoteRef/>
      </w:r>
      <w:r w:rsidRPr="00731751">
        <w:rPr>
          <w:rFonts w:ascii="Times New Roman" w:hAnsi="Times New Roman" w:cs="Times New Roman"/>
          <w:sz w:val="24"/>
          <w:szCs w:val="24"/>
        </w:rPr>
        <w:t xml:space="preserve"> For example, EMIS in Uganda has not collected any information from primary schools since 2016. </w:t>
      </w:r>
    </w:p>
  </w:footnote>
  <w:footnote w:id="22">
    <w:p w:rsidR="009F7046" w:rsidRPr="00731751" w:rsidRDefault="009F7046" w:rsidP="00731751">
      <w:pPr>
        <w:pStyle w:val="FootnoteText"/>
        <w:jc w:val="both"/>
        <w:rPr>
          <w:rFonts w:ascii="Times New Roman" w:hAnsi="Times New Roman" w:cs="Times New Roman"/>
          <w:sz w:val="24"/>
          <w:szCs w:val="24"/>
        </w:rPr>
      </w:pPr>
      <w:r w:rsidRPr="00731751">
        <w:rPr>
          <w:rStyle w:val="FootnoteReference"/>
          <w:rFonts w:ascii="Times New Roman" w:hAnsi="Times New Roman" w:cs="Times New Roman"/>
          <w:sz w:val="24"/>
          <w:szCs w:val="24"/>
        </w:rPr>
        <w:footnoteRef/>
      </w:r>
      <w:r w:rsidRPr="00731751">
        <w:rPr>
          <w:rFonts w:ascii="Times New Roman" w:hAnsi="Times New Roman" w:cs="Times New Roman"/>
          <w:sz w:val="24"/>
          <w:szCs w:val="24"/>
        </w:rPr>
        <w:t xml:space="preserve"> There are a number of problems with the official data provided to UNESCO. Some of these are definitional but under-reporting of enrolments in some sectors (private schooling and TVET) is also an important issue..</w:t>
      </w:r>
    </w:p>
  </w:footnote>
  <w:footnote w:id="23">
    <w:p w:rsidR="009F7046" w:rsidRPr="00731751" w:rsidRDefault="009F7046" w:rsidP="00731751">
      <w:pPr>
        <w:pStyle w:val="FootnoteText"/>
        <w:jc w:val="both"/>
        <w:rPr>
          <w:rFonts w:ascii="Times New Roman" w:hAnsi="Times New Roman" w:cs="Times New Roman"/>
          <w:sz w:val="24"/>
          <w:szCs w:val="24"/>
        </w:rPr>
      </w:pPr>
      <w:r w:rsidRPr="00731751">
        <w:rPr>
          <w:rStyle w:val="FootnoteReference"/>
          <w:rFonts w:ascii="Times New Roman" w:hAnsi="Times New Roman" w:cs="Times New Roman"/>
          <w:sz w:val="24"/>
          <w:szCs w:val="24"/>
        </w:rPr>
        <w:footnoteRef/>
      </w:r>
      <w:r w:rsidRPr="00731751">
        <w:rPr>
          <w:rFonts w:ascii="Times New Roman" w:hAnsi="Times New Roman" w:cs="Times New Roman"/>
          <w:sz w:val="24"/>
          <w:szCs w:val="24"/>
        </w:rPr>
        <w:t xml:space="preserve"> Unfortunately, these are the only five countries out of a total of over 25 countries in SSA with  MICS where this data was requested. Earlier data from these countries is also not available. None of the DHS contain this information. </w:t>
      </w:r>
    </w:p>
  </w:footnote>
  <w:footnote w:id="24">
    <w:p w:rsidR="009F7046" w:rsidRPr="00731751" w:rsidRDefault="009F7046" w:rsidP="00A9618B">
      <w:pPr>
        <w:pStyle w:val="FootnoteText"/>
        <w:rPr>
          <w:rFonts w:ascii="Times New Roman" w:hAnsi="Times New Roman" w:cs="Times New Roman"/>
          <w:sz w:val="24"/>
          <w:szCs w:val="24"/>
        </w:rPr>
      </w:pPr>
      <w:r w:rsidRPr="00731751">
        <w:rPr>
          <w:rStyle w:val="FootnoteReference"/>
          <w:rFonts w:ascii="Times New Roman" w:hAnsi="Times New Roman" w:cs="Times New Roman"/>
          <w:sz w:val="24"/>
          <w:szCs w:val="24"/>
        </w:rPr>
        <w:footnoteRef/>
      </w:r>
      <w:r w:rsidRPr="00731751">
        <w:rPr>
          <w:rFonts w:ascii="Times New Roman" w:hAnsi="Times New Roman" w:cs="Times New Roman"/>
          <w:sz w:val="24"/>
          <w:szCs w:val="24"/>
        </w:rPr>
        <w:t xml:space="preserve"> There has been a longstanding and, at times quite acrimonious debate about the size and relative education performance of low-cost private schools in SSA and in other developing countries.</w:t>
      </w:r>
      <w:r>
        <w:rPr>
          <w:rFonts w:ascii="Times New Roman" w:hAnsi="Times New Roman" w:cs="Times New Roman"/>
          <w:sz w:val="24"/>
          <w:szCs w:val="24"/>
        </w:rPr>
        <w:t xml:space="preserve"> </w:t>
      </w:r>
      <w:r w:rsidRPr="00731751">
        <w:rPr>
          <w:rFonts w:ascii="Times New Roman" w:hAnsi="Times New Roman" w:cs="Times New Roman"/>
          <w:sz w:val="24"/>
          <w:szCs w:val="24"/>
        </w:rPr>
        <w:t xml:space="preserve">See Lewin, 2007 and Tooley, 2005. </w:t>
      </w:r>
    </w:p>
  </w:footnote>
  <w:footnote w:id="25">
    <w:p w:rsidR="009F7046" w:rsidRPr="00731751" w:rsidRDefault="009F7046">
      <w:pPr>
        <w:pStyle w:val="FootnoteText"/>
        <w:rPr>
          <w:rFonts w:ascii="Times New Roman" w:hAnsi="Times New Roman" w:cs="Times New Roman"/>
          <w:sz w:val="24"/>
          <w:szCs w:val="24"/>
        </w:rPr>
      </w:pPr>
      <w:r w:rsidRPr="00731751">
        <w:rPr>
          <w:rStyle w:val="FootnoteReference"/>
          <w:rFonts w:ascii="Times New Roman" w:hAnsi="Times New Roman" w:cs="Times New Roman"/>
          <w:sz w:val="24"/>
          <w:szCs w:val="24"/>
        </w:rPr>
        <w:footnoteRef/>
      </w:r>
      <w:r w:rsidRPr="00731751">
        <w:rPr>
          <w:rFonts w:ascii="Times New Roman" w:hAnsi="Times New Roman" w:cs="Times New Roman"/>
          <w:sz w:val="24"/>
          <w:szCs w:val="24"/>
        </w:rPr>
        <w:t xml:space="preserve"> The selection/sorting role of examinations remains regardless of trends in examination performance.</w:t>
      </w:r>
    </w:p>
  </w:footnote>
  <w:footnote w:id="26">
    <w:p w:rsidR="009F7046" w:rsidRPr="004D15FF" w:rsidRDefault="009F7046" w:rsidP="004D15FF">
      <w:pPr>
        <w:pStyle w:val="FootnoteText"/>
        <w:rPr>
          <w:rFonts w:ascii="Times New Roman" w:hAnsi="Times New Roman" w:cs="Times New Roman"/>
          <w:sz w:val="24"/>
          <w:szCs w:val="24"/>
        </w:rPr>
      </w:pPr>
      <w:r w:rsidRPr="004D15FF">
        <w:rPr>
          <w:rStyle w:val="FootnoteReference"/>
          <w:rFonts w:ascii="Times New Roman" w:hAnsi="Times New Roman" w:cs="Times New Roman"/>
          <w:sz w:val="24"/>
          <w:szCs w:val="24"/>
        </w:rPr>
        <w:footnoteRef/>
      </w:r>
      <w:r w:rsidRPr="004D15FF">
        <w:rPr>
          <w:rFonts w:ascii="Times New Roman" w:hAnsi="Times New Roman" w:cs="Times New Roman"/>
          <w:sz w:val="24"/>
          <w:szCs w:val="24"/>
        </w:rPr>
        <w:t xml:space="preserve"> For example, to what extent should donors switch their support from public to private education to reflect the new patterns of education provision especially in urban areas?</w:t>
      </w:r>
      <w:r>
        <w:rPr>
          <w:rFonts w:ascii="Times New Roman" w:hAnsi="Times New Roman" w:cs="Times New Roman"/>
          <w:sz w:val="24"/>
          <w:szCs w:val="24"/>
        </w:rPr>
        <w:t xml:space="preserve"> This will depend partly on the extent to which the rapid growth in private sector enrolments is sustained. It is unlikely that private school provision will increase markedly in most rural areas.</w:t>
      </w:r>
    </w:p>
  </w:footnote>
  <w:footnote w:id="27">
    <w:p w:rsidR="009F7046" w:rsidRPr="00EA39D4" w:rsidRDefault="009F7046" w:rsidP="00122FA9">
      <w:pPr>
        <w:pStyle w:val="FootnoteText"/>
        <w:jc w:val="both"/>
        <w:rPr>
          <w:rFonts w:ascii="Times New Roman" w:hAnsi="Times New Roman" w:cs="Times New Roman"/>
          <w:sz w:val="24"/>
          <w:szCs w:val="24"/>
        </w:rPr>
      </w:pPr>
      <w:r w:rsidRPr="00EA39D4">
        <w:rPr>
          <w:rStyle w:val="FootnoteReference"/>
          <w:rFonts w:ascii="Times New Roman" w:hAnsi="Times New Roman" w:cs="Times New Roman"/>
          <w:sz w:val="24"/>
          <w:szCs w:val="24"/>
        </w:rPr>
        <w:footnoteRef/>
      </w:r>
      <w:r w:rsidRPr="00EA39D4">
        <w:rPr>
          <w:rFonts w:ascii="Times New Roman" w:hAnsi="Times New Roman" w:cs="Times New Roman"/>
          <w:sz w:val="24"/>
          <w:szCs w:val="24"/>
        </w:rPr>
        <w:t xml:space="preserve"> This assertion is largely based on the fact that secondary education is much larger than, what until recently, has been a much small higher education sector</w:t>
      </w:r>
      <w:r>
        <w:rPr>
          <w:rFonts w:ascii="Times New Roman" w:hAnsi="Times New Roman" w:cs="Times New Roman"/>
          <w:sz w:val="24"/>
          <w:szCs w:val="24"/>
        </w:rPr>
        <w:t xml:space="preserve"> and is also more autonomous from state control especially in countries where there are relatively large numbers of church-managed schools</w:t>
      </w:r>
      <w:r w:rsidRPr="00EA39D4">
        <w:rPr>
          <w:rFonts w:ascii="Times New Roman" w:hAnsi="Times New Roman" w:cs="Times New Roman"/>
          <w:sz w:val="24"/>
          <w:szCs w:val="24"/>
        </w:rPr>
        <w:t>. The pressure on students and their parents for them to gain admittance to higher education institutions is also intense.</w:t>
      </w:r>
    </w:p>
  </w:footnote>
  <w:footnote w:id="28">
    <w:p w:rsidR="009F7046" w:rsidRPr="00444B29" w:rsidRDefault="009F7046" w:rsidP="00AC5162">
      <w:pPr>
        <w:pStyle w:val="FootnoteText"/>
        <w:rPr>
          <w:rFonts w:ascii="Times New Roman" w:hAnsi="Times New Roman" w:cs="Times New Roman"/>
          <w:sz w:val="24"/>
          <w:szCs w:val="24"/>
        </w:rPr>
      </w:pPr>
      <w:r w:rsidRPr="00444B29">
        <w:rPr>
          <w:rStyle w:val="FootnoteReference"/>
          <w:rFonts w:ascii="Times New Roman" w:hAnsi="Times New Roman" w:cs="Times New Roman"/>
          <w:sz w:val="24"/>
          <w:szCs w:val="24"/>
        </w:rPr>
        <w:footnoteRef/>
      </w:r>
      <w:r w:rsidRPr="00444B29">
        <w:rPr>
          <w:rFonts w:ascii="Times New Roman" w:hAnsi="Times New Roman" w:cs="Times New Roman"/>
          <w:sz w:val="24"/>
          <w:szCs w:val="24"/>
        </w:rPr>
        <w:t xml:space="preserve"> Ghana, Sierra Leone in West Africa Kenya, Malawi, Tanzania and Uganda in East Africa. </w:t>
      </w:r>
    </w:p>
  </w:footnote>
  <w:footnote w:id="29">
    <w:p w:rsidR="009F7046" w:rsidRPr="00444B29" w:rsidRDefault="009F7046" w:rsidP="00AC5162">
      <w:pPr>
        <w:pStyle w:val="FootnoteText"/>
        <w:rPr>
          <w:rFonts w:ascii="Times New Roman" w:hAnsi="Times New Roman" w:cs="Times New Roman"/>
          <w:sz w:val="24"/>
          <w:szCs w:val="24"/>
        </w:rPr>
      </w:pPr>
      <w:r w:rsidRPr="00444B29">
        <w:rPr>
          <w:rStyle w:val="FootnoteReference"/>
          <w:rFonts w:ascii="Times New Roman" w:hAnsi="Times New Roman" w:cs="Times New Roman"/>
          <w:sz w:val="24"/>
          <w:szCs w:val="24"/>
        </w:rPr>
        <w:footnoteRef/>
      </w:r>
      <w:r w:rsidRPr="00444B29">
        <w:rPr>
          <w:rFonts w:ascii="Times New Roman" w:hAnsi="Times New Roman" w:cs="Times New Roman"/>
          <w:sz w:val="24"/>
          <w:szCs w:val="24"/>
        </w:rPr>
        <w:t xml:space="preserve"> Mwiria Task Force on Secondary Education in Kenya is the most well-known.</w:t>
      </w:r>
    </w:p>
  </w:footnote>
  <w:footnote w:id="30">
    <w:p w:rsidR="009F7046" w:rsidRPr="00EA39D4" w:rsidRDefault="009F7046" w:rsidP="00EA39D4">
      <w:pPr>
        <w:pStyle w:val="FootnoteText"/>
        <w:jc w:val="both"/>
        <w:rPr>
          <w:rFonts w:ascii="Times New Roman" w:hAnsi="Times New Roman" w:cs="Times New Roman"/>
          <w:sz w:val="24"/>
          <w:szCs w:val="24"/>
        </w:rPr>
      </w:pPr>
      <w:r w:rsidRPr="00EA39D4">
        <w:rPr>
          <w:rStyle w:val="FootnoteReference"/>
          <w:rFonts w:ascii="Times New Roman" w:hAnsi="Times New Roman" w:cs="Times New Roman"/>
          <w:sz w:val="24"/>
          <w:szCs w:val="24"/>
        </w:rPr>
        <w:footnoteRef/>
      </w:r>
      <w:r w:rsidRPr="00EA39D4">
        <w:rPr>
          <w:rFonts w:ascii="Times New Roman" w:hAnsi="Times New Roman" w:cs="Times New Roman"/>
          <w:sz w:val="24"/>
          <w:szCs w:val="24"/>
        </w:rPr>
        <w:t xml:space="preserve"> Gruber and Kosack (2014) examine the adverse implications for income inequality on the ‘tilt’ towards tertiary education at a global level. They conclude that in ‘countries with higher “tertiary tilts”, rising primary enrolment is associated a decade later with far higher inequality’</w:t>
      </w:r>
      <w:r>
        <w:rPr>
          <w:rFonts w:ascii="Times New Roman" w:hAnsi="Times New Roman" w:cs="Times New Roman"/>
          <w:sz w:val="24"/>
          <w:szCs w:val="24"/>
        </w:rPr>
        <w:t xml:space="preserve"> (p.1)</w:t>
      </w:r>
      <w:r w:rsidRPr="00EA39D4">
        <w:rPr>
          <w:rFonts w:ascii="Times New Roman" w:hAnsi="Times New Roman" w:cs="Times New Roman"/>
          <w:sz w:val="24"/>
          <w:szCs w:val="24"/>
        </w:rPr>
        <w:t>.</w:t>
      </w:r>
    </w:p>
  </w:footnote>
  <w:footnote w:id="31">
    <w:p w:rsidR="009F7046" w:rsidRPr="00301443" w:rsidRDefault="009F7046" w:rsidP="00EA39D4">
      <w:pPr>
        <w:pStyle w:val="FootnoteText"/>
        <w:jc w:val="both"/>
        <w:rPr>
          <w:rFonts w:ascii="Times New Roman" w:hAnsi="Times New Roman" w:cs="Times New Roman"/>
          <w:sz w:val="22"/>
          <w:szCs w:val="22"/>
        </w:rPr>
      </w:pPr>
      <w:r w:rsidRPr="00301443">
        <w:rPr>
          <w:rStyle w:val="FootnoteReference"/>
          <w:rFonts w:ascii="Times New Roman" w:hAnsi="Times New Roman" w:cs="Times New Roman"/>
          <w:sz w:val="22"/>
          <w:szCs w:val="22"/>
        </w:rPr>
        <w:footnoteRef/>
      </w:r>
      <w:r w:rsidRPr="00301443">
        <w:rPr>
          <w:rFonts w:ascii="Times New Roman" w:hAnsi="Times New Roman" w:cs="Times New Roman"/>
          <w:sz w:val="22"/>
          <w:szCs w:val="22"/>
        </w:rPr>
        <w:t>National higher education markets are too small for northern universities to establish overseas campuses in SSA. Similarly, franchised courses offered by northern universities based on collaborative links with domestic mainly private training providers are confined to only a few countries in SSA (see author</w:t>
      </w:r>
      <w:r>
        <w:rPr>
          <w:rFonts w:ascii="Times New Roman" w:hAnsi="Times New Roman" w:cs="Times New Roman"/>
          <w:sz w:val="22"/>
          <w:szCs w:val="22"/>
        </w:rPr>
        <w:t>, 2019</w:t>
      </w:r>
      <w:r w:rsidRPr="00301443">
        <w:rPr>
          <w:rFonts w:ascii="Times New Roman" w:hAnsi="Times New Roman" w:cs="Times New Roman"/>
          <w:sz w:val="22"/>
          <w:szCs w:val="22"/>
        </w:rPr>
        <w:t>).</w:t>
      </w:r>
    </w:p>
  </w:footnote>
  <w:footnote w:id="32">
    <w:p w:rsidR="009F7046" w:rsidRPr="00D47EA9" w:rsidRDefault="009F7046" w:rsidP="00D47EA9">
      <w:pPr>
        <w:pStyle w:val="FootnoteText"/>
        <w:jc w:val="both"/>
        <w:rPr>
          <w:rFonts w:ascii="Times New Roman" w:hAnsi="Times New Roman" w:cs="Times New Roman"/>
          <w:sz w:val="24"/>
          <w:szCs w:val="24"/>
        </w:rPr>
      </w:pPr>
      <w:r w:rsidRPr="00D47EA9">
        <w:rPr>
          <w:rStyle w:val="FootnoteReference"/>
          <w:rFonts w:ascii="Times New Roman" w:hAnsi="Times New Roman" w:cs="Times New Roman"/>
          <w:sz w:val="24"/>
          <w:szCs w:val="24"/>
        </w:rPr>
        <w:footnoteRef/>
      </w:r>
      <w:r w:rsidRPr="00D47EA9">
        <w:rPr>
          <w:rFonts w:ascii="Times New Roman" w:hAnsi="Times New Roman" w:cs="Times New Roman"/>
          <w:sz w:val="24"/>
          <w:szCs w:val="24"/>
        </w:rPr>
        <w:t xml:space="preserve"> There also significant non-economic benefits of primary education (lower fertility, improved health, greater self-efficacy, increased political participation etc.) but these do not have direct economic payoffs for individuals/households in the short term. </w:t>
      </w:r>
    </w:p>
  </w:footnote>
  <w:footnote w:id="33">
    <w:p w:rsidR="009F7046" w:rsidRPr="00444B29" w:rsidRDefault="009F7046" w:rsidP="00444B29">
      <w:pPr>
        <w:pStyle w:val="FootnoteText"/>
        <w:jc w:val="both"/>
        <w:rPr>
          <w:rFonts w:ascii="Times New Roman" w:hAnsi="Times New Roman" w:cs="Times New Roman"/>
          <w:sz w:val="24"/>
          <w:szCs w:val="24"/>
        </w:rPr>
      </w:pPr>
      <w:r w:rsidRPr="00444B29">
        <w:rPr>
          <w:rStyle w:val="FootnoteReference"/>
          <w:rFonts w:ascii="Times New Roman" w:hAnsi="Times New Roman" w:cs="Times New Roman"/>
          <w:sz w:val="24"/>
          <w:szCs w:val="24"/>
        </w:rPr>
        <w:footnoteRef/>
      </w:r>
      <w:r w:rsidRPr="00444B29">
        <w:rPr>
          <w:rFonts w:ascii="Times New Roman" w:hAnsi="Times New Roman" w:cs="Times New Roman"/>
          <w:sz w:val="24"/>
          <w:szCs w:val="24"/>
        </w:rPr>
        <w:t xml:space="preserve"> For the 12 countries for which data is available, the share of non-agricultural wage employment in total employment declined in nine countries during various periods (depending on mainly labour force survey data) during the last 20 years.</w:t>
      </w:r>
    </w:p>
  </w:footnote>
  <w:footnote w:id="34">
    <w:p w:rsidR="009F7046" w:rsidRPr="00444B29" w:rsidRDefault="009F7046" w:rsidP="00444B29">
      <w:pPr>
        <w:pStyle w:val="FootnoteText"/>
        <w:jc w:val="both"/>
        <w:rPr>
          <w:rFonts w:ascii="Times New Roman" w:hAnsi="Times New Roman" w:cs="Times New Roman"/>
          <w:sz w:val="24"/>
          <w:szCs w:val="24"/>
        </w:rPr>
      </w:pPr>
      <w:r w:rsidRPr="00444B29">
        <w:rPr>
          <w:rStyle w:val="FootnoteReference"/>
          <w:rFonts w:ascii="Times New Roman" w:hAnsi="Times New Roman" w:cs="Times New Roman"/>
          <w:sz w:val="24"/>
          <w:szCs w:val="24"/>
        </w:rPr>
        <w:footnoteRef/>
      </w:r>
      <w:r w:rsidRPr="00444B29">
        <w:rPr>
          <w:rFonts w:ascii="Times New Roman" w:hAnsi="Times New Roman" w:cs="Times New Roman"/>
          <w:sz w:val="24"/>
          <w:szCs w:val="24"/>
        </w:rPr>
        <w:t xml:space="preserve"> The ILO database on wage employment include wage employment in the informal sector which typically accounts for the large majority of employees. For example, in Kenya, all wage employment was 38% of total employment in 2015 but formal sector wage employment accounted for only 12% of total employment. </w:t>
      </w:r>
    </w:p>
  </w:footnote>
  <w:footnote w:id="35">
    <w:p w:rsidR="009F7046" w:rsidRPr="00220498" w:rsidRDefault="009F7046" w:rsidP="00B73308">
      <w:pPr>
        <w:pStyle w:val="FootnoteText"/>
        <w:jc w:val="both"/>
        <w:rPr>
          <w:rFonts w:ascii="Times New Roman" w:hAnsi="Times New Roman" w:cs="Times New Roman"/>
          <w:sz w:val="24"/>
          <w:szCs w:val="24"/>
        </w:rPr>
      </w:pPr>
      <w:r w:rsidRPr="00220498">
        <w:rPr>
          <w:rStyle w:val="FootnoteReference"/>
          <w:rFonts w:ascii="Times New Roman" w:hAnsi="Times New Roman" w:cs="Times New Roman"/>
          <w:sz w:val="24"/>
          <w:szCs w:val="24"/>
        </w:rPr>
        <w:footnoteRef/>
      </w:r>
      <w:r w:rsidRPr="00220498">
        <w:rPr>
          <w:rFonts w:ascii="Times New Roman" w:hAnsi="Times New Roman" w:cs="Times New Roman"/>
          <w:sz w:val="24"/>
          <w:szCs w:val="24"/>
        </w:rPr>
        <w:t xml:space="preserve"> The data needed to calculate estimates of the total number of primary and secondary school leavers and tertiary graduates is available from the UIS database for fewer than 15 countries in SSA. Estimates of net annual job increase as a percentage of total school and tertiary leavers can only be derived for the following six countries: Ghana (6%), Kenya (11%), Senegal (19%), Tanzania (9%) and Uganda (2%). Even taking into account the rate of annual attrition of the existing formal sector workforce (probably in the region of 2-4% in most countries), these percentages remain under 15% (with the exception of Senegal).  </w:t>
      </w:r>
    </w:p>
  </w:footnote>
  <w:footnote w:id="36">
    <w:p w:rsidR="009F7046" w:rsidRPr="007A7948" w:rsidRDefault="009F7046" w:rsidP="00487A28">
      <w:pPr>
        <w:pStyle w:val="FootnoteText"/>
        <w:rPr>
          <w:rFonts w:ascii="Times New Roman" w:hAnsi="Times New Roman" w:cs="Times New Roman"/>
          <w:sz w:val="24"/>
          <w:szCs w:val="24"/>
        </w:rPr>
      </w:pPr>
      <w:r w:rsidRPr="007A7948">
        <w:rPr>
          <w:rStyle w:val="FootnoteReference"/>
          <w:rFonts w:ascii="Times New Roman" w:hAnsi="Times New Roman" w:cs="Times New Roman"/>
          <w:sz w:val="24"/>
          <w:szCs w:val="24"/>
        </w:rPr>
        <w:footnoteRef/>
      </w:r>
      <w:r w:rsidRPr="007A7948">
        <w:rPr>
          <w:rFonts w:ascii="Times New Roman" w:hAnsi="Times New Roman" w:cs="Times New Roman"/>
          <w:sz w:val="24"/>
          <w:szCs w:val="24"/>
        </w:rPr>
        <w:t xml:space="preserve"> Around two-thirds of formal sector employment in Kenya and Uganda is ‘causal’ with employees being paid on a daily basis. </w:t>
      </w:r>
    </w:p>
  </w:footnote>
  <w:footnote w:id="37">
    <w:p w:rsidR="009F7046" w:rsidRPr="007A7948" w:rsidRDefault="009F7046">
      <w:pPr>
        <w:pStyle w:val="FootnoteText"/>
        <w:rPr>
          <w:rFonts w:ascii="Times New Roman" w:hAnsi="Times New Roman" w:cs="Times New Roman"/>
          <w:sz w:val="24"/>
          <w:szCs w:val="24"/>
        </w:rPr>
      </w:pPr>
      <w:r w:rsidRPr="007A7948">
        <w:rPr>
          <w:rStyle w:val="FootnoteReference"/>
          <w:rFonts w:ascii="Times New Roman" w:hAnsi="Times New Roman" w:cs="Times New Roman"/>
          <w:sz w:val="24"/>
          <w:szCs w:val="24"/>
        </w:rPr>
        <w:footnoteRef/>
      </w:r>
      <w:r w:rsidRPr="007A7948">
        <w:rPr>
          <w:rFonts w:ascii="Times New Roman" w:hAnsi="Times New Roman" w:cs="Times New Roman"/>
          <w:sz w:val="24"/>
          <w:szCs w:val="24"/>
        </w:rPr>
        <w:t xml:space="preserve"> This is the basic proposition of the Harris-Todaro model of rural-urban migration (see Harris, J. Todaro, M, 1970).</w:t>
      </w:r>
    </w:p>
  </w:footnote>
  <w:footnote w:id="38">
    <w:p w:rsidR="009F7046" w:rsidRPr="003C4646" w:rsidRDefault="009F7046" w:rsidP="00130996">
      <w:pPr>
        <w:pStyle w:val="FootnoteText"/>
        <w:jc w:val="both"/>
        <w:rPr>
          <w:rFonts w:ascii="Times New Roman" w:hAnsi="Times New Roman" w:cs="Times New Roman"/>
          <w:sz w:val="24"/>
          <w:szCs w:val="24"/>
        </w:rPr>
      </w:pPr>
      <w:r w:rsidRPr="003C4646">
        <w:rPr>
          <w:rStyle w:val="FootnoteReference"/>
          <w:rFonts w:ascii="Times New Roman" w:hAnsi="Times New Roman" w:cs="Times New Roman"/>
          <w:sz w:val="24"/>
          <w:szCs w:val="24"/>
        </w:rPr>
        <w:footnoteRef/>
      </w:r>
      <w:r w:rsidRPr="003C4646">
        <w:rPr>
          <w:rFonts w:ascii="Times New Roman" w:hAnsi="Times New Roman" w:cs="Times New Roman"/>
          <w:sz w:val="24"/>
          <w:szCs w:val="24"/>
        </w:rPr>
        <w:t xml:space="preserve"> The much cited RORE evidence presented by Psacharopolous and Patrinos is seriously distorted (see Author, 1996).</w:t>
      </w:r>
      <w:r>
        <w:rPr>
          <w:rFonts w:ascii="Times New Roman" w:hAnsi="Times New Roman" w:cs="Times New Roman"/>
          <w:sz w:val="24"/>
          <w:szCs w:val="24"/>
        </w:rPr>
        <w:t xml:space="preserve"> Time series data on ROREs by education level are generally not available or are unreliable but in those countries with reported very high primary education ROREs in the 1960s and 1970s, they have fallen appreciably since then. With the rapid expansion of primary education, it was widely anticipated that primary ROREs would fall. </w:t>
      </w:r>
    </w:p>
  </w:footnote>
  <w:footnote w:id="39">
    <w:p w:rsidR="009F7046" w:rsidRPr="00130996" w:rsidRDefault="009F7046" w:rsidP="00130996">
      <w:pPr>
        <w:pStyle w:val="FootnoteText"/>
        <w:jc w:val="both"/>
        <w:rPr>
          <w:rFonts w:ascii="Times New Roman" w:hAnsi="Times New Roman" w:cs="Times New Roman"/>
          <w:sz w:val="24"/>
          <w:szCs w:val="24"/>
        </w:rPr>
      </w:pPr>
      <w:r>
        <w:rPr>
          <w:rStyle w:val="FootnoteReference"/>
        </w:rPr>
        <w:footnoteRef/>
      </w:r>
      <w:r>
        <w:t xml:space="preserve"> </w:t>
      </w:r>
      <w:r w:rsidRPr="00130996">
        <w:rPr>
          <w:rFonts w:ascii="Times New Roman" w:hAnsi="Times New Roman" w:cs="Times New Roman"/>
          <w:sz w:val="24"/>
          <w:szCs w:val="24"/>
        </w:rPr>
        <w:t>The surveys adopt a common methodology and are, therefore, comparable</w:t>
      </w:r>
      <w:r>
        <w:rPr>
          <w:rFonts w:ascii="Times New Roman" w:hAnsi="Times New Roman" w:cs="Times New Roman"/>
          <w:sz w:val="24"/>
          <w:szCs w:val="24"/>
        </w:rPr>
        <w:t xml:space="preserve"> between countries and ove time</w:t>
      </w:r>
      <w:r w:rsidRPr="00130996">
        <w:rPr>
          <w:rFonts w:ascii="Times New Roman" w:hAnsi="Times New Roman" w:cs="Times New Roman"/>
          <w:sz w:val="24"/>
          <w:szCs w:val="24"/>
        </w:rPr>
        <w:t xml:space="preserve">. While a clear pattern can be discerned with regard to income differentials between education levels, there are still </w:t>
      </w:r>
      <w:r>
        <w:rPr>
          <w:rFonts w:ascii="Times New Roman" w:hAnsi="Times New Roman" w:cs="Times New Roman"/>
          <w:sz w:val="24"/>
          <w:szCs w:val="24"/>
        </w:rPr>
        <w:t>marked differen</w:t>
      </w:r>
      <w:r w:rsidRPr="00130996">
        <w:rPr>
          <w:rFonts w:ascii="Times New Roman" w:hAnsi="Times New Roman" w:cs="Times New Roman"/>
          <w:sz w:val="24"/>
          <w:szCs w:val="24"/>
        </w:rPr>
        <w:t>ces in these differentials between countries. Further research is required in order to explain these differences.</w:t>
      </w:r>
    </w:p>
  </w:footnote>
  <w:footnote w:id="40">
    <w:p w:rsidR="009F7046" w:rsidRPr="00220498" w:rsidRDefault="009F7046" w:rsidP="00220498">
      <w:pPr>
        <w:pStyle w:val="FootnoteText"/>
        <w:jc w:val="both"/>
        <w:rPr>
          <w:rFonts w:ascii="Times New Roman" w:hAnsi="Times New Roman" w:cs="Times New Roman"/>
          <w:sz w:val="24"/>
          <w:szCs w:val="24"/>
        </w:rPr>
      </w:pPr>
      <w:r w:rsidRPr="00220498">
        <w:rPr>
          <w:rStyle w:val="FootnoteReference"/>
          <w:rFonts w:ascii="Times New Roman" w:hAnsi="Times New Roman" w:cs="Times New Roman"/>
          <w:sz w:val="24"/>
          <w:szCs w:val="24"/>
        </w:rPr>
        <w:footnoteRef/>
      </w:r>
      <w:r w:rsidRPr="00220498">
        <w:rPr>
          <w:rFonts w:ascii="Times New Roman" w:hAnsi="Times New Roman" w:cs="Times New Roman"/>
          <w:sz w:val="24"/>
          <w:szCs w:val="24"/>
        </w:rPr>
        <w:t xml:space="preserve"> Research in India has reached similar conclusions. See Banerji, 2000.</w:t>
      </w:r>
    </w:p>
  </w:footnote>
  <w:footnote w:id="41">
    <w:p w:rsidR="009F7046" w:rsidRPr="00220498" w:rsidRDefault="009F7046" w:rsidP="00220498">
      <w:pPr>
        <w:pStyle w:val="FootnoteText"/>
        <w:jc w:val="both"/>
        <w:rPr>
          <w:rFonts w:ascii="Times New Roman" w:hAnsi="Times New Roman" w:cs="Times New Roman"/>
          <w:sz w:val="24"/>
          <w:szCs w:val="24"/>
        </w:rPr>
      </w:pPr>
      <w:r w:rsidRPr="00220498">
        <w:rPr>
          <w:rStyle w:val="FootnoteReference"/>
          <w:rFonts w:ascii="Times New Roman" w:hAnsi="Times New Roman" w:cs="Times New Roman"/>
          <w:sz w:val="24"/>
          <w:szCs w:val="24"/>
        </w:rPr>
        <w:footnoteRef/>
      </w:r>
      <w:r w:rsidRPr="00220498">
        <w:rPr>
          <w:rFonts w:ascii="Times New Roman" w:hAnsi="Times New Roman" w:cs="Times New Roman"/>
          <w:sz w:val="24"/>
          <w:szCs w:val="24"/>
        </w:rPr>
        <w:t xml:space="preserve"> Lavy (1995) was the first to point this out in the early-mid 1990s. He notes that ‘the market treats this level of schooling (primary) as no schooling.. Increasing the cost of post-primary education can largely offset any positive effects on enrolments gained by reduced costs of primary education and optimal schooling years’ (p.312).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C3E4B"/>
    <w:multiLevelType w:val="multilevel"/>
    <w:tmpl w:val="901E7AA4"/>
    <w:lvl w:ilvl="0">
      <w:start w:val="5"/>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CF77129"/>
    <w:multiLevelType w:val="hybridMultilevel"/>
    <w:tmpl w:val="FCAC0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F96CE5"/>
    <w:multiLevelType w:val="multilevel"/>
    <w:tmpl w:val="88F80046"/>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3921425"/>
    <w:multiLevelType w:val="hybridMultilevel"/>
    <w:tmpl w:val="A42A8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686BDB"/>
    <w:multiLevelType w:val="multilevel"/>
    <w:tmpl w:val="88F80046"/>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4B9121E"/>
    <w:multiLevelType w:val="multilevel"/>
    <w:tmpl w:val="0C9ABE54"/>
    <w:lvl w:ilvl="0">
      <w:start w:val="5"/>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70B0219"/>
    <w:multiLevelType w:val="multilevel"/>
    <w:tmpl w:val="428C7F70"/>
    <w:lvl w:ilvl="0">
      <w:start w:val="9"/>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96704C8"/>
    <w:multiLevelType w:val="hybridMultilevel"/>
    <w:tmpl w:val="1D6049E4"/>
    <w:lvl w:ilvl="0" w:tplc="1A7A043A">
      <w:start w:val="1"/>
      <w:numFmt w:val="decimal"/>
      <w:lvlText w:val="(%1)"/>
      <w:lvlJc w:val="left"/>
      <w:pPr>
        <w:ind w:left="780" w:hanging="720"/>
      </w:pPr>
      <w:rPr>
        <w:rFonts w:asciiTheme="minorHAnsi" w:eastAsiaTheme="minorHAnsi" w:hAnsiTheme="minorHAnsi" w:cstheme="minorBidi"/>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5E537361"/>
    <w:multiLevelType w:val="hybridMultilevel"/>
    <w:tmpl w:val="597A168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713F4F"/>
    <w:multiLevelType w:val="multilevel"/>
    <w:tmpl w:val="FA5C1C9E"/>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D831BC9"/>
    <w:multiLevelType w:val="hybridMultilevel"/>
    <w:tmpl w:val="597A168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1"/>
  </w:num>
  <w:num w:numId="5">
    <w:abstractNumId w:val="5"/>
  </w:num>
  <w:num w:numId="6">
    <w:abstractNumId w:val="2"/>
  </w:num>
  <w:num w:numId="7">
    <w:abstractNumId w:val="8"/>
  </w:num>
  <w:num w:numId="8">
    <w:abstractNumId w:val="10"/>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8A1"/>
    <w:rsid w:val="00000CC2"/>
    <w:rsid w:val="000025E7"/>
    <w:rsid w:val="00006865"/>
    <w:rsid w:val="000116E8"/>
    <w:rsid w:val="00011E95"/>
    <w:rsid w:val="00012FD6"/>
    <w:rsid w:val="000140CE"/>
    <w:rsid w:val="00021D2C"/>
    <w:rsid w:val="00021FA9"/>
    <w:rsid w:val="0002221C"/>
    <w:rsid w:val="00023120"/>
    <w:rsid w:val="00025F26"/>
    <w:rsid w:val="000260E7"/>
    <w:rsid w:val="00027D23"/>
    <w:rsid w:val="00042543"/>
    <w:rsid w:val="00047EC2"/>
    <w:rsid w:val="00050DE1"/>
    <w:rsid w:val="0005121F"/>
    <w:rsid w:val="0005194E"/>
    <w:rsid w:val="00051972"/>
    <w:rsid w:val="00051F97"/>
    <w:rsid w:val="00052B69"/>
    <w:rsid w:val="000547D2"/>
    <w:rsid w:val="000560A8"/>
    <w:rsid w:val="000602E4"/>
    <w:rsid w:val="00066202"/>
    <w:rsid w:val="00070CE9"/>
    <w:rsid w:val="00070F18"/>
    <w:rsid w:val="000717C1"/>
    <w:rsid w:val="000828E2"/>
    <w:rsid w:val="00091646"/>
    <w:rsid w:val="00094342"/>
    <w:rsid w:val="000977D9"/>
    <w:rsid w:val="000A5AE1"/>
    <w:rsid w:val="000B12DA"/>
    <w:rsid w:val="000B1CA9"/>
    <w:rsid w:val="000C77F1"/>
    <w:rsid w:val="000E1DA2"/>
    <w:rsid w:val="000E4A61"/>
    <w:rsid w:val="000E5F6C"/>
    <w:rsid w:val="000F2773"/>
    <w:rsid w:val="000F2B8B"/>
    <w:rsid w:val="000F5BAB"/>
    <w:rsid w:val="000F7991"/>
    <w:rsid w:val="00101D76"/>
    <w:rsid w:val="001031C3"/>
    <w:rsid w:val="00103669"/>
    <w:rsid w:val="0010647C"/>
    <w:rsid w:val="00111256"/>
    <w:rsid w:val="001125F8"/>
    <w:rsid w:val="001161EA"/>
    <w:rsid w:val="00122FA9"/>
    <w:rsid w:val="00123617"/>
    <w:rsid w:val="00130996"/>
    <w:rsid w:val="001330FC"/>
    <w:rsid w:val="00141D6C"/>
    <w:rsid w:val="00144BA7"/>
    <w:rsid w:val="00145314"/>
    <w:rsid w:val="00146A31"/>
    <w:rsid w:val="001471F2"/>
    <w:rsid w:val="00161D51"/>
    <w:rsid w:val="00162CA8"/>
    <w:rsid w:val="0016430B"/>
    <w:rsid w:val="00171DE7"/>
    <w:rsid w:val="00175AD5"/>
    <w:rsid w:val="00176DC5"/>
    <w:rsid w:val="00177A6A"/>
    <w:rsid w:val="0018100D"/>
    <w:rsid w:val="00182B9A"/>
    <w:rsid w:val="0019242A"/>
    <w:rsid w:val="001925C1"/>
    <w:rsid w:val="00192A59"/>
    <w:rsid w:val="00193691"/>
    <w:rsid w:val="00195C77"/>
    <w:rsid w:val="001B1238"/>
    <w:rsid w:val="001B5B69"/>
    <w:rsid w:val="001C1E67"/>
    <w:rsid w:val="001C7C78"/>
    <w:rsid w:val="001D1082"/>
    <w:rsid w:val="001D2681"/>
    <w:rsid w:val="001D3A4A"/>
    <w:rsid w:val="001D6945"/>
    <w:rsid w:val="001E550B"/>
    <w:rsid w:val="001E7FA2"/>
    <w:rsid w:val="001F5C1F"/>
    <w:rsid w:val="001F696C"/>
    <w:rsid w:val="00206BFC"/>
    <w:rsid w:val="0021028C"/>
    <w:rsid w:val="002111E8"/>
    <w:rsid w:val="0021221A"/>
    <w:rsid w:val="00220498"/>
    <w:rsid w:val="0022057E"/>
    <w:rsid w:val="00220974"/>
    <w:rsid w:val="00221583"/>
    <w:rsid w:val="002226E4"/>
    <w:rsid w:val="002247BA"/>
    <w:rsid w:val="00224E4E"/>
    <w:rsid w:val="00225970"/>
    <w:rsid w:val="00227C13"/>
    <w:rsid w:val="00235B7A"/>
    <w:rsid w:val="002363BD"/>
    <w:rsid w:val="00237458"/>
    <w:rsid w:val="00241604"/>
    <w:rsid w:val="0024439A"/>
    <w:rsid w:val="002450FB"/>
    <w:rsid w:val="002461FF"/>
    <w:rsid w:val="00254419"/>
    <w:rsid w:val="00254F17"/>
    <w:rsid w:val="00260510"/>
    <w:rsid w:val="00261816"/>
    <w:rsid w:val="00264228"/>
    <w:rsid w:val="00264D1C"/>
    <w:rsid w:val="00270930"/>
    <w:rsid w:val="00275570"/>
    <w:rsid w:val="00275E55"/>
    <w:rsid w:val="00280376"/>
    <w:rsid w:val="00280D21"/>
    <w:rsid w:val="00283A80"/>
    <w:rsid w:val="00287933"/>
    <w:rsid w:val="002912E0"/>
    <w:rsid w:val="0029576E"/>
    <w:rsid w:val="002A3C48"/>
    <w:rsid w:val="002A5ECC"/>
    <w:rsid w:val="002B3BBE"/>
    <w:rsid w:val="002B525F"/>
    <w:rsid w:val="002C1DC3"/>
    <w:rsid w:val="002C277A"/>
    <w:rsid w:val="002C4B34"/>
    <w:rsid w:val="002C69DE"/>
    <w:rsid w:val="002D1894"/>
    <w:rsid w:val="002D1F3F"/>
    <w:rsid w:val="002D2170"/>
    <w:rsid w:val="002F46C8"/>
    <w:rsid w:val="002F5F04"/>
    <w:rsid w:val="0030095E"/>
    <w:rsid w:val="00301443"/>
    <w:rsid w:val="0030657F"/>
    <w:rsid w:val="00307311"/>
    <w:rsid w:val="003102D4"/>
    <w:rsid w:val="00312ECA"/>
    <w:rsid w:val="003133DF"/>
    <w:rsid w:val="00317D91"/>
    <w:rsid w:val="0032101B"/>
    <w:rsid w:val="0032200C"/>
    <w:rsid w:val="00322532"/>
    <w:rsid w:val="00325186"/>
    <w:rsid w:val="0032665E"/>
    <w:rsid w:val="00333908"/>
    <w:rsid w:val="00333B43"/>
    <w:rsid w:val="003375EE"/>
    <w:rsid w:val="00342B4A"/>
    <w:rsid w:val="003456A0"/>
    <w:rsid w:val="00352169"/>
    <w:rsid w:val="00354650"/>
    <w:rsid w:val="0035666A"/>
    <w:rsid w:val="00361C9B"/>
    <w:rsid w:val="00362658"/>
    <w:rsid w:val="00362C44"/>
    <w:rsid w:val="00370C73"/>
    <w:rsid w:val="00371E25"/>
    <w:rsid w:val="00373077"/>
    <w:rsid w:val="00375E54"/>
    <w:rsid w:val="00375EDB"/>
    <w:rsid w:val="0037778C"/>
    <w:rsid w:val="00381A05"/>
    <w:rsid w:val="00382FBE"/>
    <w:rsid w:val="003857D2"/>
    <w:rsid w:val="0038592C"/>
    <w:rsid w:val="00391329"/>
    <w:rsid w:val="00391386"/>
    <w:rsid w:val="00396A07"/>
    <w:rsid w:val="003A1461"/>
    <w:rsid w:val="003A1E75"/>
    <w:rsid w:val="003A21AF"/>
    <w:rsid w:val="003B13E8"/>
    <w:rsid w:val="003B34BD"/>
    <w:rsid w:val="003B3EF6"/>
    <w:rsid w:val="003B5489"/>
    <w:rsid w:val="003B6F4A"/>
    <w:rsid w:val="003C4646"/>
    <w:rsid w:val="003C49E8"/>
    <w:rsid w:val="003C795F"/>
    <w:rsid w:val="003D021D"/>
    <w:rsid w:val="003D1453"/>
    <w:rsid w:val="003D4CD4"/>
    <w:rsid w:val="003E32AF"/>
    <w:rsid w:val="003F5250"/>
    <w:rsid w:val="004003C9"/>
    <w:rsid w:val="00401D49"/>
    <w:rsid w:val="0040227C"/>
    <w:rsid w:val="00406AA8"/>
    <w:rsid w:val="004107C7"/>
    <w:rsid w:val="00415090"/>
    <w:rsid w:val="00430B27"/>
    <w:rsid w:val="00433635"/>
    <w:rsid w:val="004340B2"/>
    <w:rsid w:val="004355D2"/>
    <w:rsid w:val="00437603"/>
    <w:rsid w:val="00444B29"/>
    <w:rsid w:val="0045578D"/>
    <w:rsid w:val="00457957"/>
    <w:rsid w:val="00460404"/>
    <w:rsid w:val="00462045"/>
    <w:rsid w:val="0046241C"/>
    <w:rsid w:val="004628D0"/>
    <w:rsid w:val="00462DBF"/>
    <w:rsid w:val="00464BCE"/>
    <w:rsid w:val="00464E54"/>
    <w:rsid w:val="00471367"/>
    <w:rsid w:val="0048164D"/>
    <w:rsid w:val="00483DE2"/>
    <w:rsid w:val="00487A28"/>
    <w:rsid w:val="00490CE4"/>
    <w:rsid w:val="00496180"/>
    <w:rsid w:val="0049729F"/>
    <w:rsid w:val="004A020D"/>
    <w:rsid w:val="004B18C6"/>
    <w:rsid w:val="004B4FE4"/>
    <w:rsid w:val="004C0F73"/>
    <w:rsid w:val="004C15CA"/>
    <w:rsid w:val="004C27F6"/>
    <w:rsid w:val="004D15FF"/>
    <w:rsid w:val="004D6576"/>
    <w:rsid w:val="004E21A7"/>
    <w:rsid w:val="004F002C"/>
    <w:rsid w:val="004F07A7"/>
    <w:rsid w:val="004F0D10"/>
    <w:rsid w:val="004F1DE5"/>
    <w:rsid w:val="004F5C24"/>
    <w:rsid w:val="004F6672"/>
    <w:rsid w:val="004F7D2F"/>
    <w:rsid w:val="005013BF"/>
    <w:rsid w:val="0051538E"/>
    <w:rsid w:val="00524B5C"/>
    <w:rsid w:val="00526B99"/>
    <w:rsid w:val="005318B3"/>
    <w:rsid w:val="00533EE0"/>
    <w:rsid w:val="005408FD"/>
    <w:rsid w:val="005464B3"/>
    <w:rsid w:val="00547478"/>
    <w:rsid w:val="005537B7"/>
    <w:rsid w:val="0056077D"/>
    <w:rsid w:val="00561EA3"/>
    <w:rsid w:val="005643C9"/>
    <w:rsid w:val="005810C3"/>
    <w:rsid w:val="00585C41"/>
    <w:rsid w:val="00586502"/>
    <w:rsid w:val="0059452C"/>
    <w:rsid w:val="005A21A8"/>
    <w:rsid w:val="005A267F"/>
    <w:rsid w:val="005B0976"/>
    <w:rsid w:val="005C5CC8"/>
    <w:rsid w:val="005C6D39"/>
    <w:rsid w:val="005C78F7"/>
    <w:rsid w:val="005D14D0"/>
    <w:rsid w:val="005D4BE9"/>
    <w:rsid w:val="005E0438"/>
    <w:rsid w:val="005E055D"/>
    <w:rsid w:val="005E224B"/>
    <w:rsid w:val="005E2824"/>
    <w:rsid w:val="005E3C99"/>
    <w:rsid w:val="005E559A"/>
    <w:rsid w:val="005F0476"/>
    <w:rsid w:val="005F06CD"/>
    <w:rsid w:val="005F11DA"/>
    <w:rsid w:val="005F391A"/>
    <w:rsid w:val="005F4CED"/>
    <w:rsid w:val="006013B8"/>
    <w:rsid w:val="0060644D"/>
    <w:rsid w:val="00607416"/>
    <w:rsid w:val="0061167B"/>
    <w:rsid w:val="00612309"/>
    <w:rsid w:val="00614076"/>
    <w:rsid w:val="00615A9F"/>
    <w:rsid w:val="00617583"/>
    <w:rsid w:val="00617DDC"/>
    <w:rsid w:val="00620338"/>
    <w:rsid w:val="00622303"/>
    <w:rsid w:val="00626B4B"/>
    <w:rsid w:val="0062726E"/>
    <w:rsid w:val="00633623"/>
    <w:rsid w:val="0064468D"/>
    <w:rsid w:val="006450E9"/>
    <w:rsid w:val="0064616B"/>
    <w:rsid w:val="00647A89"/>
    <w:rsid w:val="00650140"/>
    <w:rsid w:val="0065081A"/>
    <w:rsid w:val="006568A8"/>
    <w:rsid w:val="0066026B"/>
    <w:rsid w:val="00663402"/>
    <w:rsid w:val="006735D9"/>
    <w:rsid w:val="0067396F"/>
    <w:rsid w:val="006814E1"/>
    <w:rsid w:val="0068568F"/>
    <w:rsid w:val="0069250B"/>
    <w:rsid w:val="00693129"/>
    <w:rsid w:val="006962FB"/>
    <w:rsid w:val="00696EEC"/>
    <w:rsid w:val="006A1137"/>
    <w:rsid w:val="006A33CE"/>
    <w:rsid w:val="006B1A94"/>
    <w:rsid w:val="006C5FE5"/>
    <w:rsid w:val="006C61CE"/>
    <w:rsid w:val="006C763F"/>
    <w:rsid w:val="006D4221"/>
    <w:rsid w:val="006E40E9"/>
    <w:rsid w:val="006E59E1"/>
    <w:rsid w:val="006F1739"/>
    <w:rsid w:val="006F621D"/>
    <w:rsid w:val="006F7308"/>
    <w:rsid w:val="0071504D"/>
    <w:rsid w:val="007173A5"/>
    <w:rsid w:val="007203D2"/>
    <w:rsid w:val="007217BA"/>
    <w:rsid w:val="007224FB"/>
    <w:rsid w:val="00724EEA"/>
    <w:rsid w:val="007256FE"/>
    <w:rsid w:val="00726609"/>
    <w:rsid w:val="00731751"/>
    <w:rsid w:val="007327EC"/>
    <w:rsid w:val="007429DA"/>
    <w:rsid w:val="007533A8"/>
    <w:rsid w:val="0075344F"/>
    <w:rsid w:val="0075550D"/>
    <w:rsid w:val="00757721"/>
    <w:rsid w:val="007671A4"/>
    <w:rsid w:val="00772CCA"/>
    <w:rsid w:val="00776E5D"/>
    <w:rsid w:val="00777588"/>
    <w:rsid w:val="00777D0B"/>
    <w:rsid w:val="00786303"/>
    <w:rsid w:val="00790052"/>
    <w:rsid w:val="00793742"/>
    <w:rsid w:val="0079398C"/>
    <w:rsid w:val="00795CDB"/>
    <w:rsid w:val="007963BF"/>
    <w:rsid w:val="007A1EA9"/>
    <w:rsid w:val="007A7948"/>
    <w:rsid w:val="007B09D5"/>
    <w:rsid w:val="007B2F32"/>
    <w:rsid w:val="007B522D"/>
    <w:rsid w:val="007C1CF9"/>
    <w:rsid w:val="007C295C"/>
    <w:rsid w:val="007C64A7"/>
    <w:rsid w:val="007C7386"/>
    <w:rsid w:val="007D3CDC"/>
    <w:rsid w:val="007D5770"/>
    <w:rsid w:val="007D6EEB"/>
    <w:rsid w:val="007D6F41"/>
    <w:rsid w:val="007D7410"/>
    <w:rsid w:val="007E066B"/>
    <w:rsid w:val="007E2A8A"/>
    <w:rsid w:val="007E4298"/>
    <w:rsid w:val="007F29AE"/>
    <w:rsid w:val="007F4328"/>
    <w:rsid w:val="0080323C"/>
    <w:rsid w:val="00804496"/>
    <w:rsid w:val="008056D2"/>
    <w:rsid w:val="00813D0F"/>
    <w:rsid w:val="0081445B"/>
    <w:rsid w:val="008154B8"/>
    <w:rsid w:val="00817C9A"/>
    <w:rsid w:val="00821794"/>
    <w:rsid w:val="00826A6D"/>
    <w:rsid w:val="00827527"/>
    <w:rsid w:val="008303F1"/>
    <w:rsid w:val="00831D80"/>
    <w:rsid w:val="0083278E"/>
    <w:rsid w:val="0084111F"/>
    <w:rsid w:val="00841AFE"/>
    <w:rsid w:val="00843474"/>
    <w:rsid w:val="00846C6E"/>
    <w:rsid w:val="008557A5"/>
    <w:rsid w:val="0086088C"/>
    <w:rsid w:val="00860A43"/>
    <w:rsid w:val="00861816"/>
    <w:rsid w:val="00861DD5"/>
    <w:rsid w:val="00862C22"/>
    <w:rsid w:val="00866A1F"/>
    <w:rsid w:val="00873A03"/>
    <w:rsid w:val="00877363"/>
    <w:rsid w:val="0087784B"/>
    <w:rsid w:val="008822FF"/>
    <w:rsid w:val="00893A80"/>
    <w:rsid w:val="00894789"/>
    <w:rsid w:val="008A315D"/>
    <w:rsid w:val="008A7B92"/>
    <w:rsid w:val="008B3D83"/>
    <w:rsid w:val="008B7051"/>
    <w:rsid w:val="008B7156"/>
    <w:rsid w:val="008B7C79"/>
    <w:rsid w:val="008B7DDB"/>
    <w:rsid w:val="008C055C"/>
    <w:rsid w:val="008C09BD"/>
    <w:rsid w:val="008C1876"/>
    <w:rsid w:val="008C4711"/>
    <w:rsid w:val="008C5039"/>
    <w:rsid w:val="008C5EE9"/>
    <w:rsid w:val="008D2362"/>
    <w:rsid w:val="008D34E1"/>
    <w:rsid w:val="008D626F"/>
    <w:rsid w:val="008F1120"/>
    <w:rsid w:val="008F340F"/>
    <w:rsid w:val="008F4150"/>
    <w:rsid w:val="008F58A8"/>
    <w:rsid w:val="008F64C0"/>
    <w:rsid w:val="008F7D39"/>
    <w:rsid w:val="00911A44"/>
    <w:rsid w:val="00913868"/>
    <w:rsid w:val="00917B50"/>
    <w:rsid w:val="009237E8"/>
    <w:rsid w:val="00932097"/>
    <w:rsid w:val="009334C1"/>
    <w:rsid w:val="00941595"/>
    <w:rsid w:val="009427C4"/>
    <w:rsid w:val="00942E7C"/>
    <w:rsid w:val="0094403E"/>
    <w:rsid w:val="009457AB"/>
    <w:rsid w:val="00957E37"/>
    <w:rsid w:val="00961349"/>
    <w:rsid w:val="00965E7F"/>
    <w:rsid w:val="009670D5"/>
    <w:rsid w:val="009672B9"/>
    <w:rsid w:val="00970E16"/>
    <w:rsid w:val="009761CE"/>
    <w:rsid w:val="0098041E"/>
    <w:rsid w:val="00980D5E"/>
    <w:rsid w:val="0099170E"/>
    <w:rsid w:val="00993778"/>
    <w:rsid w:val="009952D6"/>
    <w:rsid w:val="009A27E7"/>
    <w:rsid w:val="009A6D47"/>
    <w:rsid w:val="009B341A"/>
    <w:rsid w:val="009B4BA1"/>
    <w:rsid w:val="009C135B"/>
    <w:rsid w:val="009C6677"/>
    <w:rsid w:val="009C6D8F"/>
    <w:rsid w:val="009D2E76"/>
    <w:rsid w:val="009D3064"/>
    <w:rsid w:val="009F6C31"/>
    <w:rsid w:val="009F7046"/>
    <w:rsid w:val="00A01B12"/>
    <w:rsid w:val="00A032ED"/>
    <w:rsid w:val="00A06441"/>
    <w:rsid w:val="00A11AD4"/>
    <w:rsid w:val="00A15895"/>
    <w:rsid w:val="00A20FDC"/>
    <w:rsid w:val="00A21A1E"/>
    <w:rsid w:val="00A22159"/>
    <w:rsid w:val="00A25DB5"/>
    <w:rsid w:val="00A27DA8"/>
    <w:rsid w:val="00A36EBA"/>
    <w:rsid w:val="00A419B8"/>
    <w:rsid w:val="00A43A5F"/>
    <w:rsid w:val="00A50D87"/>
    <w:rsid w:val="00A51AA6"/>
    <w:rsid w:val="00A55E08"/>
    <w:rsid w:val="00A6119C"/>
    <w:rsid w:val="00A6500C"/>
    <w:rsid w:val="00A67942"/>
    <w:rsid w:val="00A67DE6"/>
    <w:rsid w:val="00A742A3"/>
    <w:rsid w:val="00A77073"/>
    <w:rsid w:val="00A877AC"/>
    <w:rsid w:val="00A9060A"/>
    <w:rsid w:val="00A90866"/>
    <w:rsid w:val="00A9618B"/>
    <w:rsid w:val="00AA605E"/>
    <w:rsid w:val="00AA7D1E"/>
    <w:rsid w:val="00AB027A"/>
    <w:rsid w:val="00AB403B"/>
    <w:rsid w:val="00AB5D66"/>
    <w:rsid w:val="00AC5162"/>
    <w:rsid w:val="00AC5900"/>
    <w:rsid w:val="00AC5AB9"/>
    <w:rsid w:val="00AD2805"/>
    <w:rsid w:val="00AD31D4"/>
    <w:rsid w:val="00AD612B"/>
    <w:rsid w:val="00AD6464"/>
    <w:rsid w:val="00AE18E4"/>
    <w:rsid w:val="00AE3D3D"/>
    <w:rsid w:val="00AE4AB9"/>
    <w:rsid w:val="00AF0DE8"/>
    <w:rsid w:val="00B00F7C"/>
    <w:rsid w:val="00B01BE6"/>
    <w:rsid w:val="00B052C8"/>
    <w:rsid w:val="00B11BAD"/>
    <w:rsid w:val="00B21632"/>
    <w:rsid w:val="00B21B30"/>
    <w:rsid w:val="00B2477C"/>
    <w:rsid w:val="00B24E3E"/>
    <w:rsid w:val="00B31F32"/>
    <w:rsid w:val="00B32DD4"/>
    <w:rsid w:val="00B36500"/>
    <w:rsid w:val="00B41A15"/>
    <w:rsid w:val="00B4324E"/>
    <w:rsid w:val="00B43689"/>
    <w:rsid w:val="00B46581"/>
    <w:rsid w:val="00B50EE9"/>
    <w:rsid w:val="00B54318"/>
    <w:rsid w:val="00B601E6"/>
    <w:rsid w:val="00B65D8C"/>
    <w:rsid w:val="00B73053"/>
    <w:rsid w:val="00B73308"/>
    <w:rsid w:val="00B7341C"/>
    <w:rsid w:val="00B77BC3"/>
    <w:rsid w:val="00B80522"/>
    <w:rsid w:val="00B81711"/>
    <w:rsid w:val="00B845E1"/>
    <w:rsid w:val="00B92B0E"/>
    <w:rsid w:val="00B92BF7"/>
    <w:rsid w:val="00B93046"/>
    <w:rsid w:val="00B9385B"/>
    <w:rsid w:val="00B93959"/>
    <w:rsid w:val="00B93DBC"/>
    <w:rsid w:val="00B9451A"/>
    <w:rsid w:val="00B94657"/>
    <w:rsid w:val="00B966A7"/>
    <w:rsid w:val="00BA2EF3"/>
    <w:rsid w:val="00BA46CA"/>
    <w:rsid w:val="00BB1095"/>
    <w:rsid w:val="00BB2698"/>
    <w:rsid w:val="00BB37BD"/>
    <w:rsid w:val="00BB3A7D"/>
    <w:rsid w:val="00BB4122"/>
    <w:rsid w:val="00BB6EE8"/>
    <w:rsid w:val="00BB70C6"/>
    <w:rsid w:val="00BC2246"/>
    <w:rsid w:val="00BC3085"/>
    <w:rsid w:val="00BC63A9"/>
    <w:rsid w:val="00BC77F7"/>
    <w:rsid w:val="00BC7835"/>
    <w:rsid w:val="00BD0B24"/>
    <w:rsid w:val="00BD31F2"/>
    <w:rsid w:val="00BD58CD"/>
    <w:rsid w:val="00BD7480"/>
    <w:rsid w:val="00BF5FC7"/>
    <w:rsid w:val="00C00B8B"/>
    <w:rsid w:val="00C07B07"/>
    <w:rsid w:val="00C1062F"/>
    <w:rsid w:val="00C27D54"/>
    <w:rsid w:val="00C3340B"/>
    <w:rsid w:val="00C33527"/>
    <w:rsid w:val="00C34AC3"/>
    <w:rsid w:val="00C42B2A"/>
    <w:rsid w:val="00C469B9"/>
    <w:rsid w:val="00C47AAF"/>
    <w:rsid w:val="00C575F6"/>
    <w:rsid w:val="00C57D46"/>
    <w:rsid w:val="00C64CFF"/>
    <w:rsid w:val="00C70634"/>
    <w:rsid w:val="00C70D57"/>
    <w:rsid w:val="00C71217"/>
    <w:rsid w:val="00C7280F"/>
    <w:rsid w:val="00C73ADB"/>
    <w:rsid w:val="00C77269"/>
    <w:rsid w:val="00C800FC"/>
    <w:rsid w:val="00C86E1A"/>
    <w:rsid w:val="00C879B6"/>
    <w:rsid w:val="00C910CD"/>
    <w:rsid w:val="00C9244C"/>
    <w:rsid w:val="00C9590A"/>
    <w:rsid w:val="00C95E69"/>
    <w:rsid w:val="00C977E4"/>
    <w:rsid w:val="00CA4049"/>
    <w:rsid w:val="00CA5676"/>
    <w:rsid w:val="00CA6FC9"/>
    <w:rsid w:val="00CB1A0B"/>
    <w:rsid w:val="00CB3C84"/>
    <w:rsid w:val="00CB3FCF"/>
    <w:rsid w:val="00CB497C"/>
    <w:rsid w:val="00CB732B"/>
    <w:rsid w:val="00CC1C4A"/>
    <w:rsid w:val="00CD0D6A"/>
    <w:rsid w:val="00CD6182"/>
    <w:rsid w:val="00CE3063"/>
    <w:rsid w:val="00CE3D32"/>
    <w:rsid w:val="00CF29FF"/>
    <w:rsid w:val="00CF2A21"/>
    <w:rsid w:val="00D05DFB"/>
    <w:rsid w:val="00D05FA3"/>
    <w:rsid w:val="00D10F59"/>
    <w:rsid w:val="00D13560"/>
    <w:rsid w:val="00D144EB"/>
    <w:rsid w:val="00D14981"/>
    <w:rsid w:val="00D211EE"/>
    <w:rsid w:val="00D22F22"/>
    <w:rsid w:val="00D26B40"/>
    <w:rsid w:val="00D317C0"/>
    <w:rsid w:val="00D37D45"/>
    <w:rsid w:val="00D42179"/>
    <w:rsid w:val="00D430C8"/>
    <w:rsid w:val="00D47EA9"/>
    <w:rsid w:val="00D47FA8"/>
    <w:rsid w:val="00D6092F"/>
    <w:rsid w:val="00D64C19"/>
    <w:rsid w:val="00D65121"/>
    <w:rsid w:val="00D65DA8"/>
    <w:rsid w:val="00D67285"/>
    <w:rsid w:val="00D8399A"/>
    <w:rsid w:val="00D849B2"/>
    <w:rsid w:val="00D84E3B"/>
    <w:rsid w:val="00D861E9"/>
    <w:rsid w:val="00D914D8"/>
    <w:rsid w:val="00D947DD"/>
    <w:rsid w:val="00DB1523"/>
    <w:rsid w:val="00DC0092"/>
    <w:rsid w:val="00DD22E5"/>
    <w:rsid w:val="00DD4112"/>
    <w:rsid w:val="00DD53FB"/>
    <w:rsid w:val="00DD7F0B"/>
    <w:rsid w:val="00DE171F"/>
    <w:rsid w:val="00DE1B4D"/>
    <w:rsid w:val="00DE496D"/>
    <w:rsid w:val="00DE4CBB"/>
    <w:rsid w:val="00DE4D42"/>
    <w:rsid w:val="00DE7363"/>
    <w:rsid w:val="00DF2787"/>
    <w:rsid w:val="00DF2B77"/>
    <w:rsid w:val="00DF3AA4"/>
    <w:rsid w:val="00E03296"/>
    <w:rsid w:val="00E042E8"/>
    <w:rsid w:val="00E11762"/>
    <w:rsid w:val="00E16406"/>
    <w:rsid w:val="00E17060"/>
    <w:rsid w:val="00E21A16"/>
    <w:rsid w:val="00E23915"/>
    <w:rsid w:val="00E33DCA"/>
    <w:rsid w:val="00E35231"/>
    <w:rsid w:val="00E43C23"/>
    <w:rsid w:val="00E44C7B"/>
    <w:rsid w:val="00E47BEF"/>
    <w:rsid w:val="00E53CD8"/>
    <w:rsid w:val="00E53E51"/>
    <w:rsid w:val="00E54FB9"/>
    <w:rsid w:val="00E5681B"/>
    <w:rsid w:val="00E6326E"/>
    <w:rsid w:val="00E657F8"/>
    <w:rsid w:val="00E66F2D"/>
    <w:rsid w:val="00E72FBF"/>
    <w:rsid w:val="00E81FF5"/>
    <w:rsid w:val="00E86511"/>
    <w:rsid w:val="00E87B31"/>
    <w:rsid w:val="00E9004D"/>
    <w:rsid w:val="00E90E2E"/>
    <w:rsid w:val="00E91DD8"/>
    <w:rsid w:val="00E950BE"/>
    <w:rsid w:val="00EA16BF"/>
    <w:rsid w:val="00EA2F7D"/>
    <w:rsid w:val="00EA39D4"/>
    <w:rsid w:val="00EA6CE0"/>
    <w:rsid w:val="00EA720B"/>
    <w:rsid w:val="00EB34EF"/>
    <w:rsid w:val="00EB4554"/>
    <w:rsid w:val="00EB4D99"/>
    <w:rsid w:val="00EB6429"/>
    <w:rsid w:val="00EC10ED"/>
    <w:rsid w:val="00EC293B"/>
    <w:rsid w:val="00EC3441"/>
    <w:rsid w:val="00EC4922"/>
    <w:rsid w:val="00EC67BE"/>
    <w:rsid w:val="00EC7008"/>
    <w:rsid w:val="00ED2678"/>
    <w:rsid w:val="00EE340D"/>
    <w:rsid w:val="00EE47CE"/>
    <w:rsid w:val="00EE4DBB"/>
    <w:rsid w:val="00EF3E8F"/>
    <w:rsid w:val="00EF45BE"/>
    <w:rsid w:val="00EF45F4"/>
    <w:rsid w:val="00F070B1"/>
    <w:rsid w:val="00F12026"/>
    <w:rsid w:val="00F14CED"/>
    <w:rsid w:val="00F14D7A"/>
    <w:rsid w:val="00F14DAD"/>
    <w:rsid w:val="00F21311"/>
    <w:rsid w:val="00F21E61"/>
    <w:rsid w:val="00F229CE"/>
    <w:rsid w:val="00F258DF"/>
    <w:rsid w:val="00F27AC2"/>
    <w:rsid w:val="00F32B50"/>
    <w:rsid w:val="00F35A73"/>
    <w:rsid w:val="00F407ED"/>
    <w:rsid w:val="00F41BD3"/>
    <w:rsid w:val="00F45E3E"/>
    <w:rsid w:val="00F51258"/>
    <w:rsid w:val="00F52A4F"/>
    <w:rsid w:val="00F62763"/>
    <w:rsid w:val="00F62A4B"/>
    <w:rsid w:val="00F6338E"/>
    <w:rsid w:val="00F65AD8"/>
    <w:rsid w:val="00F71C7F"/>
    <w:rsid w:val="00F81E01"/>
    <w:rsid w:val="00F85B62"/>
    <w:rsid w:val="00F902EC"/>
    <w:rsid w:val="00FA3794"/>
    <w:rsid w:val="00FA41B1"/>
    <w:rsid w:val="00FA7587"/>
    <w:rsid w:val="00FB2954"/>
    <w:rsid w:val="00FB42DB"/>
    <w:rsid w:val="00FB79E1"/>
    <w:rsid w:val="00FC0D97"/>
    <w:rsid w:val="00FC6808"/>
    <w:rsid w:val="00FE02E6"/>
    <w:rsid w:val="00FE58A1"/>
    <w:rsid w:val="00FF5E95"/>
    <w:rsid w:val="00FF7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6D3CB-0A4F-4C2B-BE86-82F7BB9E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22F22"/>
    <w:rPr>
      <w:sz w:val="16"/>
      <w:szCs w:val="16"/>
    </w:rPr>
  </w:style>
  <w:style w:type="paragraph" w:styleId="CommentText">
    <w:name w:val="annotation text"/>
    <w:basedOn w:val="Normal"/>
    <w:link w:val="CommentTextChar"/>
    <w:uiPriority w:val="99"/>
    <w:semiHidden/>
    <w:unhideWhenUsed/>
    <w:rsid w:val="00D22F22"/>
    <w:pPr>
      <w:spacing w:line="240" w:lineRule="auto"/>
    </w:pPr>
    <w:rPr>
      <w:sz w:val="20"/>
      <w:szCs w:val="20"/>
    </w:rPr>
  </w:style>
  <w:style w:type="character" w:customStyle="1" w:styleId="CommentTextChar">
    <w:name w:val="Comment Text Char"/>
    <w:basedOn w:val="DefaultParagraphFont"/>
    <w:link w:val="CommentText"/>
    <w:uiPriority w:val="99"/>
    <w:semiHidden/>
    <w:rsid w:val="00D22F22"/>
    <w:rPr>
      <w:sz w:val="20"/>
      <w:szCs w:val="20"/>
    </w:rPr>
  </w:style>
  <w:style w:type="paragraph" w:styleId="CommentSubject">
    <w:name w:val="annotation subject"/>
    <w:basedOn w:val="CommentText"/>
    <w:next w:val="CommentText"/>
    <w:link w:val="CommentSubjectChar"/>
    <w:uiPriority w:val="99"/>
    <w:semiHidden/>
    <w:unhideWhenUsed/>
    <w:rsid w:val="00D22F22"/>
    <w:rPr>
      <w:b/>
      <w:bCs/>
    </w:rPr>
  </w:style>
  <w:style w:type="character" w:customStyle="1" w:styleId="CommentSubjectChar">
    <w:name w:val="Comment Subject Char"/>
    <w:basedOn w:val="CommentTextChar"/>
    <w:link w:val="CommentSubject"/>
    <w:uiPriority w:val="99"/>
    <w:semiHidden/>
    <w:rsid w:val="00D22F22"/>
    <w:rPr>
      <w:b/>
      <w:bCs/>
      <w:sz w:val="20"/>
      <w:szCs w:val="20"/>
    </w:rPr>
  </w:style>
  <w:style w:type="paragraph" w:styleId="BalloonText">
    <w:name w:val="Balloon Text"/>
    <w:basedOn w:val="Normal"/>
    <w:link w:val="BalloonTextChar"/>
    <w:uiPriority w:val="99"/>
    <w:semiHidden/>
    <w:unhideWhenUsed/>
    <w:rsid w:val="00D22F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F22"/>
    <w:rPr>
      <w:rFonts w:ascii="Segoe UI" w:hAnsi="Segoe UI" w:cs="Segoe UI"/>
      <w:sz w:val="18"/>
      <w:szCs w:val="18"/>
    </w:rPr>
  </w:style>
  <w:style w:type="paragraph" w:styleId="ListParagraph">
    <w:name w:val="List Paragraph"/>
    <w:basedOn w:val="Normal"/>
    <w:uiPriority w:val="34"/>
    <w:qFormat/>
    <w:rsid w:val="001330FC"/>
    <w:pPr>
      <w:ind w:left="720"/>
      <w:contextualSpacing/>
    </w:pPr>
  </w:style>
  <w:style w:type="paragraph" w:styleId="FootnoteText">
    <w:name w:val="footnote text"/>
    <w:basedOn w:val="Normal"/>
    <w:link w:val="FootnoteTextChar"/>
    <w:uiPriority w:val="99"/>
    <w:unhideWhenUsed/>
    <w:rsid w:val="00607416"/>
    <w:pPr>
      <w:spacing w:after="0" w:line="240" w:lineRule="auto"/>
    </w:pPr>
    <w:rPr>
      <w:sz w:val="20"/>
      <w:szCs w:val="20"/>
    </w:rPr>
  </w:style>
  <w:style w:type="character" w:customStyle="1" w:styleId="FootnoteTextChar">
    <w:name w:val="Footnote Text Char"/>
    <w:basedOn w:val="DefaultParagraphFont"/>
    <w:link w:val="FootnoteText"/>
    <w:uiPriority w:val="99"/>
    <w:rsid w:val="00607416"/>
    <w:rPr>
      <w:sz w:val="20"/>
      <w:szCs w:val="20"/>
    </w:rPr>
  </w:style>
  <w:style w:type="character" w:styleId="FootnoteReference">
    <w:name w:val="footnote reference"/>
    <w:basedOn w:val="DefaultParagraphFont"/>
    <w:uiPriority w:val="99"/>
    <w:semiHidden/>
    <w:unhideWhenUsed/>
    <w:rsid w:val="00607416"/>
    <w:rPr>
      <w:vertAlign w:val="superscript"/>
    </w:rPr>
  </w:style>
  <w:style w:type="paragraph" w:styleId="Header">
    <w:name w:val="header"/>
    <w:basedOn w:val="Normal"/>
    <w:link w:val="HeaderChar"/>
    <w:uiPriority w:val="99"/>
    <w:unhideWhenUsed/>
    <w:rsid w:val="00CB73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32B"/>
  </w:style>
  <w:style w:type="paragraph" w:styleId="Footer">
    <w:name w:val="footer"/>
    <w:basedOn w:val="Normal"/>
    <w:link w:val="FooterChar"/>
    <w:uiPriority w:val="99"/>
    <w:unhideWhenUsed/>
    <w:rsid w:val="00CB73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42125">
      <w:bodyDiv w:val="1"/>
      <w:marLeft w:val="0"/>
      <w:marRight w:val="0"/>
      <w:marTop w:val="0"/>
      <w:marBottom w:val="0"/>
      <w:divBdr>
        <w:top w:val="none" w:sz="0" w:space="0" w:color="auto"/>
        <w:left w:val="none" w:sz="0" w:space="0" w:color="auto"/>
        <w:bottom w:val="none" w:sz="0" w:space="0" w:color="auto"/>
        <w:right w:val="none" w:sz="0" w:space="0" w:color="auto"/>
      </w:divBdr>
    </w:div>
    <w:div w:id="293950733">
      <w:bodyDiv w:val="1"/>
      <w:marLeft w:val="0"/>
      <w:marRight w:val="0"/>
      <w:marTop w:val="0"/>
      <w:marBottom w:val="0"/>
      <w:divBdr>
        <w:top w:val="none" w:sz="0" w:space="0" w:color="auto"/>
        <w:left w:val="none" w:sz="0" w:space="0" w:color="auto"/>
        <w:bottom w:val="none" w:sz="0" w:space="0" w:color="auto"/>
        <w:right w:val="none" w:sz="0" w:space="0" w:color="auto"/>
      </w:divBdr>
    </w:div>
    <w:div w:id="324434690">
      <w:bodyDiv w:val="1"/>
      <w:marLeft w:val="0"/>
      <w:marRight w:val="0"/>
      <w:marTop w:val="0"/>
      <w:marBottom w:val="0"/>
      <w:divBdr>
        <w:top w:val="none" w:sz="0" w:space="0" w:color="auto"/>
        <w:left w:val="none" w:sz="0" w:space="0" w:color="auto"/>
        <w:bottom w:val="none" w:sz="0" w:space="0" w:color="auto"/>
        <w:right w:val="none" w:sz="0" w:space="0" w:color="auto"/>
      </w:divBdr>
    </w:div>
    <w:div w:id="342437558">
      <w:bodyDiv w:val="1"/>
      <w:marLeft w:val="0"/>
      <w:marRight w:val="0"/>
      <w:marTop w:val="0"/>
      <w:marBottom w:val="0"/>
      <w:divBdr>
        <w:top w:val="none" w:sz="0" w:space="0" w:color="auto"/>
        <w:left w:val="none" w:sz="0" w:space="0" w:color="auto"/>
        <w:bottom w:val="none" w:sz="0" w:space="0" w:color="auto"/>
        <w:right w:val="none" w:sz="0" w:space="0" w:color="auto"/>
      </w:divBdr>
    </w:div>
    <w:div w:id="382292088">
      <w:bodyDiv w:val="1"/>
      <w:marLeft w:val="0"/>
      <w:marRight w:val="0"/>
      <w:marTop w:val="0"/>
      <w:marBottom w:val="0"/>
      <w:divBdr>
        <w:top w:val="none" w:sz="0" w:space="0" w:color="auto"/>
        <w:left w:val="none" w:sz="0" w:space="0" w:color="auto"/>
        <w:bottom w:val="none" w:sz="0" w:space="0" w:color="auto"/>
        <w:right w:val="none" w:sz="0" w:space="0" w:color="auto"/>
      </w:divBdr>
    </w:div>
    <w:div w:id="682707335">
      <w:bodyDiv w:val="1"/>
      <w:marLeft w:val="0"/>
      <w:marRight w:val="0"/>
      <w:marTop w:val="0"/>
      <w:marBottom w:val="0"/>
      <w:divBdr>
        <w:top w:val="none" w:sz="0" w:space="0" w:color="auto"/>
        <w:left w:val="none" w:sz="0" w:space="0" w:color="auto"/>
        <w:bottom w:val="none" w:sz="0" w:space="0" w:color="auto"/>
        <w:right w:val="none" w:sz="0" w:space="0" w:color="auto"/>
      </w:divBdr>
    </w:div>
    <w:div w:id="703335960">
      <w:bodyDiv w:val="1"/>
      <w:marLeft w:val="0"/>
      <w:marRight w:val="0"/>
      <w:marTop w:val="0"/>
      <w:marBottom w:val="0"/>
      <w:divBdr>
        <w:top w:val="none" w:sz="0" w:space="0" w:color="auto"/>
        <w:left w:val="none" w:sz="0" w:space="0" w:color="auto"/>
        <w:bottom w:val="none" w:sz="0" w:space="0" w:color="auto"/>
        <w:right w:val="none" w:sz="0" w:space="0" w:color="auto"/>
      </w:divBdr>
    </w:div>
    <w:div w:id="965234672">
      <w:bodyDiv w:val="1"/>
      <w:marLeft w:val="0"/>
      <w:marRight w:val="0"/>
      <w:marTop w:val="0"/>
      <w:marBottom w:val="0"/>
      <w:divBdr>
        <w:top w:val="none" w:sz="0" w:space="0" w:color="auto"/>
        <w:left w:val="none" w:sz="0" w:space="0" w:color="auto"/>
        <w:bottom w:val="none" w:sz="0" w:space="0" w:color="auto"/>
        <w:right w:val="none" w:sz="0" w:space="0" w:color="auto"/>
      </w:divBdr>
    </w:div>
    <w:div w:id="1227840150">
      <w:bodyDiv w:val="1"/>
      <w:marLeft w:val="0"/>
      <w:marRight w:val="0"/>
      <w:marTop w:val="0"/>
      <w:marBottom w:val="0"/>
      <w:divBdr>
        <w:top w:val="none" w:sz="0" w:space="0" w:color="auto"/>
        <w:left w:val="none" w:sz="0" w:space="0" w:color="auto"/>
        <w:bottom w:val="none" w:sz="0" w:space="0" w:color="auto"/>
        <w:right w:val="none" w:sz="0" w:space="0" w:color="auto"/>
      </w:divBdr>
    </w:div>
    <w:div w:id="1309937437">
      <w:bodyDiv w:val="1"/>
      <w:marLeft w:val="0"/>
      <w:marRight w:val="0"/>
      <w:marTop w:val="0"/>
      <w:marBottom w:val="0"/>
      <w:divBdr>
        <w:top w:val="none" w:sz="0" w:space="0" w:color="auto"/>
        <w:left w:val="none" w:sz="0" w:space="0" w:color="auto"/>
        <w:bottom w:val="none" w:sz="0" w:space="0" w:color="auto"/>
        <w:right w:val="none" w:sz="0" w:space="0" w:color="auto"/>
      </w:divBdr>
    </w:div>
    <w:div w:id="1363094530">
      <w:bodyDiv w:val="1"/>
      <w:marLeft w:val="0"/>
      <w:marRight w:val="0"/>
      <w:marTop w:val="0"/>
      <w:marBottom w:val="0"/>
      <w:divBdr>
        <w:top w:val="none" w:sz="0" w:space="0" w:color="auto"/>
        <w:left w:val="none" w:sz="0" w:space="0" w:color="auto"/>
        <w:bottom w:val="none" w:sz="0" w:space="0" w:color="auto"/>
        <w:right w:val="none" w:sz="0" w:space="0" w:color="auto"/>
      </w:divBdr>
    </w:div>
    <w:div w:id="1368027724">
      <w:bodyDiv w:val="1"/>
      <w:marLeft w:val="0"/>
      <w:marRight w:val="0"/>
      <w:marTop w:val="0"/>
      <w:marBottom w:val="0"/>
      <w:divBdr>
        <w:top w:val="none" w:sz="0" w:space="0" w:color="auto"/>
        <w:left w:val="none" w:sz="0" w:space="0" w:color="auto"/>
        <w:bottom w:val="none" w:sz="0" w:space="0" w:color="auto"/>
        <w:right w:val="none" w:sz="0" w:space="0" w:color="auto"/>
      </w:divBdr>
    </w:div>
    <w:div w:id="1492015553">
      <w:bodyDiv w:val="1"/>
      <w:marLeft w:val="0"/>
      <w:marRight w:val="0"/>
      <w:marTop w:val="0"/>
      <w:marBottom w:val="0"/>
      <w:divBdr>
        <w:top w:val="none" w:sz="0" w:space="0" w:color="auto"/>
        <w:left w:val="none" w:sz="0" w:space="0" w:color="auto"/>
        <w:bottom w:val="none" w:sz="0" w:space="0" w:color="auto"/>
        <w:right w:val="none" w:sz="0" w:space="0" w:color="auto"/>
      </w:divBdr>
    </w:div>
    <w:div w:id="1873302740">
      <w:bodyDiv w:val="1"/>
      <w:marLeft w:val="0"/>
      <w:marRight w:val="0"/>
      <w:marTop w:val="0"/>
      <w:marBottom w:val="0"/>
      <w:divBdr>
        <w:top w:val="none" w:sz="0" w:space="0" w:color="auto"/>
        <w:left w:val="none" w:sz="0" w:space="0" w:color="auto"/>
        <w:bottom w:val="none" w:sz="0" w:space="0" w:color="auto"/>
        <w:right w:val="none" w:sz="0" w:space="0" w:color="auto"/>
      </w:divBdr>
    </w:div>
    <w:div w:id="1877810894">
      <w:bodyDiv w:val="1"/>
      <w:marLeft w:val="0"/>
      <w:marRight w:val="0"/>
      <w:marTop w:val="0"/>
      <w:marBottom w:val="0"/>
      <w:divBdr>
        <w:top w:val="none" w:sz="0" w:space="0" w:color="auto"/>
        <w:left w:val="none" w:sz="0" w:space="0" w:color="auto"/>
        <w:bottom w:val="none" w:sz="0" w:space="0" w:color="auto"/>
        <w:right w:val="none" w:sz="0" w:space="0" w:color="auto"/>
      </w:divBdr>
    </w:div>
    <w:div w:id="201773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Paul\Documents\Educatdemandpapermastermay24.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Paul\Documents\Educatdemandpapermastermay24.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 1: Country primary school completion rates in SSA for</a:t>
            </a:r>
            <a:r>
              <a:rPr lang="en-GB" baseline="0"/>
              <a:t> the 18-24 age group</a:t>
            </a:r>
            <a:r>
              <a:rPr lang="en-GB"/>
              <a:t>, 2015/latest</a:t>
            </a:r>
            <a:r>
              <a:rPr lang="en-GB" baseline="0"/>
              <a:t> year available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'[Educatdemandpapermastermay24.xlsx]figure 1'!$B$5:$B$39</c:f>
              <c:strCache>
                <c:ptCount val="35"/>
                <c:pt idx="0">
                  <c:v>Chad</c:v>
                </c:pt>
                <c:pt idx="1">
                  <c:v>Niger</c:v>
                </c:pt>
                <c:pt idx="2">
                  <c:v>Guinea-Bissau</c:v>
                </c:pt>
                <c:pt idx="3">
                  <c:v>Burkina Faso</c:v>
                </c:pt>
                <c:pt idx="4">
                  <c:v>Liberia</c:v>
                </c:pt>
                <c:pt idx="5">
                  <c:v>Madagascar</c:v>
                </c:pt>
                <c:pt idx="6">
                  <c:v>Mozambique</c:v>
                </c:pt>
                <c:pt idx="7">
                  <c:v>CAR</c:v>
                </c:pt>
                <c:pt idx="8">
                  <c:v>Uganda</c:v>
                </c:pt>
                <c:pt idx="9">
                  <c:v>Malawi</c:v>
                </c:pt>
                <c:pt idx="10">
                  <c:v>Benin</c:v>
                </c:pt>
                <c:pt idx="11">
                  <c:v>Mali</c:v>
                </c:pt>
                <c:pt idx="12">
                  <c:v>Senegal</c:v>
                </c:pt>
                <c:pt idx="13">
                  <c:v>Ethiopia</c:v>
                </c:pt>
                <c:pt idx="14">
                  <c:v>Burundi</c:v>
                </c:pt>
                <c:pt idx="15">
                  <c:v>Guinea</c:v>
                </c:pt>
                <c:pt idx="16">
                  <c:v>Rwanda</c:v>
                </c:pt>
                <c:pt idx="17">
                  <c:v>Cote d'Ivoire</c:v>
                </c:pt>
                <c:pt idx="18">
                  <c:v>Togo</c:v>
                </c:pt>
                <c:pt idx="19">
                  <c:v>Gambia</c:v>
                </c:pt>
                <c:pt idx="20">
                  <c:v>Sierra Leone</c:v>
                </c:pt>
                <c:pt idx="21">
                  <c:v>Lesotho</c:v>
                </c:pt>
                <c:pt idx="22">
                  <c:v>Sudan</c:v>
                </c:pt>
                <c:pt idx="23">
                  <c:v>Ghana</c:v>
                </c:pt>
                <c:pt idx="24">
                  <c:v>DRC</c:v>
                </c:pt>
                <c:pt idx="25">
                  <c:v>Eswatini</c:v>
                </c:pt>
                <c:pt idx="26">
                  <c:v>Cameroon</c:v>
                </c:pt>
                <c:pt idx="27">
                  <c:v>Zambia</c:v>
                </c:pt>
                <c:pt idx="28">
                  <c:v>Nigeria</c:v>
                </c:pt>
                <c:pt idx="29">
                  <c:v>Congo</c:v>
                </c:pt>
                <c:pt idx="30">
                  <c:v>Tanzania</c:v>
                </c:pt>
                <c:pt idx="31">
                  <c:v>Namibia</c:v>
                </c:pt>
                <c:pt idx="32">
                  <c:v>Kenya</c:v>
                </c:pt>
                <c:pt idx="33">
                  <c:v>Zimbabwe</c:v>
                </c:pt>
                <c:pt idx="34">
                  <c:v>South Africa</c:v>
                </c:pt>
              </c:strCache>
            </c:strRef>
          </c:cat>
          <c:val>
            <c:numRef>
              <c:f>'[Educatdemandpapermastermay24.xlsx]figure 1'!$C$5:$C$39</c:f>
              <c:numCache>
                <c:formatCode>General</c:formatCode>
                <c:ptCount val="35"/>
                <c:pt idx="0">
                  <c:v>27</c:v>
                </c:pt>
                <c:pt idx="1">
                  <c:v>28</c:v>
                </c:pt>
                <c:pt idx="2">
                  <c:v>29</c:v>
                </c:pt>
                <c:pt idx="3">
                  <c:v>31</c:v>
                </c:pt>
                <c:pt idx="4">
                  <c:v>34</c:v>
                </c:pt>
                <c:pt idx="5">
                  <c:v>34</c:v>
                </c:pt>
                <c:pt idx="6">
                  <c:v>41</c:v>
                </c:pt>
                <c:pt idx="7">
                  <c:v>43</c:v>
                </c:pt>
                <c:pt idx="8">
                  <c:v>44</c:v>
                </c:pt>
                <c:pt idx="9">
                  <c:v>47</c:v>
                </c:pt>
                <c:pt idx="10">
                  <c:v>48</c:v>
                </c:pt>
                <c:pt idx="11">
                  <c:v>48</c:v>
                </c:pt>
                <c:pt idx="12">
                  <c:v>50</c:v>
                </c:pt>
                <c:pt idx="13">
                  <c:v>52</c:v>
                </c:pt>
                <c:pt idx="14">
                  <c:v>53</c:v>
                </c:pt>
                <c:pt idx="15">
                  <c:v>54</c:v>
                </c:pt>
                <c:pt idx="16">
                  <c:v>54</c:v>
                </c:pt>
                <c:pt idx="17">
                  <c:v>57</c:v>
                </c:pt>
                <c:pt idx="18">
                  <c:v>61</c:v>
                </c:pt>
                <c:pt idx="19">
                  <c:v>62</c:v>
                </c:pt>
                <c:pt idx="20">
                  <c:v>64</c:v>
                </c:pt>
                <c:pt idx="21">
                  <c:v>65</c:v>
                </c:pt>
                <c:pt idx="22">
                  <c:v>65</c:v>
                </c:pt>
                <c:pt idx="23">
                  <c:v>66</c:v>
                </c:pt>
                <c:pt idx="24">
                  <c:v>69</c:v>
                </c:pt>
                <c:pt idx="25">
                  <c:v>70</c:v>
                </c:pt>
                <c:pt idx="26">
                  <c:v>74</c:v>
                </c:pt>
                <c:pt idx="27">
                  <c:v>75</c:v>
                </c:pt>
                <c:pt idx="28">
                  <c:v>77</c:v>
                </c:pt>
                <c:pt idx="29">
                  <c:v>80</c:v>
                </c:pt>
                <c:pt idx="30">
                  <c:v>80</c:v>
                </c:pt>
                <c:pt idx="31">
                  <c:v>83</c:v>
                </c:pt>
                <c:pt idx="32">
                  <c:v>84</c:v>
                </c:pt>
                <c:pt idx="33">
                  <c:v>88</c:v>
                </c:pt>
                <c:pt idx="34">
                  <c:v>96</c:v>
                </c:pt>
              </c:numCache>
            </c:numRef>
          </c:val>
        </c:ser>
        <c:dLbls>
          <c:showLegendKey val="0"/>
          <c:showVal val="0"/>
          <c:showCatName val="0"/>
          <c:showSerName val="0"/>
          <c:showPercent val="0"/>
          <c:showBubbleSize val="0"/>
        </c:dLbls>
        <c:gapWidth val="219"/>
        <c:overlap val="-27"/>
        <c:axId val="-1224793360"/>
        <c:axId val="-1224820016"/>
      </c:barChart>
      <c:catAx>
        <c:axId val="-1224793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4820016"/>
        <c:crosses val="autoZero"/>
        <c:auto val="1"/>
        <c:lblAlgn val="ctr"/>
        <c:lblOffset val="100"/>
        <c:noMultiLvlLbl val="0"/>
      </c:catAx>
      <c:valAx>
        <c:axId val="-122482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4793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 2: Percentage point increase in primary school completion rates by inital level of PSCR, 2000/nya - 2015/lya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datafigure2!$J$4:$J$36</c:f>
              <c:strCache>
                <c:ptCount val="33"/>
                <c:pt idx="0">
                  <c:v>Burkina Faso</c:v>
                </c:pt>
                <c:pt idx="1">
                  <c:v>Madagascar</c:v>
                </c:pt>
                <c:pt idx="2">
                  <c:v>Chad</c:v>
                </c:pt>
                <c:pt idx="3">
                  <c:v>Guinea-Bissau</c:v>
                </c:pt>
                <c:pt idx="4">
                  <c:v>Niger</c:v>
                </c:pt>
                <c:pt idx="5">
                  <c:v>CAR</c:v>
                </c:pt>
                <c:pt idx="6">
                  <c:v>Rwanda</c:v>
                </c:pt>
                <c:pt idx="7">
                  <c:v>Mali</c:v>
                </c:pt>
                <c:pt idx="8">
                  <c:v>Mozambique</c:v>
                </c:pt>
                <c:pt idx="9">
                  <c:v>Ethiopia</c:v>
                </c:pt>
                <c:pt idx="10">
                  <c:v>Sierra Leone</c:v>
                </c:pt>
                <c:pt idx="11">
                  <c:v>Burundi</c:v>
                </c:pt>
                <c:pt idx="12">
                  <c:v>Uganda</c:v>
                </c:pt>
                <c:pt idx="13">
                  <c:v>Malawi</c:v>
                </c:pt>
                <c:pt idx="14">
                  <c:v>Gambia</c:v>
                </c:pt>
                <c:pt idx="15">
                  <c:v>Benin</c:v>
                </c:pt>
                <c:pt idx="16">
                  <c:v>Lesotho</c:v>
                </c:pt>
                <c:pt idx="17">
                  <c:v>Senegal</c:v>
                </c:pt>
                <c:pt idx="18">
                  <c:v>Togo</c:v>
                </c:pt>
                <c:pt idx="19">
                  <c:v>Guinea</c:v>
                </c:pt>
                <c:pt idx="20">
                  <c:v>Cote d'Ivoire</c:v>
                </c:pt>
                <c:pt idx="21">
                  <c:v>DRC</c:v>
                </c:pt>
                <c:pt idx="22">
                  <c:v>Zimbabwe</c:v>
                </c:pt>
                <c:pt idx="23">
                  <c:v>Eswatini</c:v>
                </c:pt>
                <c:pt idx="24">
                  <c:v>Sudan</c:v>
                </c:pt>
                <c:pt idx="25">
                  <c:v>Cameroon</c:v>
                </c:pt>
                <c:pt idx="26">
                  <c:v>Ghana</c:v>
                </c:pt>
                <c:pt idx="27">
                  <c:v>Namibia</c:v>
                </c:pt>
                <c:pt idx="28">
                  <c:v>Congo</c:v>
                </c:pt>
                <c:pt idx="29">
                  <c:v>Nigeria</c:v>
                </c:pt>
                <c:pt idx="30">
                  <c:v>Tanzania</c:v>
                </c:pt>
                <c:pt idx="31">
                  <c:v>Zambia</c:v>
                </c:pt>
                <c:pt idx="32">
                  <c:v>Kenya</c:v>
                </c:pt>
              </c:strCache>
            </c:strRef>
          </c:cat>
          <c:val>
            <c:numRef>
              <c:f>datafigure2!$K$4:$K$36</c:f>
              <c:numCache>
                <c:formatCode>General</c:formatCode>
                <c:ptCount val="33"/>
                <c:pt idx="0">
                  <c:v>5</c:v>
                </c:pt>
                <c:pt idx="1">
                  <c:v>7</c:v>
                </c:pt>
                <c:pt idx="2">
                  <c:v>9</c:v>
                </c:pt>
                <c:pt idx="3">
                  <c:v>9</c:v>
                </c:pt>
                <c:pt idx="4">
                  <c:v>15</c:v>
                </c:pt>
                <c:pt idx="5">
                  <c:v>22</c:v>
                </c:pt>
                <c:pt idx="6">
                  <c:v>26</c:v>
                </c:pt>
                <c:pt idx="7">
                  <c:v>29</c:v>
                </c:pt>
                <c:pt idx="8">
                  <c:v>30</c:v>
                </c:pt>
                <c:pt idx="9">
                  <c:v>34</c:v>
                </c:pt>
                <c:pt idx="10">
                  <c:v>38</c:v>
                </c:pt>
                <c:pt idx="11">
                  <c:v>40</c:v>
                </c:pt>
                <c:pt idx="12">
                  <c:v>5</c:v>
                </c:pt>
                <c:pt idx="13">
                  <c:v>6</c:v>
                </c:pt>
                <c:pt idx="14">
                  <c:v>13</c:v>
                </c:pt>
                <c:pt idx="15">
                  <c:v>15</c:v>
                </c:pt>
                <c:pt idx="16">
                  <c:v>16</c:v>
                </c:pt>
                <c:pt idx="17">
                  <c:v>17</c:v>
                </c:pt>
                <c:pt idx="18">
                  <c:v>18</c:v>
                </c:pt>
                <c:pt idx="19">
                  <c:v>21</c:v>
                </c:pt>
                <c:pt idx="20">
                  <c:v>21</c:v>
                </c:pt>
                <c:pt idx="21">
                  <c:v>36</c:v>
                </c:pt>
                <c:pt idx="22">
                  <c:v>1</c:v>
                </c:pt>
                <c:pt idx="23">
                  <c:v>5</c:v>
                </c:pt>
                <c:pt idx="24">
                  <c:v>6</c:v>
                </c:pt>
                <c:pt idx="25">
                  <c:v>7</c:v>
                </c:pt>
                <c:pt idx="26">
                  <c:v>8</c:v>
                </c:pt>
                <c:pt idx="27">
                  <c:v>13</c:v>
                </c:pt>
                <c:pt idx="28">
                  <c:v>17</c:v>
                </c:pt>
                <c:pt idx="29">
                  <c:v>19</c:v>
                </c:pt>
                <c:pt idx="30">
                  <c:v>20</c:v>
                </c:pt>
                <c:pt idx="31">
                  <c:v>20</c:v>
                </c:pt>
                <c:pt idx="32">
                  <c:v>21</c:v>
                </c:pt>
              </c:numCache>
            </c:numRef>
          </c:val>
        </c:ser>
        <c:dLbls>
          <c:showLegendKey val="0"/>
          <c:showVal val="0"/>
          <c:showCatName val="0"/>
          <c:showSerName val="0"/>
          <c:showPercent val="0"/>
          <c:showBubbleSize val="0"/>
        </c:dLbls>
        <c:gapWidth val="219"/>
        <c:overlap val="-27"/>
        <c:axId val="-1224800976"/>
        <c:axId val="-1224792816"/>
      </c:barChart>
      <c:catAx>
        <c:axId val="-1224800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4792816"/>
        <c:crosses val="autoZero"/>
        <c:auto val="1"/>
        <c:lblAlgn val="ctr"/>
        <c:lblOffset val="100"/>
        <c:noMultiLvlLbl val="0"/>
      </c:catAx>
      <c:valAx>
        <c:axId val="-122479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4800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D1B52-DBBA-4766-A962-BD75F778E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9686</Words>
  <Characters>55214</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2</cp:revision>
  <cp:lastPrinted>2020-05-28T12:55:00Z</cp:lastPrinted>
  <dcterms:created xsi:type="dcterms:W3CDTF">2021-04-09T13:31:00Z</dcterms:created>
  <dcterms:modified xsi:type="dcterms:W3CDTF">2021-04-09T13:31:00Z</dcterms:modified>
</cp:coreProperties>
</file>