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A20" w:rsidRDefault="00797A20"/>
    <w:p w:rsidR="007674A2" w:rsidRDefault="007674A2" w:rsidP="00797A20">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p>
    <w:p w:rsidR="007674A2" w:rsidRDefault="007674A2" w:rsidP="00797A20">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p>
    <w:p w:rsidR="007674A2" w:rsidRDefault="007674A2" w:rsidP="00797A20">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r w:rsidRPr="00430F8F">
        <w:rPr>
          <w:rFonts w:ascii="Times New Roman" w:hAnsi="Times New Roman" w:cs="Times New Roman"/>
          <w:b/>
          <w:sz w:val="28"/>
          <w:szCs w:val="28"/>
        </w:rPr>
        <w:t xml:space="preserve">HOW WELL PAID ARE PRIMARY SCHOOL TEACHERS IN </w:t>
      </w:r>
    </w:p>
    <w:p w:rsidR="007674A2" w:rsidRDefault="007674A2" w:rsidP="00797A20">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r w:rsidRPr="00430F8F">
        <w:rPr>
          <w:rFonts w:ascii="Times New Roman" w:hAnsi="Times New Roman" w:cs="Times New Roman"/>
          <w:b/>
          <w:sz w:val="28"/>
          <w:szCs w:val="28"/>
        </w:rPr>
        <w:t xml:space="preserve">SUB-SAHARAN AFRICA? </w:t>
      </w:r>
    </w:p>
    <w:p w:rsidR="007674A2" w:rsidRDefault="007674A2" w:rsidP="00797A20">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r w:rsidRPr="00430F8F">
        <w:rPr>
          <w:rFonts w:ascii="Times New Roman" w:hAnsi="Times New Roman" w:cs="Times New Roman"/>
          <w:b/>
          <w:sz w:val="28"/>
          <w:szCs w:val="28"/>
        </w:rPr>
        <w:t>A REVIEW</w:t>
      </w:r>
      <w:r>
        <w:rPr>
          <w:rFonts w:ascii="Times New Roman" w:hAnsi="Times New Roman" w:cs="Times New Roman"/>
          <w:b/>
          <w:sz w:val="28"/>
          <w:szCs w:val="28"/>
        </w:rPr>
        <w:t xml:space="preserve"> OF RECENT EVIDENCE</w:t>
      </w:r>
    </w:p>
    <w:p w:rsidR="007674A2" w:rsidRDefault="007674A2" w:rsidP="00797A20">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p>
    <w:p w:rsidR="007674A2" w:rsidRDefault="007674A2" w:rsidP="00797A20">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p>
    <w:p w:rsidR="007674A2" w:rsidRDefault="007674A2" w:rsidP="00797A20">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p>
    <w:p w:rsidR="007674A2" w:rsidRDefault="007674A2" w:rsidP="00797A20">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p>
    <w:p w:rsidR="007674A2" w:rsidRDefault="007674A2" w:rsidP="00797A20">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p>
    <w:p w:rsidR="007674A2" w:rsidRDefault="007674A2" w:rsidP="00797A20">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r>
        <w:rPr>
          <w:rFonts w:ascii="Times New Roman" w:hAnsi="Times New Roman" w:cs="Times New Roman"/>
          <w:b/>
          <w:sz w:val="28"/>
          <w:szCs w:val="28"/>
        </w:rPr>
        <w:t>PAUL BENNELL</w:t>
      </w:r>
    </w:p>
    <w:p w:rsidR="007674A2" w:rsidRDefault="007674A2" w:rsidP="00797A20">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r>
        <w:rPr>
          <w:rFonts w:ascii="Times New Roman" w:hAnsi="Times New Roman" w:cs="Times New Roman"/>
          <w:b/>
          <w:sz w:val="28"/>
          <w:szCs w:val="28"/>
        </w:rPr>
        <w:t>Senior Partner, Knowledge and Skills for Development</w:t>
      </w:r>
    </w:p>
    <w:p w:rsidR="007674A2" w:rsidRDefault="007674A2" w:rsidP="00797A20">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p>
    <w:p w:rsidR="007674A2" w:rsidRDefault="007674A2" w:rsidP="00797A20">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p>
    <w:p w:rsidR="007674A2" w:rsidRDefault="007674A2" w:rsidP="00797A20">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p>
    <w:p w:rsidR="007674A2" w:rsidRDefault="007674A2" w:rsidP="00797A20">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p>
    <w:p w:rsidR="007674A2" w:rsidRDefault="007674A2" w:rsidP="00797A20">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r>
        <w:rPr>
          <w:rFonts w:ascii="Times New Roman" w:hAnsi="Times New Roman" w:cs="Times New Roman"/>
          <w:b/>
          <w:sz w:val="28"/>
          <w:szCs w:val="28"/>
        </w:rPr>
        <w:t>March 2022</w:t>
      </w:r>
    </w:p>
    <w:p w:rsidR="007674A2" w:rsidRDefault="007674A2" w:rsidP="00797A20">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p>
    <w:p w:rsidR="007674A2" w:rsidRDefault="007674A2" w:rsidP="00797A20">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p>
    <w:p w:rsidR="00797A20" w:rsidRDefault="00797A20" w:rsidP="00797A20">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p>
    <w:p w:rsidR="00797A20" w:rsidRDefault="00797A20" w:rsidP="00797A20">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p>
    <w:p w:rsidR="007674A2" w:rsidRDefault="007674A2" w:rsidP="00797A20">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p>
    <w:p w:rsidR="007674A2" w:rsidRDefault="007674A2" w:rsidP="00797A20">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p>
    <w:p w:rsidR="007674A2" w:rsidRDefault="007674A2" w:rsidP="00797A20">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r>
        <w:rPr>
          <w:rFonts w:ascii="Times New Roman" w:hAnsi="Times New Roman" w:cs="Times New Roman"/>
          <w:b/>
          <w:sz w:val="28"/>
          <w:szCs w:val="28"/>
        </w:rPr>
        <w:t>KSD Working Paper 15</w:t>
      </w:r>
    </w:p>
    <w:p w:rsidR="00797A20" w:rsidRDefault="00797A20" w:rsidP="00797A20">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p>
    <w:p w:rsidR="00797A20" w:rsidRDefault="00797A20" w:rsidP="00797A20">
      <w:pPr>
        <w:pBdr>
          <w:top w:val="single" w:sz="4" w:space="1" w:color="auto"/>
          <w:left w:val="single" w:sz="4" w:space="4" w:color="auto"/>
          <w:bottom w:val="single" w:sz="4" w:space="1" w:color="auto"/>
          <w:right w:val="single" w:sz="4" w:space="4" w:color="auto"/>
        </w:pBdr>
        <w:jc w:val="center"/>
      </w:pPr>
    </w:p>
    <w:p w:rsidR="006A321E" w:rsidRDefault="006F3B5C" w:rsidP="00F178C0">
      <w:pPr>
        <w:jc w:val="center"/>
        <w:rPr>
          <w:rFonts w:ascii="Times New Roman" w:hAnsi="Times New Roman" w:cs="Times New Roman"/>
          <w:b/>
          <w:sz w:val="28"/>
          <w:szCs w:val="28"/>
        </w:rPr>
      </w:pPr>
      <w:r w:rsidRPr="00430F8F">
        <w:rPr>
          <w:rFonts w:ascii="Times New Roman" w:hAnsi="Times New Roman" w:cs="Times New Roman"/>
          <w:b/>
          <w:sz w:val="28"/>
          <w:szCs w:val="28"/>
        </w:rPr>
        <w:lastRenderedPageBreak/>
        <w:t xml:space="preserve">HOW WELL PAID ARE </w:t>
      </w:r>
      <w:r w:rsidR="00182F99" w:rsidRPr="00430F8F">
        <w:rPr>
          <w:rFonts w:ascii="Times New Roman" w:hAnsi="Times New Roman" w:cs="Times New Roman"/>
          <w:b/>
          <w:sz w:val="28"/>
          <w:szCs w:val="28"/>
        </w:rPr>
        <w:t xml:space="preserve">PRIMARY </w:t>
      </w:r>
      <w:r w:rsidRPr="00430F8F">
        <w:rPr>
          <w:rFonts w:ascii="Times New Roman" w:hAnsi="Times New Roman" w:cs="Times New Roman"/>
          <w:b/>
          <w:sz w:val="28"/>
          <w:szCs w:val="28"/>
        </w:rPr>
        <w:t xml:space="preserve">SCHOOL TEACHERS IN </w:t>
      </w:r>
    </w:p>
    <w:p w:rsidR="004542EA" w:rsidRDefault="006F3B5C" w:rsidP="00F178C0">
      <w:pPr>
        <w:jc w:val="center"/>
        <w:rPr>
          <w:rFonts w:ascii="Times New Roman" w:hAnsi="Times New Roman" w:cs="Times New Roman"/>
          <w:b/>
          <w:sz w:val="28"/>
          <w:szCs w:val="28"/>
        </w:rPr>
      </w:pPr>
      <w:r w:rsidRPr="00430F8F">
        <w:rPr>
          <w:rFonts w:ascii="Times New Roman" w:hAnsi="Times New Roman" w:cs="Times New Roman"/>
          <w:b/>
          <w:sz w:val="28"/>
          <w:szCs w:val="28"/>
        </w:rPr>
        <w:t xml:space="preserve">SUB-SAHARAN AFRICA? </w:t>
      </w:r>
    </w:p>
    <w:p w:rsidR="005458C0" w:rsidRPr="00430F8F" w:rsidRDefault="006F3B5C" w:rsidP="00F178C0">
      <w:pPr>
        <w:jc w:val="center"/>
        <w:rPr>
          <w:rFonts w:ascii="Times New Roman" w:hAnsi="Times New Roman" w:cs="Times New Roman"/>
          <w:b/>
          <w:sz w:val="28"/>
          <w:szCs w:val="28"/>
        </w:rPr>
      </w:pPr>
      <w:r w:rsidRPr="00430F8F">
        <w:rPr>
          <w:rFonts w:ascii="Times New Roman" w:hAnsi="Times New Roman" w:cs="Times New Roman"/>
          <w:b/>
          <w:sz w:val="28"/>
          <w:szCs w:val="28"/>
        </w:rPr>
        <w:t>A REVIEW</w:t>
      </w:r>
      <w:r w:rsidR="00155D83">
        <w:rPr>
          <w:rFonts w:ascii="Times New Roman" w:hAnsi="Times New Roman" w:cs="Times New Roman"/>
          <w:b/>
          <w:sz w:val="28"/>
          <w:szCs w:val="28"/>
        </w:rPr>
        <w:t xml:space="preserve"> OF RECENT EVIDENCE</w:t>
      </w:r>
    </w:p>
    <w:p w:rsidR="00F178C0" w:rsidRPr="00430F8F" w:rsidRDefault="00F178C0" w:rsidP="00F178C0">
      <w:pPr>
        <w:jc w:val="center"/>
        <w:rPr>
          <w:rFonts w:ascii="Times New Roman" w:hAnsi="Times New Roman" w:cs="Times New Roman"/>
          <w:b/>
          <w:sz w:val="28"/>
          <w:szCs w:val="28"/>
        </w:rPr>
      </w:pPr>
    </w:p>
    <w:p w:rsidR="00F178C0" w:rsidRPr="00430F8F" w:rsidRDefault="00F178C0" w:rsidP="00B461C6">
      <w:pPr>
        <w:jc w:val="both"/>
        <w:rPr>
          <w:rFonts w:ascii="Times New Roman" w:hAnsi="Times New Roman" w:cs="Times New Roman"/>
          <w:b/>
          <w:sz w:val="28"/>
          <w:szCs w:val="28"/>
        </w:rPr>
      </w:pPr>
    </w:p>
    <w:p w:rsidR="00F178C0" w:rsidRPr="0049797A" w:rsidRDefault="00F178C0" w:rsidP="0049797A">
      <w:pPr>
        <w:pStyle w:val="ListParagraph"/>
        <w:numPr>
          <w:ilvl w:val="0"/>
          <w:numId w:val="3"/>
        </w:numPr>
        <w:jc w:val="both"/>
        <w:rPr>
          <w:rFonts w:ascii="Times New Roman" w:hAnsi="Times New Roman" w:cs="Times New Roman"/>
          <w:b/>
          <w:sz w:val="28"/>
          <w:szCs w:val="28"/>
        </w:rPr>
      </w:pPr>
      <w:r w:rsidRPr="0049797A">
        <w:rPr>
          <w:rFonts w:ascii="Times New Roman" w:hAnsi="Times New Roman" w:cs="Times New Roman"/>
          <w:b/>
          <w:sz w:val="28"/>
          <w:szCs w:val="28"/>
        </w:rPr>
        <w:t>Introduction</w:t>
      </w:r>
    </w:p>
    <w:p w:rsidR="003843A2" w:rsidRPr="00B461C6" w:rsidRDefault="00D07943" w:rsidP="003843A2">
      <w:pPr>
        <w:jc w:val="both"/>
        <w:rPr>
          <w:rFonts w:ascii="Times New Roman" w:hAnsi="Times New Roman" w:cs="Times New Roman"/>
          <w:sz w:val="28"/>
          <w:szCs w:val="28"/>
        </w:rPr>
      </w:pPr>
      <w:r>
        <w:rPr>
          <w:rFonts w:ascii="Times New Roman" w:hAnsi="Times New Roman" w:cs="Times New Roman"/>
          <w:sz w:val="28"/>
          <w:szCs w:val="28"/>
        </w:rPr>
        <w:t xml:space="preserve">Teacher pay </w:t>
      </w:r>
      <w:r w:rsidR="004E62F4">
        <w:rPr>
          <w:rFonts w:ascii="Times New Roman" w:hAnsi="Times New Roman" w:cs="Times New Roman"/>
          <w:sz w:val="28"/>
          <w:szCs w:val="28"/>
        </w:rPr>
        <w:t>in S</w:t>
      </w:r>
      <w:r w:rsidR="00D427FA">
        <w:rPr>
          <w:rFonts w:ascii="Times New Roman" w:hAnsi="Times New Roman" w:cs="Times New Roman"/>
          <w:sz w:val="28"/>
          <w:szCs w:val="28"/>
        </w:rPr>
        <w:t xml:space="preserve">ub-Saharan Africa </w:t>
      </w:r>
      <w:r w:rsidR="00EE0ED5">
        <w:rPr>
          <w:rFonts w:ascii="Times New Roman" w:hAnsi="Times New Roman" w:cs="Times New Roman"/>
          <w:sz w:val="28"/>
          <w:szCs w:val="28"/>
        </w:rPr>
        <w:t xml:space="preserve">(SSA) </w:t>
      </w:r>
      <w:r w:rsidR="00171FF2">
        <w:rPr>
          <w:rFonts w:ascii="Times New Roman" w:hAnsi="Times New Roman" w:cs="Times New Roman"/>
          <w:sz w:val="28"/>
          <w:szCs w:val="28"/>
        </w:rPr>
        <w:t xml:space="preserve">and South Asia </w:t>
      </w:r>
      <w:r w:rsidR="00D427FA">
        <w:rPr>
          <w:rFonts w:ascii="Times New Roman" w:hAnsi="Times New Roman" w:cs="Times New Roman"/>
          <w:sz w:val="28"/>
          <w:szCs w:val="28"/>
        </w:rPr>
        <w:t>has be</w:t>
      </w:r>
      <w:r w:rsidR="0093718A">
        <w:rPr>
          <w:rFonts w:ascii="Times New Roman" w:hAnsi="Times New Roman" w:cs="Times New Roman"/>
          <w:sz w:val="28"/>
          <w:szCs w:val="28"/>
        </w:rPr>
        <w:t xml:space="preserve">en </w:t>
      </w:r>
      <w:r w:rsidR="00D427FA">
        <w:rPr>
          <w:rFonts w:ascii="Times New Roman" w:hAnsi="Times New Roman" w:cs="Times New Roman"/>
          <w:sz w:val="28"/>
          <w:szCs w:val="28"/>
        </w:rPr>
        <w:t xml:space="preserve">a highly contentious </w:t>
      </w:r>
      <w:r w:rsidR="001933D2">
        <w:rPr>
          <w:rFonts w:ascii="Times New Roman" w:hAnsi="Times New Roman" w:cs="Times New Roman"/>
          <w:sz w:val="28"/>
          <w:szCs w:val="28"/>
        </w:rPr>
        <w:t xml:space="preserve">area of </w:t>
      </w:r>
      <w:r w:rsidR="0010371C">
        <w:rPr>
          <w:rFonts w:ascii="Times New Roman" w:hAnsi="Times New Roman" w:cs="Times New Roman"/>
          <w:sz w:val="28"/>
          <w:szCs w:val="28"/>
        </w:rPr>
        <w:t xml:space="preserve">education policy </w:t>
      </w:r>
      <w:r w:rsidR="00D427FA">
        <w:rPr>
          <w:rFonts w:ascii="Times New Roman" w:hAnsi="Times New Roman" w:cs="Times New Roman"/>
          <w:sz w:val="28"/>
          <w:szCs w:val="28"/>
        </w:rPr>
        <w:t>since the early 2000s.</w:t>
      </w:r>
      <w:r w:rsidR="003843A2">
        <w:rPr>
          <w:rFonts w:ascii="Times New Roman" w:hAnsi="Times New Roman" w:cs="Times New Roman"/>
          <w:sz w:val="28"/>
          <w:szCs w:val="28"/>
        </w:rPr>
        <w:t xml:space="preserve"> </w:t>
      </w:r>
      <w:r w:rsidR="001933D2">
        <w:rPr>
          <w:rFonts w:ascii="Times New Roman" w:hAnsi="Times New Roman" w:cs="Times New Roman"/>
          <w:sz w:val="28"/>
          <w:szCs w:val="28"/>
        </w:rPr>
        <w:t>Th</w:t>
      </w:r>
      <w:r w:rsidR="0052310A">
        <w:rPr>
          <w:rFonts w:ascii="Times New Roman" w:hAnsi="Times New Roman" w:cs="Times New Roman"/>
          <w:sz w:val="28"/>
          <w:szCs w:val="28"/>
        </w:rPr>
        <w:t xml:space="preserve">is has largely arisen in response to the findings of research and other policy analysis that </w:t>
      </w:r>
      <w:r w:rsidR="00171FF2">
        <w:rPr>
          <w:rFonts w:ascii="Times New Roman" w:hAnsi="Times New Roman" w:cs="Times New Roman"/>
          <w:sz w:val="28"/>
          <w:szCs w:val="28"/>
        </w:rPr>
        <w:t xml:space="preserve">argues that </w:t>
      </w:r>
      <w:r w:rsidR="0052310A">
        <w:rPr>
          <w:rFonts w:ascii="Times New Roman" w:hAnsi="Times New Roman" w:cs="Times New Roman"/>
          <w:sz w:val="28"/>
          <w:szCs w:val="28"/>
        </w:rPr>
        <w:t>teachers at government schools in many countries are ‘overpaid’ and</w:t>
      </w:r>
      <w:r w:rsidR="00171FF2">
        <w:rPr>
          <w:rFonts w:ascii="Times New Roman" w:hAnsi="Times New Roman" w:cs="Times New Roman"/>
          <w:sz w:val="28"/>
          <w:szCs w:val="28"/>
        </w:rPr>
        <w:t xml:space="preserve"> that</w:t>
      </w:r>
      <w:r w:rsidR="0052310A">
        <w:rPr>
          <w:rFonts w:ascii="Times New Roman" w:hAnsi="Times New Roman" w:cs="Times New Roman"/>
          <w:sz w:val="28"/>
          <w:szCs w:val="28"/>
        </w:rPr>
        <w:t>, where this is the case, salaries should be adjusted downward</w:t>
      </w:r>
      <w:r w:rsidR="00466CD8">
        <w:rPr>
          <w:rFonts w:ascii="Times New Roman" w:hAnsi="Times New Roman" w:cs="Times New Roman"/>
          <w:sz w:val="28"/>
          <w:szCs w:val="28"/>
        </w:rPr>
        <w:t>s</w:t>
      </w:r>
      <w:r w:rsidR="0052310A">
        <w:rPr>
          <w:rFonts w:ascii="Times New Roman" w:hAnsi="Times New Roman" w:cs="Times New Roman"/>
          <w:sz w:val="28"/>
          <w:szCs w:val="28"/>
        </w:rPr>
        <w:t xml:space="preserve"> over time. </w:t>
      </w:r>
      <w:r w:rsidR="00171FF2">
        <w:rPr>
          <w:rFonts w:ascii="Times New Roman" w:hAnsi="Times New Roman" w:cs="Times New Roman"/>
          <w:sz w:val="28"/>
          <w:szCs w:val="28"/>
        </w:rPr>
        <w:t xml:space="preserve">Justin </w:t>
      </w:r>
      <w:r w:rsidR="003843A2">
        <w:rPr>
          <w:rFonts w:ascii="Times New Roman" w:hAnsi="Times New Roman" w:cs="Times New Roman"/>
          <w:sz w:val="28"/>
          <w:szCs w:val="28"/>
        </w:rPr>
        <w:t>Sandefur</w:t>
      </w:r>
      <w:r w:rsidR="00182F99">
        <w:rPr>
          <w:rFonts w:ascii="Times New Roman" w:hAnsi="Times New Roman" w:cs="Times New Roman"/>
          <w:sz w:val="28"/>
          <w:szCs w:val="28"/>
        </w:rPr>
        <w:t>, a S</w:t>
      </w:r>
      <w:r w:rsidR="00171FF2">
        <w:rPr>
          <w:rFonts w:ascii="Times New Roman" w:hAnsi="Times New Roman" w:cs="Times New Roman"/>
          <w:sz w:val="28"/>
          <w:szCs w:val="28"/>
        </w:rPr>
        <w:t xml:space="preserve">enior </w:t>
      </w:r>
      <w:r w:rsidR="00182F99">
        <w:rPr>
          <w:rFonts w:ascii="Times New Roman" w:hAnsi="Times New Roman" w:cs="Times New Roman"/>
          <w:sz w:val="28"/>
          <w:szCs w:val="28"/>
        </w:rPr>
        <w:t>Fellow a</w:t>
      </w:r>
      <w:r w:rsidR="00171FF2">
        <w:rPr>
          <w:rFonts w:ascii="Times New Roman" w:hAnsi="Times New Roman" w:cs="Times New Roman"/>
          <w:sz w:val="28"/>
          <w:szCs w:val="28"/>
        </w:rPr>
        <w:t xml:space="preserve">t the </w:t>
      </w:r>
      <w:r w:rsidR="00182F99">
        <w:rPr>
          <w:rFonts w:ascii="Times New Roman" w:hAnsi="Times New Roman" w:cs="Times New Roman"/>
          <w:sz w:val="28"/>
          <w:szCs w:val="28"/>
        </w:rPr>
        <w:t xml:space="preserve">Centre for </w:t>
      </w:r>
      <w:r w:rsidR="00171FF2">
        <w:rPr>
          <w:rFonts w:ascii="Times New Roman" w:hAnsi="Times New Roman" w:cs="Times New Roman"/>
          <w:sz w:val="28"/>
          <w:szCs w:val="28"/>
        </w:rPr>
        <w:t>Global Development forcefully reiterated this view in a 2018 blog posting. He argues</w:t>
      </w:r>
      <w:r w:rsidR="003843A2">
        <w:rPr>
          <w:rFonts w:ascii="Times New Roman" w:hAnsi="Times New Roman" w:cs="Times New Roman"/>
          <w:sz w:val="28"/>
          <w:szCs w:val="28"/>
        </w:rPr>
        <w:t xml:space="preserve"> that ‘r</w:t>
      </w:r>
      <w:r w:rsidR="003843A2" w:rsidRPr="00B461C6">
        <w:rPr>
          <w:rFonts w:ascii="Times New Roman" w:hAnsi="Times New Roman" w:cs="Times New Roman"/>
          <w:sz w:val="28"/>
          <w:szCs w:val="28"/>
        </w:rPr>
        <w:t>elative to context, teachers in poor countries are relatively rich</w:t>
      </w:r>
      <w:r w:rsidR="00182F99">
        <w:rPr>
          <w:rFonts w:ascii="Times New Roman" w:hAnsi="Times New Roman" w:cs="Times New Roman"/>
          <w:sz w:val="28"/>
          <w:szCs w:val="28"/>
        </w:rPr>
        <w:t>’ and that</w:t>
      </w:r>
      <w:r w:rsidR="00171FF2">
        <w:rPr>
          <w:rFonts w:ascii="Times New Roman" w:hAnsi="Times New Roman" w:cs="Times New Roman"/>
          <w:sz w:val="28"/>
          <w:szCs w:val="28"/>
        </w:rPr>
        <w:t xml:space="preserve"> ‘teacher salaries bear little relation to the level of a countries wealth’. The main reason for this is that ‘p</w:t>
      </w:r>
      <w:r w:rsidR="003843A2" w:rsidRPr="00B461C6">
        <w:rPr>
          <w:rFonts w:ascii="Times New Roman" w:hAnsi="Times New Roman" w:cs="Times New Roman"/>
          <w:sz w:val="28"/>
          <w:szCs w:val="28"/>
        </w:rPr>
        <w:t>ublic school teachers in many developing countries earn civil service salaries that are far higher than market wages</w:t>
      </w:r>
      <w:r w:rsidR="009A0615">
        <w:rPr>
          <w:rFonts w:ascii="Times New Roman" w:hAnsi="Times New Roman" w:cs="Times New Roman"/>
          <w:sz w:val="28"/>
          <w:szCs w:val="28"/>
        </w:rPr>
        <w:t>’</w:t>
      </w:r>
      <w:r w:rsidR="003843A2" w:rsidRPr="00B461C6">
        <w:rPr>
          <w:rFonts w:ascii="Times New Roman" w:hAnsi="Times New Roman" w:cs="Times New Roman"/>
          <w:sz w:val="28"/>
          <w:szCs w:val="28"/>
        </w:rPr>
        <w:t xml:space="preserve">. </w:t>
      </w:r>
      <w:r w:rsidR="00171FF2">
        <w:rPr>
          <w:rFonts w:ascii="Times New Roman" w:hAnsi="Times New Roman" w:cs="Times New Roman"/>
          <w:sz w:val="28"/>
          <w:szCs w:val="28"/>
        </w:rPr>
        <w:t xml:space="preserve">He </w:t>
      </w:r>
      <w:r w:rsidR="009A0615">
        <w:rPr>
          <w:rFonts w:ascii="Times New Roman" w:hAnsi="Times New Roman" w:cs="Times New Roman"/>
          <w:sz w:val="28"/>
          <w:szCs w:val="28"/>
        </w:rPr>
        <w:t xml:space="preserve">specifically </w:t>
      </w:r>
      <w:r w:rsidR="00171FF2">
        <w:rPr>
          <w:rFonts w:ascii="Times New Roman" w:hAnsi="Times New Roman" w:cs="Times New Roman"/>
          <w:sz w:val="28"/>
          <w:szCs w:val="28"/>
        </w:rPr>
        <w:t xml:space="preserve">cites </w:t>
      </w:r>
      <w:r w:rsidR="009A0615">
        <w:rPr>
          <w:rFonts w:ascii="Times New Roman" w:hAnsi="Times New Roman" w:cs="Times New Roman"/>
          <w:sz w:val="28"/>
          <w:szCs w:val="28"/>
        </w:rPr>
        <w:t xml:space="preserve">his own </w:t>
      </w:r>
      <w:r w:rsidR="00171FF2">
        <w:rPr>
          <w:rFonts w:ascii="Times New Roman" w:hAnsi="Times New Roman" w:cs="Times New Roman"/>
          <w:sz w:val="28"/>
          <w:szCs w:val="28"/>
        </w:rPr>
        <w:t xml:space="preserve">research </w:t>
      </w:r>
      <w:r w:rsidR="009A0615">
        <w:rPr>
          <w:rFonts w:ascii="Times New Roman" w:hAnsi="Times New Roman" w:cs="Times New Roman"/>
          <w:sz w:val="28"/>
          <w:szCs w:val="28"/>
        </w:rPr>
        <w:t>(</w:t>
      </w:r>
      <w:r w:rsidR="00171FF2">
        <w:rPr>
          <w:rFonts w:ascii="Times New Roman" w:hAnsi="Times New Roman" w:cs="Times New Roman"/>
          <w:sz w:val="28"/>
          <w:szCs w:val="28"/>
        </w:rPr>
        <w:t xml:space="preserve">conducted </w:t>
      </w:r>
      <w:r w:rsidR="009A0615">
        <w:rPr>
          <w:rFonts w:ascii="Times New Roman" w:hAnsi="Times New Roman" w:cs="Times New Roman"/>
          <w:sz w:val="28"/>
          <w:szCs w:val="28"/>
        </w:rPr>
        <w:t xml:space="preserve">with other colleagues) </w:t>
      </w:r>
      <w:r w:rsidR="00171FF2">
        <w:rPr>
          <w:rFonts w:ascii="Times New Roman" w:hAnsi="Times New Roman" w:cs="Times New Roman"/>
          <w:sz w:val="28"/>
          <w:szCs w:val="28"/>
        </w:rPr>
        <w:t xml:space="preserve">in </w:t>
      </w:r>
      <w:r w:rsidR="003843A2" w:rsidRPr="00B461C6">
        <w:rPr>
          <w:rFonts w:ascii="Times New Roman" w:hAnsi="Times New Roman" w:cs="Times New Roman"/>
          <w:sz w:val="28"/>
          <w:szCs w:val="28"/>
        </w:rPr>
        <w:t>Kenya</w:t>
      </w:r>
      <w:r w:rsidR="00171FF2">
        <w:rPr>
          <w:rFonts w:ascii="Times New Roman" w:hAnsi="Times New Roman" w:cs="Times New Roman"/>
          <w:sz w:val="28"/>
          <w:szCs w:val="28"/>
        </w:rPr>
        <w:t xml:space="preserve"> </w:t>
      </w:r>
      <w:r w:rsidR="009A0615">
        <w:rPr>
          <w:rFonts w:ascii="Times New Roman" w:hAnsi="Times New Roman" w:cs="Times New Roman"/>
          <w:sz w:val="28"/>
          <w:szCs w:val="28"/>
        </w:rPr>
        <w:t xml:space="preserve">where teacher ‘wage premia’ are exceptionally </w:t>
      </w:r>
      <w:r w:rsidR="00182F99">
        <w:rPr>
          <w:rFonts w:ascii="Times New Roman" w:hAnsi="Times New Roman" w:cs="Times New Roman"/>
          <w:sz w:val="28"/>
          <w:szCs w:val="28"/>
        </w:rPr>
        <w:t xml:space="preserve">high. </w:t>
      </w:r>
      <w:r w:rsidR="003843A2">
        <w:rPr>
          <w:rFonts w:ascii="Times New Roman" w:hAnsi="Times New Roman" w:cs="Times New Roman"/>
          <w:sz w:val="28"/>
          <w:szCs w:val="28"/>
        </w:rPr>
        <w:t xml:space="preserve"> </w:t>
      </w:r>
    </w:p>
    <w:p w:rsidR="00FD3B8B" w:rsidRDefault="00D427FA" w:rsidP="008A065F">
      <w:pPr>
        <w:jc w:val="both"/>
        <w:rPr>
          <w:rFonts w:ascii="Times New Roman" w:hAnsi="Times New Roman" w:cs="Times New Roman"/>
          <w:sz w:val="28"/>
          <w:szCs w:val="28"/>
        </w:rPr>
      </w:pPr>
      <w:r>
        <w:rPr>
          <w:rFonts w:ascii="Times New Roman" w:hAnsi="Times New Roman" w:cs="Times New Roman"/>
          <w:sz w:val="28"/>
          <w:szCs w:val="28"/>
        </w:rPr>
        <w:t xml:space="preserve">As with so many </w:t>
      </w:r>
      <w:r w:rsidR="0010371C">
        <w:rPr>
          <w:rFonts w:ascii="Times New Roman" w:hAnsi="Times New Roman" w:cs="Times New Roman"/>
          <w:sz w:val="28"/>
          <w:szCs w:val="28"/>
        </w:rPr>
        <w:t xml:space="preserve">other </w:t>
      </w:r>
      <w:r w:rsidR="00182F99">
        <w:rPr>
          <w:rFonts w:ascii="Times New Roman" w:hAnsi="Times New Roman" w:cs="Times New Roman"/>
          <w:sz w:val="28"/>
          <w:szCs w:val="28"/>
        </w:rPr>
        <w:t xml:space="preserve">education </w:t>
      </w:r>
      <w:r>
        <w:rPr>
          <w:rFonts w:ascii="Times New Roman" w:hAnsi="Times New Roman" w:cs="Times New Roman"/>
          <w:sz w:val="28"/>
          <w:szCs w:val="28"/>
        </w:rPr>
        <w:t xml:space="preserve">policy </w:t>
      </w:r>
      <w:r w:rsidR="0010371C">
        <w:rPr>
          <w:rFonts w:ascii="Times New Roman" w:hAnsi="Times New Roman" w:cs="Times New Roman"/>
          <w:sz w:val="28"/>
          <w:szCs w:val="28"/>
        </w:rPr>
        <w:t>areas</w:t>
      </w:r>
      <w:r w:rsidR="009A0615">
        <w:rPr>
          <w:rFonts w:ascii="Times New Roman" w:hAnsi="Times New Roman" w:cs="Times New Roman"/>
          <w:sz w:val="28"/>
          <w:szCs w:val="28"/>
        </w:rPr>
        <w:t xml:space="preserve"> in SSA, </w:t>
      </w:r>
      <w:r>
        <w:rPr>
          <w:rFonts w:ascii="Times New Roman" w:hAnsi="Times New Roman" w:cs="Times New Roman"/>
          <w:sz w:val="28"/>
          <w:szCs w:val="28"/>
        </w:rPr>
        <w:t>World Bank</w:t>
      </w:r>
      <w:r w:rsidR="009A0615">
        <w:rPr>
          <w:rFonts w:ascii="Times New Roman" w:hAnsi="Times New Roman" w:cs="Times New Roman"/>
          <w:sz w:val="28"/>
          <w:szCs w:val="28"/>
        </w:rPr>
        <w:t xml:space="preserve"> staff, consultants and associated researchers </w:t>
      </w:r>
      <w:r w:rsidR="00FD3B8B">
        <w:rPr>
          <w:rFonts w:ascii="Times New Roman" w:hAnsi="Times New Roman" w:cs="Times New Roman"/>
          <w:sz w:val="28"/>
          <w:szCs w:val="28"/>
        </w:rPr>
        <w:t xml:space="preserve">were </w:t>
      </w:r>
      <w:r w:rsidR="00476D3F">
        <w:rPr>
          <w:rFonts w:ascii="Times New Roman" w:hAnsi="Times New Roman" w:cs="Times New Roman"/>
          <w:sz w:val="28"/>
          <w:szCs w:val="28"/>
        </w:rPr>
        <w:t xml:space="preserve">the principal </w:t>
      </w:r>
      <w:r w:rsidR="009A0615">
        <w:rPr>
          <w:rFonts w:ascii="Times New Roman" w:hAnsi="Times New Roman" w:cs="Times New Roman"/>
          <w:sz w:val="28"/>
          <w:szCs w:val="28"/>
        </w:rPr>
        <w:t xml:space="preserve">instigators of </w:t>
      </w:r>
      <w:r w:rsidR="00476D3F">
        <w:rPr>
          <w:rFonts w:ascii="Times New Roman" w:hAnsi="Times New Roman" w:cs="Times New Roman"/>
          <w:sz w:val="28"/>
          <w:szCs w:val="28"/>
        </w:rPr>
        <w:t>this debate.</w:t>
      </w:r>
      <w:r w:rsidR="00CC77DB">
        <w:rPr>
          <w:rFonts w:ascii="Times New Roman" w:hAnsi="Times New Roman" w:cs="Times New Roman"/>
          <w:sz w:val="28"/>
          <w:szCs w:val="28"/>
        </w:rPr>
        <w:t xml:space="preserve"> In particular, </w:t>
      </w:r>
      <w:r w:rsidR="00BB3C85">
        <w:rPr>
          <w:rFonts w:ascii="Times New Roman" w:hAnsi="Times New Roman" w:cs="Times New Roman"/>
          <w:sz w:val="28"/>
          <w:szCs w:val="28"/>
        </w:rPr>
        <w:t xml:space="preserve">from the early 2000s, the </w:t>
      </w:r>
      <w:r w:rsidR="00155D83">
        <w:rPr>
          <w:rFonts w:ascii="Times New Roman" w:hAnsi="Times New Roman" w:cs="Times New Roman"/>
          <w:sz w:val="28"/>
          <w:szCs w:val="28"/>
        </w:rPr>
        <w:t xml:space="preserve">education </w:t>
      </w:r>
      <w:r w:rsidR="00CC77DB">
        <w:rPr>
          <w:rFonts w:ascii="Times New Roman" w:hAnsi="Times New Roman" w:cs="Times New Roman"/>
          <w:sz w:val="28"/>
          <w:szCs w:val="28"/>
        </w:rPr>
        <w:t xml:space="preserve">economist Alain Mingat, (working as consultant for the World Bank), postulated a </w:t>
      </w:r>
      <w:r w:rsidR="00EE0ED5">
        <w:rPr>
          <w:rFonts w:ascii="Times New Roman" w:hAnsi="Times New Roman" w:cs="Times New Roman"/>
          <w:sz w:val="28"/>
          <w:szCs w:val="28"/>
        </w:rPr>
        <w:t>fairly tight, statistically</w:t>
      </w:r>
      <w:r w:rsidR="00FD3B8B">
        <w:rPr>
          <w:rFonts w:ascii="Times New Roman" w:hAnsi="Times New Roman" w:cs="Times New Roman"/>
          <w:sz w:val="28"/>
          <w:szCs w:val="28"/>
        </w:rPr>
        <w:t xml:space="preserve"> significant negative correlation between the level of teacher pay, as measured by GDP per capita, and primary school gross enrolment and completion rates in SSA; thus, where this ratio is relatively high, pri</w:t>
      </w:r>
      <w:r w:rsidR="008A065F">
        <w:rPr>
          <w:rFonts w:ascii="Times New Roman" w:hAnsi="Times New Roman" w:cs="Times New Roman"/>
          <w:sz w:val="28"/>
          <w:szCs w:val="28"/>
        </w:rPr>
        <w:t xml:space="preserve">mary school enrolment </w:t>
      </w:r>
      <w:r w:rsidR="00FD3B8B">
        <w:rPr>
          <w:rFonts w:ascii="Times New Roman" w:hAnsi="Times New Roman" w:cs="Times New Roman"/>
          <w:sz w:val="28"/>
          <w:szCs w:val="28"/>
        </w:rPr>
        <w:t xml:space="preserve">and completion rates tend to be lower than in countries where the opposite is the case. Based on this analysis, he proposed that the optimal (mean) pay for primary school teachers in SSA and other low income developing countries should be the equivalent of 3.5 times GDP per capita (PCGDP).    </w:t>
      </w:r>
    </w:p>
    <w:p w:rsidR="00C16C97" w:rsidRDefault="00CC77DB" w:rsidP="00B461C6">
      <w:pPr>
        <w:jc w:val="both"/>
        <w:rPr>
          <w:rFonts w:ascii="Times New Roman" w:hAnsi="Times New Roman" w:cs="Times New Roman"/>
          <w:sz w:val="28"/>
          <w:szCs w:val="28"/>
        </w:rPr>
      </w:pPr>
      <w:r>
        <w:rPr>
          <w:rFonts w:ascii="Times New Roman" w:hAnsi="Times New Roman" w:cs="Times New Roman"/>
          <w:sz w:val="28"/>
          <w:szCs w:val="28"/>
        </w:rPr>
        <w:t xml:space="preserve">The findings and recommendations of this research were </w:t>
      </w:r>
      <w:r w:rsidR="00715745">
        <w:rPr>
          <w:rFonts w:ascii="Times New Roman" w:hAnsi="Times New Roman" w:cs="Times New Roman"/>
          <w:sz w:val="28"/>
          <w:szCs w:val="28"/>
        </w:rPr>
        <w:t xml:space="preserve">subsequently </w:t>
      </w:r>
      <w:r>
        <w:rPr>
          <w:rFonts w:ascii="Times New Roman" w:hAnsi="Times New Roman" w:cs="Times New Roman"/>
          <w:sz w:val="28"/>
          <w:szCs w:val="28"/>
        </w:rPr>
        <w:t>taken up by the World Bank</w:t>
      </w:r>
      <w:r w:rsidR="004F6154">
        <w:rPr>
          <w:rFonts w:ascii="Times New Roman" w:hAnsi="Times New Roman" w:cs="Times New Roman"/>
          <w:sz w:val="28"/>
          <w:szCs w:val="28"/>
        </w:rPr>
        <w:t xml:space="preserve"> and the wider donor community</w:t>
      </w:r>
      <w:r>
        <w:rPr>
          <w:rFonts w:ascii="Times New Roman" w:hAnsi="Times New Roman" w:cs="Times New Roman"/>
          <w:sz w:val="28"/>
          <w:szCs w:val="28"/>
        </w:rPr>
        <w:t xml:space="preserve">. </w:t>
      </w:r>
      <w:r w:rsidR="004F6154">
        <w:rPr>
          <w:rFonts w:ascii="Times New Roman" w:hAnsi="Times New Roman" w:cs="Times New Roman"/>
          <w:sz w:val="28"/>
          <w:szCs w:val="28"/>
        </w:rPr>
        <w:t>Accordingly</w:t>
      </w:r>
      <w:r w:rsidR="00E95430">
        <w:rPr>
          <w:rFonts w:ascii="Times New Roman" w:hAnsi="Times New Roman" w:cs="Times New Roman"/>
          <w:sz w:val="28"/>
          <w:szCs w:val="28"/>
        </w:rPr>
        <w:t xml:space="preserve">, </w:t>
      </w:r>
      <w:r w:rsidR="004F6154">
        <w:rPr>
          <w:rFonts w:ascii="Times New Roman" w:hAnsi="Times New Roman" w:cs="Times New Roman"/>
          <w:sz w:val="28"/>
          <w:szCs w:val="28"/>
        </w:rPr>
        <w:t xml:space="preserve">when </w:t>
      </w:r>
      <w:r w:rsidR="00E95430">
        <w:rPr>
          <w:rFonts w:ascii="Times New Roman" w:hAnsi="Times New Roman" w:cs="Times New Roman"/>
          <w:sz w:val="28"/>
          <w:szCs w:val="28"/>
        </w:rPr>
        <w:t xml:space="preserve">the Education </w:t>
      </w:r>
      <w:r w:rsidR="000C0D2B">
        <w:rPr>
          <w:rFonts w:ascii="Times New Roman" w:hAnsi="Times New Roman" w:cs="Times New Roman"/>
          <w:sz w:val="28"/>
          <w:szCs w:val="28"/>
        </w:rPr>
        <w:t>for</w:t>
      </w:r>
      <w:r w:rsidR="00E95430">
        <w:rPr>
          <w:rFonts w:ascii="Times New Roman" w:hAnsi="Times New Roman" w:cs="Times New Roman"/>
          <w:sz w:val="28"/>
          <w:szCs w:val="28"/>
        </w:rPr>
        <w:t xml:space="preserve"> All Fast track Initiative (EFA-FTI)</w:t>
      </w:r>
      <w:r w:rsidR="00BB3C85">
        <w:rPr>
          <w:rFonts w:ascii="Times New Roman" w:hAnsi="Times New Roman" w:cs="Times New Roman"/>
          <w:sz w:val="28"/>
          <w:szCs w:val="28"/>
        </w:rPr>
        <w:t>,</w:t>
      </w:r>
      <w:r w:rsidR="00E95430">
        <w:rPr>
          <w:rFonts w:ascii="Times New Roman" w:hAnsi="Times New Roman" w:cs="Times New Roman"/>
          <w:sz w:val="28"/>
          <w:szCs w:val="28"/>
        </w:rPr>
        <w:t xml:space="preserve"> which was </w:t>
      </w:r>
      <w:r w:rsidR="00C16C97">
        <w:rPr>
          <w:rFonts w:ascii="Times New Roman" w:hAnsi="Times New Roman" w:cs="Times New Roman"/>
          <w:sz w:val="28"/>
          <w:szCs w:val="28"/>
        </w:rPr>
        <w:t xml:space="preserve">intended to be </w:t>
      </w:r>
      <w:r w:rsidR="00E95430">
        <w:rPr>
          <w:rFonts w:ascii="Times New Roman" w:hAnsi="Times New Roman" w:cs="Times New Roman"/>
          <w:sz w:val="28"/>
          <w:szCs w:val="28"/>
        </w:rPr>
        <w:t>the main multi-donor funding window for primary education</w:t>
      </w:r>
      <w:r w:rsidR="00BB3C85">
        <w:rPr>
          <w:rFonts w:ascii="Times New Roman" w:hAnsi="Times New Roman" w:cs="Times New Roman"/>
          <w:sz w:val="28"/>
          <w:szCs w:val="28"/>
        </w:rPr>
        <w:t>,</w:t>
      </w:r>
      <w:r w:rsidR="007949CB">
        <w:rPr>
          <w:rFonts w:ascii="Times New Roman" w:hAnsi="Times New Roman" w:cs="Times New Roman"/>
          <w:sz w:val="28"/>
          <w:szCs w:val="28"/>
        </w:rPr>
        <w:t xml:space="preserve"> was initiated in 2004</w:t>
      </w:r>
      <w:r w:rsidR="00E95430">
        <w:rPr>
          <w:rFonts w:ascii="Times New Roman" w:hAnsi="Times New Roman" w:cs="Times New Roman"/>
          <w:sz w:val="28"/>
          <w:szCs w:val="28"/>
        </w:rPr>
        <w:t xml:space="preserve">, </w:t>
      </w:r>
      <w:r w:rsidR="007949CB">
        <w:rPr>
          <w:rFonts w:ascii="Times New Roman" w:hAnsi="Times New Roman" w:cs="Times New Roman"/>
          <w:sz w:val="28"/>
          <w:szCs w:val="28"/>
        </w:rPr>
        <w:t>the 3</w:t>
      </w:r>
      <w:r w:rsidR="00715745">
        <w:rPr>
          <w:rFonts w:ascii="Times New Roman" w:hAnsi="Times New Roman" w:cs="Times New Roman"/>
          <w:sz w:val="28"/>
          <w:szCs w:val="28"/>
        </w:rPr>
        <w:t xml:space="preserve">.5 </w:t>
      </w:r>
      <w:r w:rsidR="007949CB">
        <w:rPr>
          <w:rFonts w:ascii="Times New Roman" w:hAnsi="Times New Roman" w:cs="Times New Roman"/>
          <w:sz w:val="28"/>
          <w:szCs w:val="28"/>
        </w:rPr>
        <w:t>PC</w:t>
      </w:r>
      <w:r w:rsidR="00E95430">
        <w:rPr>
          <w:rFonts w:ascii="Times New Roman" w:hAnsi="Times New Roman" w:cs="Times New Roman"/>
          <w:sz w:val="28"/>
          <w:szCs w:val="28"/>
        </w:rPr>
        <w:t xml:space="preserve">GDP </w:t>
      </w:r>
      <w:r w:rsidR="00715745">
        <w:rPr>
          <w:rFonts w:ascii="Times New Roman" w:hAnsi="Times New Roman" w:cs="Times New Roman"/>
          <w:sz w:val="28"/>
          <w:szCs w:val="28"/>
        </w:rPr>
        <w:t xml:space="preserve">teacher </w:t>
      </w:r>
      <w:r w:rsidR="00E95430">
        <w:rPr>
          <w:rFonts w:ascii="Times New Roman" w:hAnsi="Times New Roman" w:cs="Times New Roman"/>
          <w:sz w:val="28"/>
          <w:szCs w:val="28"/>
        </w:rPr>
        <w:t xml:space="preserve">pay ratio </w:t>
      </w:r>
      <w:r w:rsidR="007949CB">
        <w:rPr>
          <w:rFonts w:ascii="Times New Roman" w:hAnsi="Times New Roman" w:cs="Times New Roman"/>
          <w:sz w:val="28"/>
          <w:szCs w:val="28"/>
        </w:rPr>
        <w:t xml:space="preserve">was included </w:t>
      </w:r>
      <w:r w:rsidR="00E95430">
        <w:rPr>
          <w:rFonts w:ascii="Times New Roman" w:hAnsi="Times New Roman" w:cs="Times New Roman"/>
          <w:sz w:val="28"/>
          <w:szCs w:val="28"/>
        </w:rPr>
        <w:t xml:space="preserve">as one of </w:t>
      </w:r>
      <w:r w:rsidR="007949CB">
        <w:rPr>
          <w:rFonts w:ascii="Times New Roman" w:hAnsi="Times New Roman" w:cs="Times New Roman"/>
          <w:sz w:val="28"/>
          <w:szCs w:val="28"/>
        </w:rPr>
        <w:t xml:space="preserve">the </w:t>
      </w:r>
      <w:r w:rsidR="00E95430">
        <w:rPr>
          <w:rFonts w:ascii="Times New Roman" w:hAnsi="Times New Roman" w:cs="Times New Roman"/>
          <w:sz w:val="28"/>
          <w:szCs w:val="28"/>
        </w:rPr>
        <w:t xml:space="preserve">six </w:t>
      </w:r>
      <w:r w:rsidR="00BB3C85">
        <w:rPr>
          <w:rFonts w:ascii="Times New Roman" w:hAnsi="Times New Roman" w:cs="Times New Roman"/>
          <w:sz w:val="28"/>
          <w:szCs w:val="28"/>
        </w:rPr>
        <w:t>‘</w:t>
      </w:r>
      <w:r w:rsidR="00D427FA">
        <w:rPr>
          <w:rFonts w:ascii="Times New Roman" w:hAnsi="Times New Roman" w:cs="Times New Roman"/>
          <w:sz w:val="28"/>
          <w:szCs w:val="28"/>
        </w:rPr>
        <w:t>benchmark’</w:t>
      </w:r>
      <w:r w:rsidR="00C16C97">
        <w:rPr>
          <w:rFonts w:ascii="Times New Roman" w:hAnsi="Times New Roman" w:cs="Times New Roman"/>
          <w:sz w:val="28"/>
          <w:szCs w:val="28"/>
        </w:rPr>
        <w:t xml:space="preserve"> indicators</w:t>
      </w:r>
      <w:r w:rsidR="00D427FA">
        <w:rPr>
          <w:rFonts w:ascii="Times New Roman" w:hAnsi="Times New Roman" w:cs="Times New Roman"/>
          <w:sz w:val="28"/>
          <w:szCs w:val="28"/>
        </w:rPr>
        <w:t xml:space="preserve"> </w:t>
      </w:r>
      <w:r w:rsidR="00E95430">
        <w:rPr>
          <w:rFonts w:ascii="Times New Roman" w:hAnsi="Times New Roman" w:cs="Times New Roman"/>
          <w:sz w:val="28"/>
          <w:szCs w:val="28"/>
        </w:rPr>
        <w:t xml:space="preserve">for </w:t>
      </w:r>
      <w:r w:rsidR="00715745">
        <w:rPr>
          <w:rFonts w:ascii="Times New Roman" w:hAnsi="Times New Roman" w:cs="Times New Roman"/>
          <w:sz w:val="28"/>
          <w:szCs w:val="28"/>
        </w:rPr>
        <w:t>countries wishing to obtain EFA-FTI funding</w:t>
      </w:r>
      <w:r w:rsidR="00E95430">
        <w:rPr>
          <w:rFonts w:ascii="Times New Roman" w:hAnsi="Times New Roman" w:cs="Times New Roman"/>
          <w:sz w:val="28"/>
          <w:szCs w:val="28"/>
        </w:rPr>
        <w:t xml:space="preserve">. </w:t>
      </w:r>
      <w:r w:rsidR="00715745">
        <w:rPr>
          <w:rFonts w:ascii="Times New Roman" w:hAnsi="Times New Roman" w:cs="Times New Roman"/>
          <w:sz w:val="28"/>
          <w:szCs w:val="28"/>
        </w:rPr>
        <w:t xml:space="preserve">Although the pay </w:t>
      </w:r>
      <w:r w:rsidR="00715745">
        <w:rPr>
          <w:rFonts w:ascii="Times New Roman" w:hAnsi="Times New Roman" w:cs="Times New Roman"/>
          <w:sz w:val="28"/>
          <w:szCs w:val="28"/>
        </w:rPr>
        <w:lastRenderedPageBreak/>
        <w:t xml:space="preserve">benchmark was only meant to be ‘indicative’, it nonetheless quickly became widely accepted as the key </w:t>
      </w:r>
      <w:r w:rsidR="00BB3C85">
        <w:rPr>
          <w:rFonts w:ascii="Times New Roman" w:hAnsi="Times New Roman" w:cs="Times New Roman"/>
          <w:sz w:val="28"/>
          <w:szCs w:val="28"/>
        </w:rPr>
        <w:t xml:space="preserve">teacher </w:t>
      </w:r>
      <w:r w:rsidR="00715745">
        <w:rPr>
          <w:rFonts w:ascii="Times New Roman" w:hAnsi="Times New Roman" w:cs="Times New Roman"/>
          <w:sz w:val="28"/>
          <w:szCs w:val="28"/>
        </w:rPr>
        <w:t xml:space="preserve">pay norm </w:t>
      </w:r>
      <w:r w:rsidR="00BB3C85">
        <w:rPr>
          <w:rFonts w:ascii="Times New Roman" w:hAnsi="Times New Roman" w:cs="Times New Roman"/>
          <w:sz w:val="28"/>
          <w:szCs w:val="28"/>
        </w:rPr>
        <w:t xml:space="preserve">in SSA </w:t>
      </w:r>
      <w:r w:rsidR="00715745">
        <w:rPr>
          <w:rFonts w:ascii="Times New Roman" w:hAnsi="Times New Roman" w:cs="Times New Roman"/>
          <w:sz w:val="28"/>
          <w:szCs w:val="28"/>
        </w:rPr>
        <w:t xml:space="preserve">among other multilateral agencies (including the IMF) as well as bilateral donors. </w:t>
      </w:r>
    </w:p>
    <w:p w:rsidR="00E95430" w:rsidRDefault="00715745" w:rsidP="00B461C6">
      <w:pPr>
        <w:jc w:val="both"/>
        <w:rPr>
          <w:rFonts w:ascii="Times New Roman" w:hAnsi="Times New Roman" w:cs="Times New Roman"/>
          <w:sz w:val="28"/>
          <w:szCs w:val="28"/>
        </w:rPr>
      </w:pPr>
      <w:r>
        <w:rPr>
          <w:rFonts w:ascii="Times New Roman" w:hAnsi="Times New Roman" w:cs="Times New Roman"/>
          <w:sz w:val="28"/>
          <w:szCs w:val="28"/>
        </w:rPr>
        <w:t>M</w:t>
      </w:r>
      <w:r w:rsidR="00D427FA">
        <w:rPr>
          <w:rFonts w:ascii="Times New Roman" w:hAnsi="Times New Roman" w:cs="Times New Roman"/>
          <w:sz w:val="28"/>
          <w:szCs w:val="28"/>
        </w:rPr>
        <w:t>any countries</w:t>
      </w:r>
      <w:r w:rsidR="00E95430">
        <w:rPr>
          <w:rFonts w:ascii="Times New Roman" w:hAnsi="Times New Roman" w:cs="Times New Roman"/>
          <w:sz w:val="28"/>
          <w:szCs w:val="28"/>
        </w:rPr>
        <w:t xml:space="preserve"> in SSA</w:t>
      </w:r>
      <w:r w:rsidR="00D427FA">
        <w:rPr>
          <w:rFonts w:ascii="Times New Roman" w:hAnsi="Times New Roman" w:cs="Times New Roman"/>
          <w:sz w:val="28"/>
          <w:szCs w:val="28"/>
        </w:rPr>
        <w:t xml:space="preserve"> were</w:t>
      </w:r>
      <w:r w:rsidR="00E95430">
        <w:rPr>
          <w:rFonts w:ascii="Times New Roman" w:hAnsi="Times New Roman" w:cs="Times New Roman"/>
          <w:sz w:val="28"/>
          <w:szCs w:val="28"/>
        </w:rPr>
        <w:t>, in fact, already</w:t>
      </w:r>
      <w:r w:rsidR="00D427FA">
        <w:rPr>
          <w:rFonts w:ascii="Times New Roman" w:hAnsi="Times New Roman" w:cs="Times New Roman"/>
          <w:sz w:val="28"/>
          <w:szCs w:val="28"/>
        </w:rPr>
        <w:t xml:space="preserve"> </w:t>
      </w:r>
      <w:r>
        <w:rPr>
          <w:rFonts w:ascii="Times New Roman" w:hAnsi="Times New Roman" w:cs="Times New Roman"/>
          <w:sz w:val="28"/>
          <w:szCs w:val="28"/>
        </w:rPr>
        <w:t xml:space="preserve">well </w:t>
      </w:r>
      <w:r w:rsidR="00D427FA">
        <w:rPr>
          <w:rFonts w:ascii="Times New Roman" w:hAnsi="Times New Roman" w:cs="Times New Roman"/>
          <w:sz w:val="28"/>
          <w:szCs w:val="28"/>
        </w:rPr>
        <w:t xml:space="preserve">below this benchmark, </w:t>
      </w:r>
      <w:r>
        <w:rPr>
          <w:rFonts w:ascii="Times New Roman" w:hAnsi="Times New Roman" w:cs="Times New Roman"/>
          <w:sz w:val="28"/>
          <w:szCs w:val="28"/>
        </w:rPr>
        <w:t xml:space="preserve">but </w:t>
      </w:r>
      <w:r w:rsidR="00E95430">
        <w:rPr>
          <w:rFonts w:ascii="Times New Roman" w:hAnsi="Times New Roman" w:cs="Times New Roman"/>
          <w:sz w:val="28"/>
          <w:szCs w:val="28"/>
        </w:rPr>
        <w:t xml:space="preserve">the Bank focused </w:t>
      </w:r>
      <w:r>
        <w:rPr>
          <w:rFonts w:ascii="Times New Roman" w:hAnsi="Times New Roman" w:cs="Times New Roman"/>
          <w:sz w:val="28"/>
          <w:szCs w:val="28"/>
        </w:rPr>
        <w:t xml:space="preserve">instead </w:t>
      </w:r>
      <w:r w:rsidR="00E95430">
        <w:rPr>
          <w:rFonts w:ascii="Times New Roman" w:hAnsi="Times New Roman" w:cs="Times New Roman"/>
          <w:sz w:val="28"/>
          <w:szCs w:val="28"/>
        </w:rPr>
        <w:t xml:space="preserve">on </w:t>
      </w:r>
      <w:r w:rsidR="00D427FA">
        <w:rPr>
          <w:rFonts w:ascii="Times New Roman" w:hAnsi="Times New Roman" w:cs="Times New Roman"/>
          <w:sz w:val="28"/>
          <w:szCs w:val="28"/>
        </w:rPr>
        <w:t xml:space="preserve">those countries (particularly in Francophone Africa) where this ratio was significantly higher than 3.5. </w:t>
      </w:r>
      <w:r w:rsidR="00476D3F">
        <w:rPr>
          <w:rFonts w:ascii="Times New Roman" w:hAnsi="Times New Roman" w:cs="Times New Roman"/>
          <w:sz w:val="28"/>
          <w:szCs w:val="28"/>
        </w:rPr>
        <w:t>The c</w:t>
      </w:r>
      <w:r w:rsidR="00466CD8">
        <w:rPr>
          <w:rFonts w:ascii="Times New Roman" w:hAnsi="Times New Roman" w:cs="Times New Roman"/>
          <w:sz w:val="28"/>
          <w:szCs w:val="28"/>
        </w:rPr>
        <w:t>lear implication was that in tho</w:t>
      </w:r>
      <w:r w:rsidR="00476D3F">
        <w:rPr>
          <w:rFonts w:ascii="Times New Roman" w:hAnsi="Times New Roman" w:cs="Times New Roman"/>
          <w:sz w:val="28"/>
          <w:szCs w:val="28"/>
        </w:rPr>
        <w:t xml:space="preserve">se countries </w:t>
      </w:r>
      <w:r w:rsidR="00466CD8">
        <w:rPr>
          <w:rFonts w:ascii="Times New Roman" w:hAnsi="Times New Roman" w:cs="Times New Roman"/>
          <w:sz w:val="28"/>
          <w:szCs w:val="28"/>
        </w:rPr>
        <w:t>which had ‘opted’</w:t>
      </w:r>
      <w:r w:rsidR="00EE0ED5">
        <w:rPr>
          <w:rFonts w:ascii="Times New Roman" w:hAnsi="Times New Roman" w:cs="Times New Roman"/>
          <w:sz w:val="28"/>
          <w:szCs w:val="28"/>
        </w:rPr>
        <w:t xml:space="preserve"> to pay government </w:t>
      </w:r>
      <w:r w:rsidR="00466CD8">
        <w:rPr>
          <w:rFonts w:ascii="Times New Roman" w:hAnsi="Times New Roman" w:cs="Times New Roman"/>
          <w:sz w:val="28"/>
          <w:szCs w:val="28"/>
        </w:rPr>
        <w:t>teachers ‘relatively high’</w:t>
      </w:r>
      <w:r w:rsidR="00EE0ED5">
        <w:rPr>
          <w:rFonts w:ascii="Times New Roman" w:hAnsi="Times New Roman" w:cs="Times New Roman"/>
          <w:sz w:val="28"/>
          <w:szCs w:val="28"/>
        </w:rPr>
        <w:t xml:space="preserve"> salaries</w:t>
      </w:r>
      <w:r w:rsidR="00466CD8">
        <w:rPr>
          <w:rFonts w:ascii="Times New Roman" w:hAnsi="Times New Roman" w:cs="Times New Roman"/>
          <w:sz w:val="28"/>
          <w:szCs w:val="28"/>
        </w:rPr>
        <w:t xml:space="preserve">, this </w:t>
      </w:r>
      <w:r w:rsidR="00476D3F">
        <w:rPr>
          <w:rFonts w:ascii="Times New Roman" w:hAnsi="Times New Roman" w:cs="Times New Roman"/>
          <w:sz w:val="28"/>
          <w:szCs w:val="28"/>
        </w:rPr>
        <w:t>was crowding out the resources needed to expand enrolments and thus attain universal primary education</w:t>
      </w:r>
      <w:r w:rsidR="00C16C97">
        <w:rPr>
          <w:rFonts w:ascii="Times New Roman" w:hAnsi="Times New Roman" w:cs="Times New Roman"/>
          <w:sz w:val="28"/>
          <w:szCs w:val="28"/>
        </w:rPr>
        <w:t xml:space="preserve"> (UPE)</w:t>
      </w:r>
      <w:r w:rsidR="00466CD8">
        <w:rPr>
          <w:rFonts w:ascii="Times New Roman" w:hAnsi="Times New Roman" w:cs="Times New Roman"/>
          <w:sz w:val="28"/>
          <w:szCs w:val="28"/>
        </w:rPr>
        <w:t>, if at all possible by the internationally agreed deadline of 2015</w:t>
      </w:r>
      <w:r w:rsidR="006A3128">
        <w:rPr>
          <w:rFonts w:ascii="Times New Roman" w:hAnsi="Times New Roman" w:cs="Times New Roman"/>
          <w:sz w:val="28"/>
          <w:szCs w:val="28"/>
        </w:rPr>
        <w:t>. The ‘earnings premia’ of teachers needed</w:t>
      </w:r>
      <w:r w:rsidR="004F3018">
        <w:rPr>
          <w:rFonts w:ascii="Times New Roman" w:hAnsi="Times New Roman" w:cs="Times New Roman"/>
          <w:sz w:val="28"/>
          <w:szCs w:val="28"/>
        </w:rPr>
        <w:t>, therefore,</w:t>
      </w:r>
      <w:r w:rsidR="006A3128">
        <w:rPr>
          <w:rFonts w:ascii="Times New Roman" w:hAnsi="Times New Roman" w:cs="Times New Roman"/>
          <w:sz w:val="28"/>
          <w:szCs w:val="28"/>
        </w:rPr>
        <w:t xml:space="preserve"> to be reduced</w:t>
      </w:r>
      <w:r w:rsidR="008613C7">
        <w:rPr>
          <w:rFonts w:ascii="Times New Roman" w:hAnsi="Times New Roman" w:cs="Times New Roman"/>
          <w:sz w:val="28"/>
          <w:szCs w:val="28"/>
        </w:rPr>
        <w:t xml:space="preserve"> in particular b</w:t>
      </w:r>
      <w:r w:rsidR="007949CB">
        <w:rPr>
          <w:rFonts w:ascii="Times New Roman" w:hAnsi="Times New Roman" w:cs="Times New Roman"/>
          <w:sz w:val="28"/>
          <w:szCs w:val="28"/>
        </w:rPr>
        <w:t xml:space="preserve">y switching recruitment to </w:t>
      </w:r>
      <w:r w:rsidR="008613C7">
        <w:rPr>
          <w:rFonts w:ascii="Times New Roman" w:hAnsi="Times New Roman" w:cs="Times New Roman"/>
          <w:sz w:val="28"/>
          <w:szCs w:val="28"/>
        </w:rPr>
        <w:t>lower</w:t>
      </w:r>
      <w:r w:rsidR="00BB3C85">
        <w:rPr>
          <w:rFonts w:ascii="Times New Roman" w:hAnsi="Times New Roman" w:cs="Times New Roman"/>
          <w:sz w:val="28"/>
          <w:szCs w:val="28"/>
        </w:rPr>
        <w:t>-</w:t>
      </w:r>
      <w:r w:rsidR="008613C7">
        <w:rPr>
          <w:rFonts w:ascii="Times New Roman" w:hAnsi="Times New Roman" w:cs="Times New Roman"/>
          <w:sz w:val="28"/>
          <w:szCs w:val="28"/>
        </w:rPr>
        <w:t xml:space="preserve"> cost contractual (para) teachers</w:t>
      </w:r>
      <w:r w:rsidR="00EE0ED5">
        <w:rPr>
          <w:rFonts w:ascii="Times New Roman" w:hAnsi="Times New Roman" w:cs="Times New Roman"/>
          <w:sz w:val="28"/>
          <w:szCs w:val="28"/>
        </w:rPr>
        <w:t xml:space="preserve"> and also </w:t>
      </w:r>
      <w:r w:rsidR="00EB2206">
        <w:rPr>
          <w:rFonts w:ascii="Times New Roman" w:hAnsi="Times New Roman" w:cs="Times New Roman"/>
          <w:sz w:val="28"/>
          <w:szCs w:val="28"/>
        </w:rPr>
        <w:t xml:space="preserve">by </w:t>
      </w:r>
      <w:r w:rsidR="007949CB">
        <w:rPr>
          <w:rFonts w:ascii="Times New Roman" w:hAnsi="Times New Roman" w:cs="Times New Roman"/>
          <w:sz w:val="28"/>
          <w:szCs w:val="28"/>
        </w:rPr>
        <w:t xml:space="preserve">relying more </w:t>
      </w:r>
      <w:r w:rsidR="00EE0ED5">
        <w:rPr>
          <w:rFonts w:ascii="Times New Roman" w:hAnsi="Times New Roman" w:cs="Times New Roman"/>
          <w:sz w:val="28"/>
          <w:szCs w:val="28"/>
        </w:rPr>
        <w:t>on less well qualified teachers</w:t>
      </w:r>
      <w:r w:rsidR="006A3128">
        <w:rPr>
          <w:rFonts w:ascii="Times New Roman" w:hAnsi="Times New Roman" w:cs="Times New Roman"/>
          <w:sz w:val="28"/>
          <w:szCs w:val="28"/>
        </w:rPr>
        <w:t xml:space="preserve">. </w:t>
      </w:r>
    </w:p>
    <w:p w:rsidR="00D07943" w:rsidRDefault="0010371C" w:rsidP="00B461C6">
      <w:pPr>
        <w:jc w:val="both"/>
        <w:rPr>
          <w:rFonts w:ascii="Times New Roman" w:hAnsi="Times New Roman" w:cs="Times New Roman"/>
          <w:sz w:val="28"/>
          <w:szCs w:val="28"/>
        </w:rPr>
      </w:pPr>
      <w:r>
        <w:rPr>
          <w:rFonts w:ascii="Times New Roman" w:hAnsi="Times New Roman" w:cs="Times New Roman"/>
          <w:sz w:val="28"/>
          <w:szCs w:val="28"/>
        </w:rPr>
        <w:t xml:space="preserve">The </w:t>
      </w:r>
      <w:r w:rsidR="007949CB">
        <w:rPr>
          <w:rFonts w:ascii="Times New Roman" w:hAnsi="Times New Roman" w:cs="Times New Roman"/>
          <w:sz w:val="28"/>
          <w:szCs w:val="28"/>
        </w:rPr>
        <w:t xml:space="preserve">almost universal </w:t>
      </w:r>
      <w:r>
        <w:rPr>
          <w:rFonts w:ascii="Times New Roman" w:hAnsi="Times New Roman" w:cs="Times New Roman"/>
          <w:sz w:val="28"/>
          <w:szCs w:val="28"/>
        </w:rPr>
        <w:t>response of t</w:t>
      </w:r>
      <w:r w:rsidR="006A3128">
        <w:rPr>
          <w:rFonts w:ascii="Times New Roman" w:hAnsi="Times New Roman" w:cs="Times New Roman"/>
          <w:sz w:val="28"/>
          <w:szCs w:val="28"/>
        </w:rPr>
        <w:t xml:space="preserve">eachers and their trade unions </w:t>
      </w:r>
      <w:r w:rsidR="007949CB">
        <w:rPr>
          <w:rFonts w:ascii="Times New Roman" w:hAnsi="Times New Roman" w:cs="Times New Roman"/>
          <w:sz w:val="28"/>
          <w:szCs w:val="28"/>
        </w:rPr>
        <w:t xml:space="preserve">in SSA </w:t>
      </w:r>
      <w:r w:rsidR="004F3018">
        <w:rPr>
          <w:rFonts w:ascii="Times New Roman" w:hAnsi="Times New Roman" w:cs="Times New Roman"/>
          <w:sz w:val="28"/>
          <w:szCs w:val="28"/>
        </w:rPr>
        <w:t xml:space="preserve">was </w:t>
      </w:r>
      <w:r w:rsidR="00EB2206">
        <w:rPr>
          <w:rFonts w:ascii="Times New Roman" w:hAnsi="Times New Roman" w:cs="Times New Roman"/>
          <w:sz w:val="28"/>
          <w:szCs w:val="28"/>
        </w:rPr>
        <w:t xml:space="preserve">that the </w:t>
      </w:r>
      <w:r w:rsidR="00015EB9">
        <w:rPr>
          <w:rFonts w:ascii="Times New Roman" w:hAnsi="Times New Roman" w:cs="Times New Roman"/>
          <w:sz w:val="28"/>
          <w:szCs w:val="28"/>
        </w:rPr>
        <w:t>Bank</w:t>
      </w:r>
      <w:r w:rsidR="004F3018">
        <w:rPr>
          <w:rFonts w:ascii="Times New Roman" w:hAnsi="Times New Roman" w:cs="Times New Roman"/>
          <w:sz w:val="28"/>
          <w:szCs w:val="28"/>
        </w:rPr>
        <w:t xml:space="preserve">’s analysis and conclusions regarding teacher pay </w:t>
      </w:r>
      <w:r w:rsidR="00466CD8">
        <w:rPr>
          <w:rFonts w:ascii="Times New Roman" w:hAnsi="Times New Roman" w:cs="Times New Roman"/>
          <w:sz w:val="28"/>
          <w:szCs w:val="28"/>
        </w:rPr>
        <w:t>were</w:t>
      </w:r>
      <w:r w:rsidR="00C16C97">
        <w:rPr>
          <w:rFonts w:ascii="Times New Roman" w:hAnsi="Times New Roman" w:cs="Times New Roman"/>
          <w:sz w:val="28"/>
          <w:szCs w:val="28"/>
        </w:rPr>
        <w:t xml:space="preserve"> </w:t>
      </w:r>
      <w:r w:rsidR="00015EB9">
        <w:rPr>
          <w:rFonts w:ascii="Times New Roman" w:hAnsi="Times New Roman" w:cs="Times New Roman"/>
          <w:sz w:val="28"/>
          <w:szCs w:val="28"/>
        </w:rPr>
        <w:t>at odds with the reality on the ground with teacher</w:t>
      </w:r>
      <w:r w:rsidR="00BB3C85">
        <w:rPr>
          <w:rFonts w:ascii="Times New Roman" w:hAnsi="Times New Roman" w:cs="Times New Roman"/>
          <w:sz w:val="28"/>
          <w:szCs w:val="28"/>
        </w:rPr>
        <w:t>s</w:t>
      </w:r>
      <w:r w:rsidR="00015EB9">
        <w:rPr>
          <w:rFonts w:ascii="Times New Roman" w:hAnsi="Times New Roman" w:cs="Times New Roman"/>
          <w:sz w:val="28"/>
          <w:szCs w:val="28"/>
        </w:rPr>
        <w:t xml:space="preserve"> in most countries struggling to meet even the</w:t>
      </w:r>
      <w:r w:rsidR="00BB3C85">
        <w:rPr>
          <w:rFonts w:ascii="Times New Roman" w:hAnsi="Times New Roman" w:cs="Times New Roman"/>
          <w:sz w:val="28"/>
          <w:szCs w:val="28"/>
        </w:rPr>
        <w:t>ir</w:t>
      </w:r>
      <w:r w:rsidR="00015EB9">
        <w:rPr>
          <w:rFonts w:ascii="Times New Roman" w:hAnsi="Times New Roman" w:cs="Times New Roman"/>
          <w:sz w:val="28"/>
          <w:szCs w:val="28"/>
        </w:rPr>
        <w:t xml:space="preserve"> most </w:t>
      </w:r>
      <w:r w:rsidR="004F3018">
        <w:rPr>
          <w:rFonts w:ascii="Times New Roman" w:hAnsi="Times New Roman" w:cs="Times New Roman"/>
          <w:sz w:val="28"/>
          <w:szCs w:val="28"/>
        </w:rPr>
        <w:t xml:space="preserve">basic </w:t>
      </w:r>
      <w:r w:rsidR="00015EB9">
        <w:rPr>
          <w:rFonts w:ascii="Times New Roman" w:hAnsi="Times New Roman" w:cs="Times New Roman"/>
          <w:sz w:val="28"/>
          <w:szCs w:val="28"/>
        </w:rPr>
        <w:t>survival needs.</w:t>
      </w:r>
      <w:r w:rsidR="008613C7">
        <w:rPr>
          <w:rFonts w:ascii="Times New Roman" w:hAnsi="Times New Roman" w:cs="Times New Roman"/>
          <w:sz w:val="28"/>
          <w:szCs w:val="28"/>
        </w:rPr>
        <w:t xml:space="preserve"> This </w:t>
      </w:r>
      <w:r w:rsidR="00C16C97">
        <w:rPr>
          <w:rFonts w:ascii="Times New Roman" w:hAnsi="Times New Roman" w:cs="Times New Roman"/>
          <w:sz w:val="28"/>
          <w:szCs w:val="28"/>
        </w:rPr>
        <w:t>‘</w:t>
      </w:r>
      <w:r w:rsidR="008613C7">
        <w:rPr>
          <w:rFonts w:ascii="Times New Roman" w:hAnsi="Times New Roman" w:cs="Times New Roman"/>
          <w:sz w:val="28"/>
          <w:szCs w:val="28"/>
        </w:rPr>
        <w:t>attack</w:t>
      </w:r>
      <w:r w:rsidR="00C16C97">
        <w:rPr>
          <w:rFonts w:ascii="Times New Roman" w:hAnsi="Times New Roman" w:cs="Times New Roman"/>
          <w:sz w:val="28"/>
          <w:szCs w:val="28"/>
        </w:rPr>
        <w:t>’</w:t>
      </w:r>
      <w:r w:rsidR="008613C7">
        <w:rPr>
          <w:rFonts w:ascii="Times New Roman" w:hAnsi="Times New Roman" w:cs="Times New Roman"/>
          <w:sz w:val="28"/>
          <w:szCs w:val="28"/>
        </w:rPr>
        <w:t xml:space="preserve"> on the professional status </w:t>
      </w:r>
      <w:r w:rsidR="004F3018">
        <w:rPr>
          <w:rFonts w:ascii="Times New Roman" w:hAnsi="Times New Roman" w:cs="Times New Roman"/>
          <w:sz w:val="28"/>
          <w:szCs w:val="28"/>
        </w:rPr>
        <w:t>and integrity was</w:t>
      </w:r>
      <w:r w:rsidR="007949CB">
        <w:rPr>
          <w:rFonts w:ascii="Times New Roman" w:hAnsi="Times New Roman" w:cs="Times New Roman"/>
          <w:sz w:val="28"/>
          <w:szCs w:val="28"/>
        </w:rPr>
        <w:t>,</w:t>
      </w:r>
      <w:r w:rsidR="004F3018">
        <w:rPr>
          <w:rFonts w:ascii="Times New Roman" w:hAnsi="Times New Roman" w:cs="Times New Roman"/>
          <w:sz w:val="28"/>
          <w:szCs w:val="28"/>
        </w:rPr>
        <w:t xml:space="preserve"> therefore</w:t>
      </w:r>
      <w:r w:rsidR="007949CB">
        <w:rPr>
          <w:rFonts w:ascii="Times New Roman" w:hAnsi="Times New Roman" w:cs="Times New Roman"/>
          <w:sz w:val="28"/>
          <w:szCs w:val="28"/>
        </w:rPr>
        <w:t>,</w:t>
      </w:r>
      <w:r w:rsidR="004F3018">
        <w:rPr>
          <w:rFonts w:ascii="Times New Roman" w:hAnsi="Times New Roman" w:cs="Times New Roman"/>
          <w:sz w:val="28"/>
          <w:szCs w:val="28"/>
        </w:rPr>
        <w:t xml:space="preserve"> me</w:t>
      </w:r>
      <w:r w:rsidR="008613C7">
        <w:rPr>
          <w:rFonts w:ascii="Times New Roman" w:hAnsi="Times New Roman" w:cs="Times New Roman"/>
          <w:sz w:val="28"/>
          <w:szCs w:val="28"/>
        </w:rPr>
        <w:t>t with strong resistance which</w:t>
      </w:r>
      <w:r w:rsidR="007949CB">
        <w:rPr>
          <w:rFonts w:ascii="Times New Roman" w:hAnsi="Times New Roman" w:cs="Times New Roman"/>
          <w:sz w:val="28"/>
          <w:szCs w:val="28"/>
        </w:rPr>
        <w:t xml:space="preserve">, in some countries, contributed </w:t>
      </w:r>
      <w:r w:rsidR="008613C7">
        <w:rPr>
          <w:rFonts w:ascii="Times New Roman" w:hAnsi="Times New Roman" w:cs="Times New Roman"/>
          <w:sz w:val="28"/>
          <w:szCs w:val="28"/>
        </w:rPr>
        <w:t xml:space="preserve">to a </w:t>
      </w:r>
      <w:r w:rsidR="007949CB">
        <w:rPr>
          <w:rFonts w:ascii="Times New Roman" w:hAnsi="Times New Roman" w:cs="Times New Roman"/>
          <w:sz w:val="28"/>
          <w:szCs w:val="28"/>
        </w:rPr>
        <w:t xml:space="preserve">noticeable </w:t>
      </w:r>
      <w:r w:rsidR="008613C7">
        <w:rPr>
          <w:rFonts w:ascii="Times New Roman" w:hAnsi="Times New Roman" w:cs="Times New Roman"/>
          <w:sz w:val="28"/>
          <w:szCs w:val="28"/>
        </w:rPr>
        <w:t xml:space="preserve">deterioration in industrial relations with frequent and protracted strikes. </w:t>
      </w:r>
      <w:r w:rsidR="00015EB9">
        <w:rPr>
          <w:rFonts w:ascii="Times New Roman" w:hAnsi="Times New Roman" w:cs="Times New Roman"/>
          <w:sz w:val="28"/>
          <w:szCs w:val="28"/>
        </w:rPr>
        <w:t xml:space="preserve"> </w:t>
      </w:r>
    </w:p>
    <w:p w:rsidR="00466CD8" w:rsidRPr="00466CD8" w:rsidRDefault="00797A20" w:rsidP="00B461C6">
      <w:pPr>
        <w:jc w:val="both"/>
        <w:rPr>
          <w:rFonts w:ascii="Times New Roman" w:hAnsi="Times New Roman" w:cs="Times New Roman"/>
          <w:i/>
          <w:sz w:val="28"/>
          <w:szCs w:val="28"/>
        </w:rPr>
      </w:pPr>
      <w:r>
        <w:rPr>
          <w:rFonts w:ascii="Times New Roman" w:hAnsi="Times New Roman" w:cs="Times New Roman"/>
          <w:i/>
          <w:sz w:val="28"/>
          <w:szCs w:val="28"/>
        </w:rPr>
        <w:t xml:space="preserve">1.1 </w:t>
      </w:r>
      <w:r w:rsidR="00466CD8" w:rsidRPr="00466CD8">
        <w:rPr>
          <w:rFonts w:ascii="Times New Roman" w:hAnsi="Times New Roman" w:cs="Times New Roman"/>
          <w:i/>
          <w:sz w:val="28"/>
          <w:szCs w:val="28"/>
        </w:rPr>
        <w:t>Review objectives</w:t>
      </w:r>
    </w:p>
    <w:p w:rsidR="00015EB9" w:rsidRDefault="00015EB9" w:rsidP="00B461C6">
      <w:pPr>
        <w:jc w:val="both"/>
        <w:rPr>
          <w:rFonts w:ascii="Times New Roman" w:hAnsi="Times New Roman" w:cs="Times New Roman"/>
          <w:sz w:val="28"/>
          <w:szCs w:val="28"/>
        </w:rPr>
      </w:pPr>
      <w:r>
        <w:rPr>
          <w:rFonts w:ascii="Times New Roman" w:hAnsi="Times New Roman" w:cs="Times New Roman"/>
          <w:sz w:val="28"/>
          <w:szCs w:val="28"/>
        </w:rPr>
        <w:t>The lack of good quality</w:t>
      </w:r>
      <w:r w:rsidR="00371943">
        <w:rPr>
          <w:rFonts w:ascii="Times New Roman" w:hAnsi="Times New Roman" w:cs="Times New Roman"/>
          <w:sz w:val="28"/>
          <w:szCs w:val="28"/>
        </w:rPr>
        <w:t>, up-to-date</w:t>
      </w:r>
      <w:r>
        <w:rPr>
          <w:rFonts w:ascii="Times New Roman" w:hAnsi="Times New Roman" w:cs="Times New Roman"/>
          <w:sz w:val="28"/>
          <w:szCs w:val="28"/>
        </w:rPr>
        <w:t xml:space="preserve"> information and independent research</w:t>
      </w:r>
      <w:r w:rsidR="00C16C97">
        <w:rPr>
          <w:rFonts w:ascii="Times New Roman" w:hAnsi="Times New Roman" w:cs="Times New Roman"/>
          <w:sz w:val="28"/>
          <w:szCs w:val="28"/>
        </w:rPr>
        <w:t xml:space="preserve"> has </w:t>
      </w:r>
      <w:r>
        <w:rPr>
          <w:rFonts w:ascii="Times New Roman" w:hAnsi="Times New Roman" w:cs="Times New Roman"/>
          <w:sz w:val="28"/>
          <w:szCs w:val="28"/>
        </w:rPr>
        <w:t xml:space="preserve">hampered any robust investigation of the </w:t>
      </w:r>
      <w:r w:rsidR="00466CD8">
        <w:rPr>
          <w:rFonts w:ascii="Times New Roman" w:hAnsi="Times New Roman" w:cs="Times New Roman"/>
          <w:sz w:val="28"/>
          <w:szCs w:val="28"/>
        </w:rPr>
        <w:t xml:space="preserve">key </w:t>
      </w:r>
      <w:r>
        <w:rPr>
          <w:rFonts w:ascii="Times New Roman" w:hAnsi="Times New Roman" w:cs="Times New Roman"/>
          <w:sz w:val="28"/>
          <w:szCs w:val="28"/>
        </w:rPr>
        <w:t xml:space="preserve">teacher pay issues in SSA including the policy </w:t>
      </w:r>
      <w:r w:rsidR="007949CB">
        <w:rPr>
          <w:rFonts w:ascii="Times New Roman" w:hAnsi="Times New Roman" w:cs="Times New Roman"/>
          <w:sz w:val="28"/>
          <w:szCs w:val="28"/>
        </w:rPr>
        <w:t xml:space="preserve">analysis </w:t>
      </w:r>
      <w:r w:rsidR="00C16C97">
        <w:rPr>
          <w:rFonts w:ascii="Times New Roman" w:hAnsi="Times New Roman" w:cs="Times New Roman"/>
          <w:sz w:val="28"/>
          <w:szCs w:val="28"/>
        </w:rPr>
        <w:t xml:space="preserve">and </w:t>
      </w:r>
      <w:r>
        <w:rPr>
          <w:rFonts w:ascii="Times New Roman" w:hAnsi="Times New Roman" w:cs="Times New Roman"/>
          <w:sz w:val="28"/>
          <w:szCs w:val="28"/>
        </w:rPr>
        <w:t>recommendations of the World Bank</w:t>
      </w:r>
      <w:r w:rsidR="007949CB">
        <w:rPr>
          <w:rFonts w:ascii="Times New Roman" w:hAnsi="Times New Roman" w:cs="Times New Roman"/>
          <w:sz w:val="28"/>
          <w:szCs w:val="28"/>
        </w:rPr>
        <w:t xml:space="preserve"> and others</w:t>
      </w:r>
      <w:r>
        <w:rPr>
          <w:rFonts w:ascii="Times New Roman" w:hAnsi="Times New Roman" w:cs="Times New Roman"/>
          <w:sz w:val="28"/>
          <w:szCs w:val="28"/>
        </w:rPr>
        <w:t>.</w:t>
      </w:r>
      <w:r w:rsidR="00466CD8">
        <w:rPr>
          <w:rFonts w:ascii="Times New Roman" w:hAnsi="Times New Roman" w:cs="Times New Roman"/>
          <w:sz w:val="28"/>
          <w:szCs w:val="28"/>
        </w:rPr>
        <w:t xml:space="preserve"> </w:t>
      </w:r>
      <w:r w:rsidR="000C6559">
        <w:rPr>
          <w:rFonts w:ascii="Times New Roman" w:hAnsi="Times New Roman" w:cs="Times New Roman"/>
          <w:sz w:val="28"/>
          <w:szCs w:val="28"/>
        </w:rPr>
        <w:t>Despite its importance, only one study</w:t>
      </w:r>
      <w:r w:rsidR="00155D83">
        <w:rPr>
          <w:rFonts w:ascii="Times New Roman" w:hAnsi="Times New Roman" w:cs="Times New Roman"/>
          <w:sz w:val="28"/>
          <w:szCs w:val="28"/>
        </w:rPr>
        <w:t>,</w:t>
      </w:r>
      <w:r w:rsidR="000C6559">
        <w:rPr>
          <w:rFonts w:ascii="Times New Roman" w:hAnsi="Times New Roman" w:cs="Times New Roman"/>
          <w:sz w:val="28"/>
          <w:szCs w:val="28"/>
        </w:rPr>
        <w:t xml:space="preserve"> undertaken </w:t>
      </w:r>
      <w:r w:rsidR="00466CD8">
        <w:rPr>
          <w:rFonts w:ascii="Times New Roman" w:hAnsi="Times New Roman" w:cs="Times New Roman"/>
          <w:sz w:val="28"/>
          <w:szCs w:val="28"/>
        </w:rPr>
        <w:t xml:space="preserve">over 30 years ago </w:t>
      </w:r>
      <w:r w:rsidR="000C6559">
        <w:rPr>
          <w:rFonts w:ascii="Times New Roman" w:hAnsi="Times New Roman" w:cs="Times New Roman"/>
          <w:sz w:val="28"/>
          <w:szCs w:val="28"/>
        </w:rPr>
        <w:t>by Zymelman and DeStefano</w:t>
      </w:r>
      <w:r w:rsidR="00155D83">
        <w:rPr>
          <w:rFonts w:ascii="Times New Roman" w:hAnsi="Times New Roman" w:cs="Times New Roman"/>
          <w:sz w:val="28"/>
          <w:szCs w:val="28"/>
        </w:rPr>
        <w:t>,</w:t>
      </w:r>
      <w:r w:rsidR="000C6559">
        <w:rPr>
          <w:rFonts w:ascii="Times New Roman" w:hAnsi="Times New Roman" w:cs="Times New Roman"/>
          <w:sz w:val="28"/>
          <w:szCs w:val="28"/>
        </w:rPr>
        <w:t xml:space="preserve"> has provided anything approaching a comprehensive and systematic review of teacher pay across the continent. </w:t>
      </w:r>
    </w:p>
    <w:p w:rsidR="009B5085" w:rsidRDefault="00B461C6" w:rsidP="00B461C6">
      <w:pPr>
        <w:jc w:val="both"/>
        <w:rPr>
          <w:rFonts w:ascii="Times New Roman" w:hAnsi="Times New Roman" w:cs="Times New Roman"/>
          <w:sz w:val="28"/>
          <w:szCs w:val="28"/>
        </w:rPr>
      </w:pPr>
      <w:r w:rsidRPr="00B461C6">
        <w:rPr>
          <w:rFonts w:ascii="Times New Roman" w:hAnsi="Times New Roman" w:cs="Times New Roman"/>
          <w:sz w:val="28"/>
          <w:szCs w:val="28"/>
        </w:rPr>
        <w:t>The</w:t>
      </w:r>
      <w:r w:rsidR="00EE0ED5">
        <w:rPr>
          <w:rFonts w:ascii="Times New Roman" w:hAnsi="Times New Roman" w:cs="Times New Roman"/>
          <w:sz w:val="28"/>
          <w:szCs w:val="28"/>
        </w:rPr>
        <w:t xml:space="preserve"> main objective of this article is to evaluate the robustness of the arguments that have been forwarded to support the contention that teachers are overpaid in SSA. </w:t>
      </w:r>
      <w:r w:rsidR="00371943">
        <w:rPr>
          <w:rFonts w:ascii="Times New Roman" w:hAnsi="Times New Roman" w:cs="Times New Roman"/>
          <w:sz w:val="28"/>
          <w:szCs w:val="28"/>
        </w:rPr>
        <w:t xml:space="preserve">This will be done in two main ways. </w:t>
      </w:r>
      <w:r w:rsidRPr="00B461C6">
        <w:rPr>
          <w:rFonts w:ascii="Times New Roman" w:hAnsi="Times New Roman" w:cs="Times New Roman"/>
          <w:sz w:val="28"/>
          <w:szCs w:val="28"/>
        </w:rPr>
        <w:t xml:space="preserve">Firstly, </w:t>
      </w:r>
      <w:r w:rsidR="00371943">
        <w:rPr>
          <w:rFonts w:ascii="Times New Roman" w:hAnsi="Times New Roman" w:cs="Times New Roman"/>
          <w:sz w:val="28"/>
          <w:szCs w:val="28"/>
        </w:rPr>
        <w:t xml:space="preserve">by identifying </w:t>
      </w:r>
      <w:r w:rsidR="00C16C97">
        <w:rPr>
          <w:rFonts w:ascii="Times New Roman" w:hAnsi="Times New Roman" w:cs="Times New Roman"/>
          <w:sz w:val="28"/>
          <w:szCs w:val="28"/>
        </w:rPr>
        <w:t xml:space="preserve">shortcomings </w:t>
      </w:r>
      <w:r w:rsidR="00371943">
        <w:rPr>
          <w:rFonts w:ascii="Times New Roman" w:hAnsi="Times New Roman" w:cs="Times New Roman"/>
          <w:sz w:val="28"/>
          <w:szCs w:val="28"/>
        </w:rPr>
        <w:t xml:space="preserve">in the </w:t>
      </w:r>
      <w:r w:rsidRPr="00B461C6">
        <w:rPr>
          <w:rFonts w:ascii="Times New Roman" w:hAnsi="Times New Roman" w:cs="Times New Roman"/>
          <w:sz w:val="28"/>
          <w:szCs w:val="28"/>
        </w:rPr>
        <w:t>theoretical and conceptual framework</w:t>
      </w:r>
      <w:r w:rsidR="00371943">
        <w:rPr>
          <w:rFonts w:ascii="Times New Roman" w:hAnsi="Times New Roman" w:cs="Times New Roman"/>
          <w:sz w:val="28"/>
          <w:szCs w:val="28"/>
        </w:rPr>
        <w:t>s that have been adopted</w:t>
      </w:r>
      <w:r w:rsidRPr="00B461C6">
        <w:rPr>
          <w:rFonts w:ascii="Times New Roman" w:hAnsi="Times New Roman" w:cs="Times New Roman"/>
          <w:sz w:val="28"/>
          <w:szCs w:val="28"/>
        </w:rPr>
        <w:t xml:space="preserve"> and</w:t>
      </w:r>
      <w:r w:rsidR="00371943">
        <w:rPr>
          <w:rFonts w:ascii="Times New Roman" w:hAnsi="Times New Roman" w:cs="Times New Roman"/>
          <w:sz w:val="28"/>
          <w:szCs w:val="28"/>
        </w:rPr>
        <w:t>,</w:t>
      </w:r>
      <w:r w:rsidRPr="00B461C6">
        <w:rPr>
          <w:rFonts w:ascii="Times New Roman" w:hAnsi="Times New Roman" w:cs="Times New Roman"/>
          <w:sz w:val="28"/>
          <w:szCs w:val="28"/>
        </w:rPr>
        <w:t xml:space="preserve"> in particular</w:t>
      </w:r>
      <w:r w:rsidR="00371943">
        <w:rPr>
          <w:rFonts w:ascii="Times New Roman" w:hAnsi="Times New Roman" w:cs="Times New Roman"/>
          <w:sz w:val="28"/>
          <w:szCs w:val="28"/>
        </w:rPr>
        <w:t>,</w:t>
      </w:r>
      <w:r w:rsidRPr="00B461C6">
        <w:rPr>
          <w:rFonts w:ascii="Times New Roman" w:hAnsi="Times New Roman" w:cs="Times New Roman"/>
          <w:sz w:val="28"/>
          <w:szCs w:val="28"/>
        </w:rPr>
        <w:t xml:space="preserve"> the heavy reliance on the </w:t>
      </w:r>
      <w:r w:rsidR="00C16C97">
        <w:rPr>
          <w:rFonts w:ascii="Times New Roman" w:hAnsi="Times New Roman" w:cs="Times New Roman"/>
          <w:sz w:val="28"/>
          <w:szCs w:val="28"/>
        </w:rPr>
        <w:t>PC</w:t>
      </w:r>
      <w:r w:rsidRPr="00B461C6">
        <w:rPr>
          <w:rFonts w:ascii="Times New Roman" w:hAnsi="Times New Roman" w:cs="Times New Roman"/>
          <w:sz w:val="28"/>
          <w:szCs w:val="28"/>
        </w:rPr>
        <w:t xml:space="preserve">GDP </w:t>
      </w:r>
      <w:r w:rsidR="00C16C97">
        <w:rPr>
          <w:rFonts w:ascii="Times New Roman" w:hAnsi="Times New Roman" w:cs="Times New Roman"/>
          <w:sz w:val="28"/>
          <w:szCs w:val="28"/>
        </w:rPr>
        <w:t>pay ratio</w:t>
      </w:r>
      <w:r w:rsidRPr="00B461C6">
        <w:rPr>
          <w:rFonts w:ascii="Times New Roman" w:hAnsi="Times New Roman" w:cs="Times New Roman"/>
          <w:sz w:val="28"/>
          <w:szCs w:val="28"/>
        </w:rPr>
        <w:t xml:space="preserve"> </w:t>
      </w:r>
      <w:r w:rsidR="00371943">
        <w:rPr>
          <w:rFonts w:ascii="Times New Roman" w:hAnsi="Times New Roman" w:cs="Times New Roman"/>
          <w:sz w:val="28"/>
          <w:szCs w:val="28"/>
        </w:rPr>
        <w:t xml:space="preserve">as the key </w:t>
      </w:r>
      <w:r w:rsidR="00C16C97">
        <w:rPr>
          <w:rFonts w:ascii="Times New Roman" w:hAnsi="Times New Roman" w:cs="Times New Roman"/>
          <w:sz w:val="28"/>
          <w:szCs w:val="28"/>
        </w:rPr>
        <w:t>income</w:t>
      </w:r>
      <w:r w:rsidR="005C3A9B">
        <w:rPr>
          <w:rFonts w:ascii="Times New Roman" w:hAnsi="Times New Roman" w:cs="Times New Roman"/>
          <w:sz w:val="28"/>
          <w:szCs w:val="28"/>
        </w:rPr>
        <w:t xml:space="preserve"> </w:t>
      </w:r>
      <w:r w:rsidRPr="00B461C6">
        <w:rPr>
          <w:rFonts w:ascii="Times New Roman" w:hAnsi="Times New Roman" w:cs="Times New Roman"/>
          <w:sz w:val="28"/>
          <w:szCs w:val="28"/>
        </w:rPr>
        <w:t xml:space="preserve">indicator. And secondly, </w:t>
      </w:r>
      <w:r w:rsidR="00371943">
        <w:rPr>
          <w:rFonts w:ascii="Times New Roman" w:hAnsi="Times New Roman" w:cs="Times New Roman"/>
          <w:sz w:val="28"/>
          <w:szCs w:val="28"/>
        </w:rPr>
        <w:t xml:space="preserve">by assessing </w:t>
      </w:r>
      <w:r w:rsidRPr="00B461C6">
        <w:rPr>
          <w:rFonts w:ascii="Times New Roman" w:hAnsi="Times New Roman" w:cs="Times New Roman"/>
          <w:sz w:val="28"/>
          <w:szCs w:val="28"/>
        </w:rPr>
        <w:t xml:space="preserve">the quality of the data that is used to substantiate these claims. </w:t>
      </w:r>
    </w:p>
    <w:p w:rsidR="00D90DF7" w:rsidRDefault="00927F07" w:rsidP="00B461C6">
      <w:pPr>
        <w:jc w:val="both"/>
        <w:rPr>
          <w:rFonts w:ascii="Times New Roman" w:hAnsi="Times New Roman" w:cs="Times New Roman"/>
          <w:sz w:val="28"/>
          <w:szCs w:val="28"/>
        </w:rPr>
      </w:pPr>
      <w:r>
        <w:rPr>
          <w:rFonts w:ascii="Times New Roman" w:hAnsi="Times New Roman" w:cs="Times New Roman"/>
          <w:sz w:val="28"/>
          <w:szCs w:val="28"/>
        </w:rPr>
        <w:t>F</w:t>
      </w:r>
      <w:r w:rsidR="00371943">
        <w:rPr>
          <w:rFonts w:ascii="Times New Roman" w:hAnsi="Times New Roman" w:cs="Times New Roman"/>
          <w:sz w:val="28"/>
          <w:szCs w:val="28"/>
        </w:rPr>
        <w:t xml:space="preserve">or the first time, </w:t>
      </w:r>
      <w:r w:rsidR="00B461C6" w:rsidRPr="00B461C6">
        <w:rPr>
          <w:rFonts w:ascii="Times New Roman" w:hAnsi="Times New Roman" w:cs="Times New Roman"/>
          <w:sz w:val="28"/>
          <w:szCs w:val="28"/>
        </w:rPr>
        <w:t xml:space="preserve">this review </w:t>
      </w:r>
      <w:r w:rsidR="00C16C97">
        <w:rPr>
          <w:rFonts w:ascii="Times New Roman" w:hAnsi="Times New Roman" w:cs="Times New Roman"/>
          <w:sz w:val="28"/>
          <w:szCs w:val="28"/>
        </w:rPr>
        <w:t xml:space="preserve">brings </w:t>
      </w:r>
      <w:r w:rsidR="00371943">
        <w:rPr>
          <w:rFonts w:ascii="Times New Roman" w:hAnsi="Times New Roman" w:cs="Times New Roman"/>
          <w:sz w:val="28"/>
          <w:szCs w:val="28"/>
        </w:rPr>
        <w:t xml:space="preserve">together </w:t>
      </w:r>
      <w:r w:rsidR="00B461C6" w:rsidRPr="00B461C6">
        <w:rPr>
          <w:rFonts w:ascii="Times New Roman" w:hAnsi="Times New Roman" w:cs="Times New Roman"/>
          <w:sz w:val="28"/>
          <w:szCs w:val="28"/>
        </w:rPr>
        <w:t>recent teacher salary data from most mainland countries in SSA.</w:t>
      </w:r>
      <w:r w:rsidR="009B5085">
        <w:rPr>
          <w:rFonts w:ascii="Times New Roman" w:hAnsi="Times New Roman" w:cs="Times New Roman"/>
          <w:sz w:val="28"/>
          <w:szCs w:val="28"/>
        </w:rPr>
        <w:t xml:space="preserve"> I</w:t>
      </w:r>
      <w:r w:rsidR="005C3A9B">
        <w:rPr>
          <w:rFonts w:ascii="Times New Roman" w:hAnsi="Times New Roman" w:cs="Times New Roman"/>
          <w:sz w:val="28"/>
          <w:szCs w:val="28"/>
        </w:rPr>
        <w:t xml:space="preserve">t </w:t>
      </w:r>
      <w:r w:rsidR="009B5085">
        <w:rPr>
          <w:rFonts w:ascii="Times New Roman" w:hAnsi="Times New Roman" w:cs="Times New Roman"/>
          <w:sz w:val="28"/>
          <w:szCs w:val="28"/>
        </w:rPr>
        <w:t xml:space="preserve">also </w:t>
      </w:r>
      <w:r w:rsidR="00E30B49">
        <w:rPr>
          <w:rFonts w:ascii="Times New Roman" w:hAnsi="Times New Roman" w:cs="Times New Roman"/>
          <w:sz w:val="28"/>
          <w:szCs w:val="28"/>
        </w:rPr>
        <w:t xml:space="preserve">assesses all three key dimensions of </w:t>
      </w:r>
      <w:r w:rsidR="009B5085">
        <w:rPr>
          <w:rFonts w:ascii="Times New Roman" w:hAnsi="Times New Roman" w:cs="Times New Roman"/>
          <w:sz w:val="28"/>
          <w:szCs w:val="28"/>
        </w:rPr>
        <w:t>teacher pay</w:t>
      </w:r>
      <w:r w:rsidR="00E30B49">
        <w:rPr>
          <w:rFonts w:ascii="Times New Roman" w:hAnsi="Times New Roman" w:cs="Times New Roman"/>
          <w:sz w:val="28"/>
          <w:szCs w:val="28"/>
        </w:rPr>
        <w:t xml:space="preserve">, namely </w:t>
      </w:r>
      <w:r w:rsidR="00D90DF7">
        <w:rPr>
          <w:rFonts w:ascii="Times New Roman" w:hAnsi="Times New Roman" w:cs="Times New Roman"/>
          <w:sz w:val="28"/>
          <w:szCs w:val="28"/>
        </w:rPr>
        <w:t>the over</w:t>
      </w:r>
      <w:r w:rsidR="00E30B49">
        <w:rPr>
          <w:rFonts w:ascii="Times New Roman" w:hAnsi="Times New Roman" w:cs="Times New Roman"/>
          <w:sz w:val="28"/>
          <w:szCs w:val="28"/>
        </w:rPr>
        <w:t>all</w:t>
      </w:r>
      <w:r w:rsidR="00D90DF7">
        <w:rPr>
          <w:rFonts w:ascii="Times New Roman" w:hAnsi="Times New Roman" w:cs="Times New Roman"/>
          <w:sz w:val="28"/>
          <w:szCs w:val="28"/>
        </w:rPr>
        <w:t xml:space="preserve"> economic context/level of economic development</w:t>
      </w:r>
      <w:r w:rsidR="00E30B49">
        <w:rPr>
          <w:rFonts w:ascii="Times New Roman" w:hAnsi="Times New Roman" w:cs="Times New Roman"/>
          <w:sz w:val="28"/>
          <w:szCs w:val="28"/>
        </w:rPr>
        <w:t xml:space="preserve"> (</w:t>
      </w:r>
      <w:r w:rsidR="00155D83">
        <w:rPr>
          <w:rFonts w:ascii="Times New Roman" w:hAnsi="Times New Roman" w:cs="Times New Roman"/>
          <w:sz w:val="28"/>
          <w:szCs w:val="28"/>
        </w:rPr>
        <w:t xml:space="preserve">as </w:t>
      </w:r>
      <w:r w:rsidR="00E30B49">
        <w:rPr>
          <w:rFonts w:ascii="Times New Roman" w:hAnsi="Times New Roman" w:cs="Times New Roman"/>
          <w:sz w:val="28"/>
          <w:szCs w:val="28"/>
        </w:rPr>
        <w:lastRenderedPageBreak/>
        <w:t xml:space="preserve">proxied by </w:t>
      </w:r>
      <w:r w:rsidR="009B5085">
        <w:rPr>
          <w:rFonts w:ascii="Times New Roman" w:hAnsi="Times New Roman" w:cs="Times New Roman"/>
          <w:sz w:val="28"/>
          <w:szCs w:val="28"/>
        </w:rPr>
        <w:t>the PC</w:t>
      </w:r>
      <w:r w:rsidR="00E30B49">
        <w:rPr>
          <w:rFonts w:ascii="Times New Roman" w:hAnsi="Times New Roman" w:cs="Times New Roman"/>
          <w:sz w:val="28"/>
          <w:szCs w:val="28"/>
        </w:rPr>
        <w:t>GDP</w:t>
      </w:r>
      <w:r w:rsidR="009B5085">
        <w:rPr>
          <w:rFonts w:ascii="Times New Roman" w:hAnsi="Times New Roman" w:cs="Times New Roman"/>
          <w:sz w:val="28"/>
          <w:szCs w:val="28"/>
        </w:rPr>
        <w:t xml:space="preserve"> pay ratio</w:t>
      </w:r>
      <w:r w:rsidR="00E30B49">
        <w:rPr>
          <w:rFonts w:ascii="Times New Roman" w:hAnsi="Times New Roman" w:cs="Times New Roman"/>
          <w:sz w:val="28"/>
          <w:szCs w:val="28"/>
        </w:rPr>
        <w:t xml:space="preserve">), </w:t>
      </w:r>
      <w:r w:rsidR="00D90DF7">
        <w:rPr>
          <w:rFonts w:ascii="Times New Roman" w:hAnsi="Times New Roman" w:cs="Times New Roman"/>
          <w:sz w:val="28"/>
          <w:szCs w:val="28"/>
        </w:rPr>
        <w:t>income</w:t>
      </w:r>
      <w:r w:rsidR="00E30B49">
        <w:rPr>
          <w:rFonts w:ascii="Times New Roman" w:hAnsi="Times New Roman" w:cs="Times New Roman"/>
          <w:sz w:val="28"/>
          <w:szCs w:val="28"/>
        </w:rPr>
        <w:t xml:space="preserve"> differentials between teachers and </w:t>
      </w:r>
      <w:r w:rsidR="00D90DF7">
        <w:rPr>
          <w:rFonts w:ascii="Times New Roman" w:hAnsi="Times New Roman" w:cs="Times New Roman"/>
          <w:sz w:val="28"/>
          <w:szCs w:val="28"/>
        </w:rPr>
        <w:t>other equivalent/comparable occupations (which are also referred to as ‘wage premia’)</w:t>
      </w:r>
      <w:r w:rsidR="00E30B49">
        <w:rPr>
          <w:rFonts w:ascii="Times New Roman" w:hAnsi="Times New Roman" w:cs="Times New Roman"/>
          <w:sz w:val="28"/>
          <w:szCs w:val="28"/>
        </w:rPr>
        <w:t>,</w:t>
      </w:r>
      <w:r w:rsidR="00D90DF7">
        <w:rPr>
          <w:rFonts w:ascii="Times New Roman" w:hAnsi="Times New Roman" w:cs="Times New Roman"/>
          <w:sz w:val="28"/>
          <w:szCs w:val="28"/>
        </w:rPr>
        <w:t xml:space="preserve"> and the </w:t>
      </w:r>
      <w:r w:rsidR="00E30B49">
        <w:rPr>
          <w:rFonts w:ascii="Times New Roman" w:hAnsi="Times New Roman" w:cs="Times New Roman"/>
          <w:sz w:val="28"/>
          <w:szCs w:val="28"/>
        </w:rPr>
        <w:t xml:space="preserve">basic livelihood needs </w:t>
      </w:r>
      <w:r w:rsidR="00D90DF7">
        <w:rPr>
          <w:rFonts w:ascii="Times New Roman" w:hAnsi="Times New Roman" w:cs="Times New Roman"/>
          <w:sz w:val="28"/>
          <w:szCs w:val="28"/>
        </w:rPr>
        <w:t>of</w:t>
      </w:r>
      <w:r w:rsidR="00E30B49">
        <w:rPr>
          <w:rFonts w:ascii="Times New Roman" w:hAnsi="Times New Roman" w:cs="Times New Roman"/>
          <w:sz w:val="28"/>
          <w:szCs w:val="28"/>
        </w:rPr>
        <w:t xml:space="preserve"> families. </w:t>
      </w:r>
      <w:r w:rsidR="00B342AE">
        <w:rPr>
          <w:rFonts w:ascii="Times New Roman" w:hAnsi="Times New Roman" w:cs="Times New Roman"/>
          <w:sz w:val="28"/>
          <w:szCs w:val="28"/>
        </w:rPr>
        <w:t xml:space="preserve">To date, nearly all </w:t>
      </w:r>
      <w:r w:rsidR="00E30B49">
        <w:rPr>
          <w:rFonts w:ascii="Times New Roman" w:hAnsi="Times New Roman" w:cs="Times New Roman"/>
          <w:sz w:val="28"/>
          <w:szCs w:val="28"/>
        </w:rPr>
        <w:t xml:space="preserve">research has focused </w:t>
      </w:r>
      <w:r w:rsidR="00B342AE">
        <w:rPr>
          <w:rFonts w:ascii="Times New Roman" w:hAnsi="Times New Roman" w:cs="Times New Roman"/>
          <w:sz w:val="28"/>
          <w:szCs w:val="28"/>
        </w:rPr>
        <w:t xml:space="preserve">either </w:t>
      </w:r>
      <w:r w:rsidR="00E30B49">
        <w:rPr>
          <w:rFonts w:ascii="Times New Roman" w:hAnsi="Times New Roman" w:cs="Times New Roman"/>
          <w:sz w:val="28"/>
          <w:szCs w:val="28"/>
        </w:rPr>
        <w:t>on the ‘economic context’</w:t>
      </w:r>
      <w:r w:rsidR="00B342AE">
        <w:rPr>
          <w:rFonts w:ascii="Times New Roman" w:hAnsi="Times New Roman" w:cs="Times New Roman"/>
          <w:sz w:val="28"/>
          <w:szCs w:val="28"/>
        </w:rPr>
        <w:t xml:space="preserve"> or, more recently, teacher wage premia.</w:t>
      </w:r>
      <w:r w:rsidR="00E30B49">
        <w:rPr>
          <w:rFonts w:ascii="Times New Roman" w:hAnsi="Times New Roman" w:cs="Times New Roman"/>
          <w:sz w:val="28"/>
          <w:szCs w:val="28"/>
        </w:rPr>
        <w:t xml:space="preserve">  </w:t>
      </w:r>
      <w:r w:rsidR="00D90DF7">
        <w:rPr>
          <w:rFonts w:ascii="Times New Roman" w:hAnsi="Times New Roman" w:cs="Times New Roman"/>
          <w:sz w:val="28"/>
          <w:szCs w:val="28"/>
        </w:rPr>
        <w:t xml:space="preserve"> </w:t>
      </w:r>
    </w:p>
    <w:p w:rsidR="00600748" w:rsidRPr="00EE0ED5" w:rsidRDefault="00797A20" w:rsidP="00B461C6">
      <w:pPr>
        <w:jc w:val="both"/>
        <w:rPr>
          <w:rFonts w:ascii="Times New Roman" w:hAnsi="Times New Roman" w:cs="Times New Roman"/>
          <w:i/>
          <w:sz w:val="28"/>
          <w:szCs w:val="28"/>
        </w:rPr>
      </w:pPr>
      <w:r>
        <w:rPr>
          <w:rFonts w:ascii="Times New Roman" w:hAnsi="Times New Roman" w:cs="Times New Roman"/>
          <w:i/>
          <w:sz w:val="28"/>
          <w:szCs w:val="28"/>
        </w:rPr>
        <w:t xml:space="preserve">1.2 </w:t>
      </w:r>
      <w:r w:rsidR="00EE0ED5" w:rsidRPr="00EE0ED5">
        <w:rPr>
          <w:rFonts w:ascii="Times New Roman" w:hAnsi="Times New Roman" w:cs="Times New Roman"/>
          <w:i/>
          <w:sz w:val="28"/>
          <w:szCs w:val="28"/>
        </w:rPr>
        <w:t>Article organisation</w:t>
      </w:r>
      <w:r w:rsidR="00600748" w:rsidRPr="00EE0ED5">
        <w:rPr>
          <w:rFonts w:ascii="Times New Roman" w:hAnsi="Times New Roman" w:cs="Times New Roman"/>
          <w:i/>
          <w:sz w:val="28"/>
          <w:szCs w:val="28"/>
        </w:rPr>
        <w:t xml:space="preserve"> </w:t>
      </w:r>
    </w:p>
    <w:p w:rsidR="00797A20" w:rsidRDefault="00213C9D" w:rsidP="00B461C6">
      <w:pPr>
        <w:jc w:val="both"/>
        <w:rPr>
          <w:rFonts w:ascii="Times New Roman" w:hAnsi="Times New Roman" w:cs="Times New Roman"/>
          <w:sz w:val="28"/>
          <w:szCs w:val="28"/>
        </w:rPr>
      </w:pPr>
      <w:r w:rsidRPr="00927F07">
        <w:rPr>
          <w:rFonts w:ascii="Times New Roman" w:hAnsi="Times New Roman" w:cs="Times New Roman"/>
          <w:sz w:val="28"/>
          <w:szCs w:val="28"/>
        </w:rPr>
        <w:t>The article is organised as follows. Section 2 describes the review</w:t>
      </w:r>
      <w:r w:rsidR="00B342AE">
        <w:rPr>
          <w:rFonts w:ascii="Times New Roman" w:hAnsi="Times New Roman" w:cs="Times New Roman"/>
          <w:sz w:val="28"/>
          <w:szCs w:val="28"/>
        </w:rPr>
        <w:t xml:space="preserve"> methodology. </w:t>
      </w:r>
      <w:r w:rsidR="007545AC">
        <w:rPr>
          <w:rFonts w:ascii="Times New Roman" w:hAnsi="Times New Roman" w:cs="Times New Roman"/>
          <w:sz w:val="28"/>
          <w:szCs w:val="28"/>
        </w:rPr>
        <w:t xml:space="preserve">Sections 3, 4, and 5 </w:t>
      </w:r>
      <w:r w:rsidR="00B342AE">
        <w:rPr>
          <w:rFonts w:ascii="Times New Roman" w:hAnsi="Times New Roman" w:cs="Times New Roman"/>
          <w:sz w:val="28"/>
          <w:szCs w:val="28"/>
        </w:rPr>
        <w:t>analyse</w:t>
      </w:r>
      <w:r w:rsidR="007545AC">
        <w:rPr>
          <w:rFonts w:ascii="Times New Roman" w:hAnsi="Times New Roman" w:cs="Times New Roman"/>
          <w:sz w:val="28"/>
          <w:szCs w:val="28"/>
        </w:rPr>
        <w:t>,</w:t>
      </w:r>
      <w:r w:rsidR="00B342AE">
        <w:rPr>
          <w:rFonts w:ascii="Times New Roman" w:hAnsi="Times New Roman" w:cs="Times New Roman"/>
          <w:sz w:val="28"/>
          <w:szCs w:val="28"/>
        </w:rPr>
        <w:t xml:space="preserve"> </w:t>
      </w:r>
      <w:r w:rsidR="005D66F8">
        <w:rPr>
          <w:rFonts w:ascii="Times New Roman" w:hAnsi="Times New Roman" w:cs="Times New Roman"/>
          <w:sz w:val="28"/>
          <w:szCs w:val="28"/>
        </w:rPr>
        <w:t>in turn</w:t>
      </w:r>
      <w:r w:rsidR="007545AC">
        <w:rPr>
          <w:rFonts w:ascii="Times New Roman" w:hAnsi="Times New Roman" w:cs="Times New Roman"/>
          <w:sz w:val="28"/>
          <w:szCs w:val="28"/>
        </w:rPr>
        <w:t>,</w:t>
      </w:r>
      <w:r w:rsidR="005D66F8">
        <w:rPr>
          <w:rFonts w:ascii="Times New Roman" w:hAnsi="Times New Roman" w:cs="Times New Roman"/>
          <w:sz w:val="28"/>
          <w:szCs w:val="28"/>
        </w:rPr>
        <w:t xml:space="preserve"> the three above-mentioned dimensions of teacher pay. In the light of this analysis, section 6 reviews the current views of the World Bank on teacher pay</w:t>
      </w:r>
      <w:r w:rsidR="007545AC">
        <w:rPr>
          <w:rFonts w:ascii="Times New Roman" w:hAnsi="Times New Roman" w:cs="Times New Roman"/>
          <w:sz w:val="28"/>
          <w:szCs w:val="28"/>
        </w:rPr>
        <w:t xml:space="preserve"> in SSA</w:t>
      </w:r>
      <w:r w:rsidR="005D66F8">
        <w:rPr>
          <w:rFonts w:ascii="Times New Roman" w:hAnsi="Times New Roman" w:cs="Times New Roman"/>
          <w:sz w:val="28"/>
          <w:szCs w:val="28"/>
        </w:rPr>
        <w:t>. The conclu</w:t>
      </w:r>
      <w:r w:rsidR="00633194">
        <w:rPr>
          <w:rFonts w:ascii="Times New Roman" w:hAnsi="Times New Roman" w:cs="Times New Roman"/>
          <w:sz w:val="28"/>
          <w:szCs w:val="28"/>
        </w:rPr>
        <w:t>sion includes recommendations for</w:t>
      </w:r>
      <w:r w:rsidR="005D66F8">
        <w:rPr>
          <w:rFonts w:ascii="Times New Roman" w:hAnsi="Times New Roman" w:cs="Times New Roman"/>
          <w:sz w:val="28"/>
          <w:szCs w:val="28"/>
        </w:rPr>
        <w:t xml:space="preserve"> future research</w:t>
      </w:r>
      <w:r w:rsidR="00633194">
        <w:rPr>
          <w:rFonts w:ascii="Times New Roman" w:hAnsi="Times New Roman" w:cs="Times New Roman"/>
          <w:sz w:val="28"/>
          <w:szCs w:val="28"/>
        </w:rPr>
        <w:t xml:space="preserve"> in this area.</w:t>
      </w:r>
      <w:r w:rsidR="005D66F8">
        <w:rPr>
          <w:rFonts w:ascii="Times New Roman" w:hAnsi="Times New Roman" w:cs="Times New Roman"/>
          <w:sz w:val="28"/>
          <w:szCs w:val="28"/>
        </w:rPr>
        <w:t xml:space="preserve">    </w:t>
      </w:r>
    </w:p>
    <w:p w:rsidR="00797A20" w:rsidRDefault="00797A20" w:rsidP="00B461C6">
      <w:pPr>
        <w:jc w:val="both"/>
        <w:rPr>
          <w:rFonts w:ascii="Times New Roman" w:hAnsi="Times New Roman" w:cs="Times New Roman"/>
          <w:sz w:val="28"/>
          <w:szCs w:val="28"/>
        </w:rPr>
      </w:pPr>
    </w:p>
    <w:p w:rsidR="003843A2" w:rsidRPr="00797A20" w:rsidRDefault="0093718A" w:rsidP="00B461C6">
      <w:pPr>
        <w:jc w:val="both"/>
        <w:rPr>
          <w:rFonts w:ascii="Times New Roman" w:hAnsi="Times New Roman" w:cs="Times New Roman"/>
          <w:sz w:val="28"/>
          <w:szCs w:val="28"/>
        </w:rPr>
      </w:pPr>
      <w:r>
        <w:rPr>
          <w:rFonts w:ascii="Times New Roman" w:hAnsi="Times New Roman" w:cs="Times New Roman"/>
          <w:b/>
          <w:sz w:val="28"/>
          <w:szCs w:val="28"/>
        </w:rPr>
        <w:t xml:space="preserve">2. </w:t>
      </w:r>
      <w:r w:rsidR="00927F07">
        <w:rPr>
          <w:rFonts w:ascii="Times New Roman" w:hAnsi="Times New Roman" w:cs="Times New Roman"/>
          <w:b/>
          <w:sz w:val="28"/>
          <w:szCs w:val="28"/>
        </w:rPr>
        <w:t>Review process</w:t>
      </w:r>
    </w:p>
    <w:p w:rsidR="0015679A" w:rsidRPr="0015679A" w:rsidRDefault="00797A20" w:rsidP="00B461C6">
      <w:pPr>
        <w:jc w:val="both"/>
        <w:rPr>
          <w:rFonts w:ascii="Times New Roman" w:hAnsi="Times New Roman" w:cs="Times New Roman"/>
          <w:i/>
          <w:sz w:val="28"/>
          <w:szCs w:val="28"/>
        </w:rPr>
      </w:pPr>
      <w:r>
        <w:rPr>
          <w:rFonts w:ascii="Times New Roman" w:hAnsi="Times New Roman" w:cs="Times New Roman"/>
          <w:i/>
          <w:sz w:val="28"/>
          <w:szCs w:val="28"/>
        </w:rPr>
        <w:t xml:space="preserve">2.1 </w:t>
      </w:r>
      <w:r w:rsidR="0015679A" w:rsidRPr="0015679A">
        <w:rPr>
          <w:rFonts w:ascii="Times New Roman" w:hAnsi="Times New Roman" w:cs="Times New Roman"/>
          <w:i/>
          <w:sz w:val="28"/>
          <w:szCs w:val="28"/>
        </w:rPr>
        <w:t>Overall approach</w:t>
      </w:r>
    </w:p>
    <w:p w:rsidR="00633194" w:rsidRDefault="00633194" w:rsidP="00B461C6">
      <w:pPr>
        <w:jc w:val="both"/>
        <w:rPr>
          <w:rFonts w:ascii="Times New Roman" w:hAnsi="Times New Roman" w:cs="Times New Roman"/>
          <w:sz w:val="28"/>
          <w:szCs w:val="28"/>
        </w:rPr>
      </w:pPr>
      <w:r>
        <w:rPr>
          <w:rFonts w:ascii="Times New Roman" w:hAnsi="Times New Roman" w:cs="Times New Roman"/>
          <w:sz w:val="28"/>
          <w:szCs w:val="28"/>
        </w:rPr>
        <w:t xml:space="preserve">Each of the three dimensions of teacher pay are reviewed firstly by evaluating the available evidence from previous </w:t>
      </w:r>
      <w:r w:rsidR="005C3A9B">
        <w:rPr>
          <w:rFonts w:ascii="Times New Roman" w:hAnsi="Times New Roman" w:cs="Times New Roman"/>
          <w:sz w:val="28"/>
          <w:szCs w:val="28"/>
        </w:rPr>
        <w:t xml:space="preserve">studies </w:t>
      </w:r>
      <w:r>
        <w:rPr>
          <w:rFonts w:ascii="Times New Roman" w:hAnsi="Times New Roman" w:cs="Times New Roman"/>
          <w:sz w:val="28"/>
          <w:szCs w:val="28"/>
        </w:rPr>
        <w:t>and then presenting the relevant infor</w:t>
      </w:r>
      <w:r w:rsidR="0015679A">
        <w:rPr>
          <w:rFonts w:ascii="Times New Roman" w:hAnsi="Times New Roman" w:cs="Times New Roman"/>
          <w:sz w:val="28"/>
          <w:szCs w:val="28"/>
        </w:rPr>
        <w:t xml:space="preserve">mation concerning current </w:t>
      </w:r>
      <w:r>
        <w:rPr>
          <w:rFonts w:ascii="Times New Roman" w:hAnsi="Times New Roman" w:cs="Times New Roman"/>
          <w:sz w:val="28"/>
          <w:szCs w:val="28"/>
        </w:rPr>
        <w:t xml:space="preserve">levels of </w:t>
      </w:r>
      <w:r w:rsidR="0015679A">
        <w:rPr>
          <w:rFonts w:ascii="Times New Roman" w:hAnsi="Times New Roman" w:cs="Times New Roman"/>
          <w:sz w:val="28"/>
          <w:szCs w:val="28"/>
        </w:rPr>
        <w:t xml:space="preserve">teacher pay. </w:t>
      </w:r>
      <w:r w:rsidR="00155D83">
        <w:rPr>
          <w:rFonts w:ascii="Times New Roman" w:hAnsi="Times New Roman" w:cs="Times New Roman"/>
          <w:sz w:val="28"/>
          <w:szCs w:val="28"/>
        </w:rPr>
        <w:t>T</w:t>
      </w:r>
      <w:r w:rsidR="0015679A">
        <w:rPr>
          <w:rFonts w:ascii="Times New Roman" w:hAnsi="Times New Roman" w:cs="Times New Roman"/>
          <w:sz w:val="28"/>
          <w:szCs w:val="28"/>
        </w:rPr>
        <w:t xml:space="preserve">he focus is on the pay of primary teachers in SSA </w:t>
      </w:r>
      <w:r w:rsidR="00155D83">
        <w:rPr>
          <w:rFonts w:ascii="Times New Roman" w:hAnsi="Times New Roman" w:cs="Times New Roman"/>
          <w:sz w:val="28"/>
          <w:szCs w:val="28"/>
        </w:rPr>
        <w:t xml:space="preserve">although </w:t>
      </w:r>
      <w:r w:rsidR="0015679A">
        <w:rPr>
          <w:rFonts w:ascii="Times New Roman" w:hAnsi="Times New Roman" w:cs="Times New Roman"/>
          <w:sz w:val="28"/>
          <w:szCs w:val="28"/>
        </w:rPr>
        <w:t xml:space="preserve">reference is made to secondary school </w:t>
      </w:r>
      <w:r w:rsidR="005C3A9B">
        <w:rPr>
          <w:rFonts w:ascii="Times New Roman" w:hAnsi="Times New Roman" w:cs="Times New Roman"/>
          <w:sz w:val="28"/>
          <w:szCs w:val="28"/>
        </w:rPr>
        <w:t>teacher pay</w:t>
      </w:r>
      <w:r w:rsidR="005C3A9B">
        <w:rPr>
          <w:rStyle w:val="FootnoteReference"/>
          <w:rFonts w:ascii="Times New Roman" w:hAnsi="Times New Roman" w:cs="Times New Roman"/>
          <w:sz w:val="28"/>
          <w:szCs w:val="28"/>
        </w:rPr>
        <w:footnoteReference w:id="1"/>
      </w:r>
      <w:r w:rsidR="005C3A9B">
        <w:rPr>
          <w:rFonts w:ascii="Times New Roman" w:hAnsi="Times New Roman" w:cs="Times New Roman"/>
          <w:sz w:val="28"/>
          <w:szCs w:val="28"/>
        </w:rPr>
        <w:t xml:space="preserve"> </w:t>
      </w:r>
      <w:r w:rsidR="0015679A">
        <w:rPr>
          <w:rFonts w:ascii="Times New Roman" w:hAnsi="Times New Roman" w:cs="Times New Roman"/>
          <w:sz w:val="28"/>
          <w:szCs w:val="28"/>
        </w:rPr>
        <w:t xml:space="preserve">where appropriate. </w:t>
      </w:r>
    </w:p>
    <w:p w:rsidR="00270A61" w:rsidRPr="008A3F18" w:rsidRDefault="00E5358E" w:rsidP="00270A61">
      <w:pPr>
        <w:jc w:val="both"/>
        <w:rPr>
          <w:rFonts w:ascii="Times New Roman" w:hAnsi="Times New Roman" w:cs="Times New Roman"/>
          <w:sz w:val="28"/>
          <w:szCs w:val="28"/>
        </w:rPr>
      </w:pPr>
      <w:r>
        <w:rPr>
          <w:rFonts w:ascii="Times New Roman" w:hAnsi="Times New Roman" w:cs="Times New Roman"/>
          <w:sz w:val="28"/>
          <w:szCs w:val="28"/>
        </w:rPr>
        <w:t>Surprisingly few comprehensive</w:t>
      </w:r>
      <w:r w:rsidR="007C6D75">
        <w:rPr>
          <w:rFonts w:ascii="Times New Roman" w:hAnsi="Times New Roman" w:cs="Times New Roman"/>
          <w:sz w:val="28"/>
          <w:szCs w:val="28"/>
        </w:rPr>
        <w:t>, multi-country</w:t>
      </w:r>
      <w:r>
        <w:rPr>
          <w:rFonts w:ascii="Times New Roman" w:hAnsi="Times New Roman" w:cs="Times New Roman"/>
          <w:sz w:val="28"/>
          <w:szCs w:val="28"/>
        </w:rPr>
        <w:t xml:space="preserve"> reviews </w:t>
      </w:r>
      <w:r w:rsidR="007C6D75">
        <w:rPr>
          <w:rFonts w:ascii="Times New Roman" w:hAnsi="Times New Roman" w:cs="Times New Roman"/>
          <w:sz w:val="28"/>
          <w:szCs w:val="28"/>
        </w:rPr>
        <w:t>of</w:t>
      </w:r>
      <w:r>
        <w:rPr>
          <w:rFonts w:ascii="Times New Roman" w:hAnsi="Times New Roman" w:cs="Times New Roman"/>
          <w:sz w:val="28"/>
          <w:szCs w:val="28"/>
        </w:rPr>
        <w:t xml:space="preserve"> teacher pay in SSA</w:t>
      </w:r>
      <w:r w:rsidR="007C6D75">
        <w:rPr>
          <w:rFonts w:ascii="Times New Roman" w:hAnsi="Times New Roman" w:cs="Times New Roman"/>
          <w:sz w:val="28"/>
          <w:szCs w:val="28"/>
        </w:rPr>
        <w:t xml:space="preserve"> have been undertaken during the last two decades</w:t>
      </w:r>
      <w:r>
        <w:rPr>
          <w:rFonts w:ascii="Times New Roman" w:hAnsi="Times New Roman" w:cs="Times New Roman"/>
          <w:sz w:val="28"/>
          <w:szCs w:val="28"/>
        </w:rPr>
        <w:t xml:space="preserve">. </w:t>
      </w:r>
      <w:r w:rsidR="00270A61">
        <w:rPr>
          <w:rFonts w:ascii="Times New Roman" w:hAnsi="Times New Roman" w:cs="Times New Roman"/>
          <w:sz w:val="28"/>
          <w:szCs w:val="28"/>
        </w:rPr>
        <w:t xml:space="preserve">There are three key </w:t>
      </w:r>
      <w:r w:rsidR="004E62F4">
        <w:rPr>
          <w:rFonts w:ascii="Times New Roman" w:hAnsi="Times New Roman" w:cs="Times New Roman"/>
          <w:sz w:val="28"/>
          <w:szCs w:val="28"/>
        </w:rPr>
        <w:t>reports</w:t>
      </w:r>
      <w:r w:rsidR="007C6D75">
        <w:rPr>
          <w:rFonts w:ascii="Times New Roman" w:hAnsi="Times New Roman" w:cs="Times New Roman"/>
          <w:sz w:val="28"/>
          <w:szCs w:val="28"/>
        </w:rPr>
        <w:t xml:space="preserve"> </w:t>
      </w:r>
      <w:r w:rsidR="0094529D">
        <w:rPr>
          <w:rFonts w:ascii="Times New Roman" w:hAnsi="Times New Roman" w:cs="Times New Roman"/>
          <w:sz w:val="28"/>
          <w:szCs w:val="28"/>
        </w:rPr>
        <w:t>on PC</w:t>
      </w:r>
      <w:r w:rsidR="00270A61">
        <w:rPr>
          <w:rFonts w:ascii="Times New Roman" w:hAnsi="Times New Roman" w:cs="Times New Roman"/>
          <w:sz w:val="28"/>
          <w:szCs w:val="28"/>
        </w:rPr>
        <w:t>GDP teacher pay ratios (Mingat 2001, Bruns, Ming</w:t>
      </w:r>
      <w:r w:rsidR="000C0D2B">
        <w:rPr>
          <w:rFonts w:ascii="Times New Roman" w:hAnsi="Times New Roman" w:cs="Times New Roman"/>
          <w:sz w:val="28"/>
          <w:szCs w:val="28"/>
        </w:rPr>
        <w:t>at and Rak</w:t>
      </w:r>
      <w:r w:rsidR="00155D83">
        <w:rPr>
          <w:rFonts w:ascii="Times New Roman" w:hAnsi="Times New Roman" w:cs="Times New Roman"/>
          <w:sz w:val="28"/>
          <w:szCs w:val="28"/>
        </w:rPr>
        <w:t>ota</w:t>
      </w:r>
      <w:r w:rsidR="000C0D2B">
        <w:rPr>
          <w:rFonts w:ascii="Times New Roman" w:hAnsi="Times New Roman" w:cs="Times New Roman"/>
          <w:sz w:val="28"/>
          <w:szCs w:val="28"/>
        </w:rPr>
        <w:t>mala</w:t>
      </w:r>
      <w:r w:rsidR="00155D83">
        <w:rPr>
          <w:rFonts w:ascii="Times New Roman" w:hAnsi="Times New Roman" w:cs="Times New Roman"/>
          <w:sz w:val="28"/>
          <w:szCs w:val="28"/>
        </w:rPr>
        <w:t>la</w:t>
      </w:r>
      <w:r w:rsidR="000C0D2B">
        <w:rPr>
          <w:rFonts w:ascii="Times New Roman" w:hAnsi="Times New Roman" w:cs="Times New Roman"/>
          <w:sz w:val="28"/>
          <w:szCs w:val="28"/>
        </w:rPr>
        <w:t xml:space="preserve"> 2003, and Maj</w:t>
      </w:r>
      <w:r w:rsidR="00270A61">
        <w:rPr>
          <w:rFonts w:ascii="Times New Roman" w:hAnsi="Times New Roman" w:cs="Times New Roman"/>
          <w:sz w:val="28"/>
          <w:szCs w:val="28"/>
        </w:rPr>
        <w:t xml:space="preserve">gaard and Mingat 2011) and </w:t>
      </w:r>
      <w:r>
        <w:rPr>
          <w:rFonts w:ascii="Times New Roman" w:hAnsi="Times New Roman" w:cs="Times New Roman"/>
          <w:sz w:val="28"/>
          <w:szCs w:val="28"/>
        </w:rPr>
        <w:t xml:space="preserve">just </w:t>
      </w:r>
      <w:r w:rsidR="0094529D">
        <w:rPr>
          <w:rFonts w:ascii="Times New Roman" w:hAnsi="Times New Roman" w:cs="Times New Roman"/>
          <w:sz w:val="28"/>
          <w:szCs w:val="28"/>
        </w:rPr>
        <w:t xml:space="preserve">one </w:t>
      </w:r>
      <w:r w:rsidR="00BB3C85">
        <w:rPr>
          <w:rFonts w:ascii="Times New Roman" w:hAnsi="Times New Roman" w:cs="Times New Roman"/>
          <w:sz w:val="28"/>
          <w:szCs w:val="28"/>
        </w:rPr>
        <w:t xml:space="preserve">paper </w:t>
      </w:r>
      <w:r w:rsidR="00270A61">
        <w:rPr>
          <w:rFonts w:ascii="Times New Roman" w:hAnsi="Times New Roman" w:cs="Times New Roman"/>
          <w:sz w:val="28"/>
          <w:szCs w:val="28"/>
        </w:rPr>
        <w:t xml:space="preserve">on occupational pay differentials </w:t>
      </w:r>
      <w:r>
        <w:rPr>
          <w:rFonts w:ascii="Times New Roman" w:hAnsi="Times New Roman" w:cs="Times New Roman"/>
          <w:sz w:val="28"/>
          <w:szCs w:val="28"/>
        </w:rPr>
        <w:t>(</w:t>
      </w:r>
      <w:r w:rsidR="00270A61">
        <w:rPr>
          <w:rFonts w:ascii="Times New Roman" w:hAnsi="Times New Roman" w:cs="Times New Roman"/>
          <w:sz w:val="28"/>
          <w:szCs w:val="28"/>
        </w:rPr>
        <w:t>Evans</w:t>
      </w:r>
      <w:r>
        <w:rPr>
          <w:rFonts w:ascii="Times New Roman" w:hAnsi="Times New Roman" w:cs="Times New Roman"/>
          <w:sz w:val="28"/>
          <w:szCs w:val="28"/>
        </w:rPr>
        <w:t xml:space="preserve">, Yuan and Filmer </w:t>
      </w:r>
      <w:r w:rsidR="007C6D75">
        <w:rPr>
          <w:rFonts w:ascii="Times New Roman" w:hAnsi="Times New Roman" w:cs="Times New Roman"/>
          <w:sz w:val="28"/>
          <w:szCs w:val="28"/>
        </w:rPr>
        <w:t>20</w:t>
      </w:r>
      <w:r>
        <w:rPr>
          <w:rFonts w:ascii="Times New Roman" w:hAnsi="Times New Roman" w:cs="Times New Roman"/>
          <w:sz w:val="28"/>
          <w:szCs w:val="28"/>
        </w:rPr>
        <w:t>2</w:t>
      </w:r>
      <w:r w:rsidR="007C6D75">
        <w:rPr>
          <w:rFonts w:ascii="Times New Roman" w:hAnsi="Times New Roman" w:cs="Times New Roman"/>
          <w:sz w:val="28"/>
          <w:szCs w:val="28"/>
        </w:rPr>
        <w:t>0</w:t>
      </w:r>
      <w:r w:rsidR="0094529D">
        <w:rPr>
          <w:rFonts w:ascii="Times New Roman" w:hAnsi="Times New Roman" w:cs="Times New Roman"/>
          <w:sz w:val="28"/>
          <w:szCs w:val="28"/>
        </w:rPr>
        <w:t>)</w:t>
      </w:r>
      <w:r w:rsidR="00270A61">
        <w:rPr>
          <w:rFonts w:ascii="Times New Roman" w:hAnsi="Times New Roman" w:cs="Times New Roman"/>
          <w:sz w:val="28"/>
          <w:szCs w:val="28"/>
        </w:rPr>
        <w:t xml:space="preserve">. </w:t>
      </w:r>
      <w:r w:rsidR="007C6D75">
        <w:rPr>
          <w:rFonts w:ascii="Times New Roman" w:hAnsi="Times New Roman" w:cs="Times New Roman"/>
          <w:sz w:val="28"/>
          <w:szCs w:val="28"/>
        </w:rPr>
        <w:t xml:space="preserve">All four </w:t>
      </w:r>
      <w:r w:rsidR="004E62F4">
        <w:rPr>
          <w:rFonts w:ascii="Times New Roman" w:hAnsi="Times New Roman" w:cs="Times New Roman"/>
          <w:sz w:val="28"/>
          <w:szCs w:val="28"/>
        </w:rPr>
        <w:t xml:space="preserve">publications </w:t>
      </w:r>
      <w:r w:rsidR="007C6D75">
        <w:rPr>
          <w:rFonts w:ascii="Times New Roman" w:hAnsi="Times New Roman" w:cs="Times New Roman"/>
          <w:sz w:val="28"/>
          <w:szCs w:val="28"/>
        </w:rPr>
        <w:t xml:space="preserve">were written by World Bank staff and consultants. </w:t>
      </w:r>
      <w:r w:rsidR="005C3A9B">
        <w:rPr>
          <w:rFonts w:ascii="Times New Roman" w:hAnsi="Times New Roman" w:cs="Times New Roman"/>
          <w:sz w:val="28"/>
          <w:szCs w:val="28"/>
        </w:rPr>
        <w:t>Very</w:t>
      </w:r>
      <w:r w:rsidR="00270A61">
        <w:rPr>
          <w:rFonts w:ascii="Times New Roman" w:hAnsi="Times New Roman" w:cs="Times New Roman"/>
          <w:sz w:val="28"/>
          <w:szCs w:val="28"/>
        </w:rPr>
        <w:t xml:space="preserve"> little independent academic research has been undertaken on this topic</w:t>
      </w:r>
      <w:r w:rsidR="007C6D75">
        <w:rPr>
          <w:rFonts w:ascii="Times New Roman" w:hAnsi="Times New Roman" w:cs="Times New Roman"/>
          <w:sz w:val="28"/>
          <w:szCs w:val="28"/>
        </w:rPr>
        <w:t>, even at the country level</w:t>
      </w:r>
      <w:r w:rsidR="00270A61">
        <w:rPr>
          <w:rFonts w:ascii="Times New Roman" w:hAnsi="Times New Roman" w:cs="Times New Roman"/>
          <w:sz w:val="28"/>
          <w:szCs w:val="28"/>
        </w:rPr>
        <w:t xml:space="preserve">. </w:t>
      </w:r>
      <w:r w:rsidR="007C6D75">
        <w:rPr>
          <w:rFonts w:ascii="Times New Roman" w:hAnsi="Times New Roman" w:cs="Times New Roman"/>
          <w:sz w:val="28"/>
          <w:szCs w:val="28"/>
        </w:rPr>
        <w:t xml:space="preserve">Research by Barton, Bold and Sandefur </w:t>
      </w:r>
      <w:r w:rsidR="00270A61">
        <w:rPr>
          <w:rFonts w:ascii="Times New Roman" w:hAnsi="Times New Roman" w:cs="Times New Roman"/>
          <w:sz w:val="28"/>
          <w:szCs w:val="28"/>
        </w:rPr>
        <w:t xml:space="preserve">on ‘teacher premia’ in Kenya is a notable exception.  </w:t>
      </w:r>
    </w:p>
    <w:p w:rsidR="0015679A" w:rsidRDefault="0015679A" w:rsidP="00B461C6">
      <w:pPr>
        <w:jc w:val="both"/>
        <w:rPr>
          <w:rFonts w:ascii="Times New Roman" w:hAnsi="Times New Roman" w:cs="Times New Roman"/>
          <w:sz w:val="28"/>
          <w:szCs w:val="28"/>
        </w:rPr>
      </w:pPr>
      <w:r>
        <w:rPr>
          <w:rFonts w:ascii="Times New Roman" w:hAnsi="Times New Roman" w:cs="Times New Roman"/>
          <w:sz w:val="28"/>
          <w:szCs w:val="28"/>
        </w:rPr>
        <w:t>Any robust, detailed analysis of occupational pay is complex</w:t>
      </w:r>
      <w:r w:rsidR="004A168E">
        <w:rPr>
          <w:rFonts w:ascii="Times New Roman" w:hAnsi="Times New Roman" w:cs="Times New Roman"/>
          <w:sz w:val="28"/>
          <w:szCs w:val="28"/>
        </w:rPr>
        <w:t xml:space="preserve"> and demanding, both theoretically and empirically. Teachers are no exception. Ideally, pay surveys should b</w:t>
      </w:r>
      <w:r w:rsidR="00155D83">
        <w:rPr>
          <w:rFonts w:ascii="Times New Roman" w:hAnsi="Times New Roman" w:cs="Times New Roman"/>
          <w:sz w:val="28"/>
          <w:szCs w:val="28"/>
        </w:rPr>
        <w:t>e based on large samples of tightly</w:t>
      </w:r>
      <w:r w:rsidR="004A168E">
        <w:rPr>
          <w:rFonts w:ascii="Times New Roman" w:hAnsi="Times New Roman" w:cs="Times New Roman"/>
          <w:sz w:val="28"/>
          <w:szCs w:val="28"/>
        </w:rPr>
        <w:t>-defined occupational groups with information on the key personal and employment-related characteristics of each individual surveyed. Unfortunately, these surveys are not available in SSA. For the purposes of this preliminary</w:t>
      </w:r>
      <w:r w:rsidR="005C3A9B">
        <w:rPr>
          <w:rFonts w:ascii="Times New Roman" w:hAnsi="Times New Roman" w:cs="Times New Roman"/>
          <w:sz w:val="28"/>
          <w:szCs w:val="28"/>
        </w:rPr>
        <w:t xml:space="preserve"> assessment</w:t>
      </w:r>
      <w:r w:rsidR="004A168E">
        <w:rPr>
          <w:rFonts w:ascii="Times New Roman" w:hAnsi="Times New Roman" w:cs="Times New Roman"/>
          <w:sz w:val="28"/>
          <w:szCs w:val="28"/>
        </w:rPr>
        <w:t xml:space="preserve">, there is no alternative, therefore, but to rely on aggregated, secondary data in order to derive mean teacher incomes </w:t>
      </w:r>
      <w:r w:rsidR="004A168E">
        <w:rPr>
          <w:rFonts w:ascii="Times New Roman" w:hAnsi="Times New Roman" w:cs="Times New Roman"/>
          <w:sz w:val="28"/>
          <w:szCs w:val="28"/>
        </w:rPr>
        <w:lastRenderedPageBreak/>
        <w:t xml:space="preserve">for government primary school teachers in as many countries as possible. </w:t>
      </w:r>
      <w:r w:rsidR="00270A61">
        <w:rPr>
          <w:rFonts w:ascii="Times New Roman" w:hAnsi="Times New Roman" w:cs="Times New Roman"/>
          <w:sz w:val="28"/>
          <w:szCs w:val="28"/>
        </w:rPr>
        <w:t xml:space="preserve">No attempt has been made to collect pay </w:t>
      </w:r>
      <w:r w:rsidR="00034505">
        <w:rPr>
          <w:rFonts w:ascii="Times New Roman" w:hAnsi="Times New Roman" w:cs="Times New Roman"/>
          <w:sz w:val="28"/>
          <w:szCs w:val="28"/>
        </w:rPr>
        <w:t xml:space="preserve">data for other comparable </w:t>
      </w:r>
      <w:r w:rsidR="00270A61">
        <w:rPr>
          <w:rFonts w:ascii="Times New Roman" w:hAnsi="Times New Roman" w:cs="Times New Roman"/>
          <w:sz w:val="28"/>
          <w:szCs w:val="28"/>
        </w:rPr>
        <w:t>occupations.</w:t>
      </w:r>
    </w:p>
    <w:p w:rsidR="00983E3A" w:rsidRDefault="00797A20" w:rsidP="00B461C6">
      <w:pPr>
        <w:jc w:val="both"/>
        <w:rPr>
          <w:rFonts w:ascii="Times New Roman" w:hAnsi="Times New Roman" w:cs="Times New Roman"/>
          <w:i/>
          <w:sz w:val="28"/>
          <w:szCs w:val="28"/>
        </w:rPr>
      </w:pPr>
      <w:r>
        <w:rPr>
          <w:rFonts w:ascii="Times New Roman" w:hAnsi="Times New Roman" w:cs="Times New Roman"/>
          <w:i/>
          <w:sz w:val="28"/>
          <w:szCs w:val="28"/>
        </w:rPr>
        <w:t xml:space="preserve">2.2 </w:t>
      </w:r>
      <w:r w:rsidR="0015679A" w:rsidRPr="007C6D75">
        <w:rPr>
          <w:rFonts w:ascii="Times New Roman" w:hAnsi="Times New Roman" w:cs="Times New Roman"/>
          <w:i/>
          <w:sz w:val="28"/>
          <w:szCs w:val="28"/>
        </w:rPr>
        <w:t>Data collection</w:t>
      </w:r>
      <w:r w:rsidR="00BB3C85">
        <w:rPr>
          <w:rFonts w:ascii="Times New Roman" w:hAnsi="Times New Roman" w:cs="Times New Roman"/>
          <w:i/>
          <w:sz w:val="28"/>
          <w:szCs w:val="28"/>
        </w:rPr>
        <w:t xml:space="preserve"> and reporting</w:t>
      </w:r>
    </w:p>
    <w:p w:rsidR="007B6180" w:rsidRDefault="00983E3A" w:rsidP="00B461C6">
      <w:pPr>
        <w:jc w:val="both"/>
        <w:rPr>
          <w:rFonts w:ascii="Times New Roman" w:hAnsi="Times New Roman" w:cs="Times New Roman"/>
          <w:sz w:val="28"/>
          <w:szCs w:val="28"/>
        </w:rPr>
      </w:pPr>
      <w:r w:rsidRPr="00983E3A">
        <w:rPr>
          <w:rFonts w:ascii="Times New Roman" w:hAnsi="Times New Roman" w:cs="Times New Roman"/>
          <w:sz w:val="28"/>
          <w:szCs w:val="28"/>
        </w:rPr>
        <w:t>I</w:t>
      </w:r>
      <w:r>
        <w:rPr>
          <w:rFonts w:ascii="Times New Roman" w:hAnsi="Times New Roman" w:cs="Times New Roman"/>
          <w:sz w:val="28"/>
          <w:szCs w:val="28"/>
        </w:rPr>
        <w:t xml:space="preserve">nformation on </w:t>
      </w:r>
      <w:r w:rsidRPr="00983E3A">
        <w:rPr>
          <w:rFonts w:ascii="Times New Roman" w:hAnsi="Times New Roman" w:cs="Times New Roman"/>
          <w:sz w:val="28"/>
          <w:szCs w:val="28"/>
        </w:rPr>
        <w:t xml:space="preserve">pay and staffing </w:t>
      </w:r>
      <w:r>
        <w:rPr>
          <w:rFonts w:ascii="Times New Roman" w:hAnsi="Times New Roman" w:cs="Times New Roman"/>
          <w:sz w:val="28"/>
          <w:szCs w:val="28"/>
        </w:rPr>
        <w:t xml:space="preserve">for primary school teachers </w:t>
      </w:r>
      <w:r w:rsidRPr="00983E3A">
        <w:rPr>
          <w:rFonts w:ascii="Times New Roman" w:hAnsi="Times New Roman" w:cs="Times New Roman"/>
          <w:sz w:val="28"/>
          <w:szCs w:val="28"/>
        </w:rPr>
        <w:t>w</w:t>
      </w:r>
      <w:r w:rsidR="00BB3C85">
        <w:rPr>
          <w:rFonts w:ascii="Times New Roman" w:hAnsi="Times New Roman" w:cs="Times New Roman"/>
          <w:sz w:val="28"/>
          <w:szCs w:val="28"/>
        </w:rPr>
        <w:t>as successfully obtained from 36</w:t>
      </w:r>
      <w:r w:rsidRPr="00983E3A">
        <w:rPr>
          <w:rFonts w:ascii="Times New Roman" w:hAnsi="Times New Roman" w:cs="Times New Roman"/>
          <w:sz w:val="28"/>
          <w:szCs w:val="28"/>
        </w:rPr>
        <w:t xml:space="preserve"> out of </w:t>
      </w:r>
      <w:r w:rsidR="001B644D">
        <w:rPr>
          <w:rFonts w:ascii="Times New Roman" w:hAnsi="Times New Roman" w:cs="Times New Roman"/>
          <w:sz w:val="28"/>
          <w:szCs w:val="28"/>
        </w:rPr>
        <w:t>the 42</w:t>
      </w:r>
      <w:r w:rsidRPr="00983E3A">
        <w:rPr>
          <w:rFonts w:ascii="Times New Roman" w:hAnsi="Times New Roman" w:cs="Times New Roman"/>
          <w:sz w:val="28"/>
          <w:szCs w:val="28"/>
        </w:rPr>
        <w:t xml:space="preserve"> mainland countries in SSA</w:t>
      </w:r>
      <w:r w:rsidR="001B644D">
        <w:rPr>
          <w:rFonts w:ascii="Times New Roman" w:hAnsi="Times New Roman" w:cs="Times New Roman"/>
          <w:sz w:val="28"/>
          <w:szCs w:val="28"/>
        </w:rPr>
        <w:t xml:space="preserve"> included in this review</w:t>
      </w:r>
      <w:r w:rsidR="00A923FC">
        <w:rPr>
          <w:rStyle w:val="FootnoteReference"/>
          <w:rFonts w:ascii="Times New Roman" w:hAnsi="Times New Roman" w:cs="Times New Roman"/>
          <w:sz w:val="28"/>
          <w:szCs w:val="28"/>
        </w:rPr>
        <w:footnoteReference w:id="2"/>
      </w:r>
      <w:r w:rsidRPr="00983E3A">
        <w:rPr>
          <w:rFonts w:ascii="Times New Roman" w:hAnsi="Times New Roman" w:cs="Times New Roman"/>
          <w:sz w:val="28"/>
          <w:szCs w:val="28"/>
        </w:rPr>
        <w:t xml:space="preserve">. </w:t>
      </w:r>
      <w:r>
        <w:rPr>
          <w:rFonts w:ascii="Times New Roman" w:hAnsi="Times New Roman" w:cs="Times New Roman"/>
          <w:sz w:val="28"/>
          <w:szCs w:val="28"/>
        </w:rPr>
        <w:t xml:space="preserve">For all but </w:t>
      </w:r>
      <w:r w:rsidR="00BB3C85">
        <w:rPr>
          <w:rFonts w:ascii="Times New Roman" w:hAnsi="Times New Roman" w:cs="Times New Roman"/>
          <w:sz w:val="28"/>
          <w:szCs w:val="28"/>
        </w:rPr>
        <w:t xml:space="preserve">five </w:t>
      </w:r>
      <w:r>
        <w:rPr>
          <w:rFonts w:ascii="Times New Roman" w:hAnsi="Times New Roman" w:cs="Times New Roman"/>
          <w:sz w:val="28"/>
          <w:szCs w:val="28"/>
        </w:rPr>
        <w:t>of these countries</w:t>
      </w:r>
      <w:r w:rsidR="00BB3C85">
        <w:rPr>
          <w:rStyle w:val="FootnoteReference"/>
          <w:rFonts w:ascii="Times New Roman" w:hAnsi="Times New Roman" w:cs="Times New Roman"/>
          <w:sz w:val="28"/>
          <w:szCs w:val="28"/>
        </w:rPr>
        <w:footnoteReference w:id="3"/>
      </w:r>
      <w:r>
        <w:rPr>
          <w:rFonts w:ascii="Times New Roman" w:hAnsi="Times New Roman" w:cs="Times New Roman"/>
          <w:sz w:val="28"/>
          <w:szCs w:val="28"/>
        </w:rPr>
        <w:t>, this information cover</w:t>
      </w:r>
      <w:r w:rsidR="005C3A9B">
        <w:rPr>
          <w:rFonts w:ascii="Times New Roman" w:hAnsi="Times New Roman" w:cs="Times New Roman"/>
          <w:sz w:val="28"/>
          <w:szCs w:val="28"/>
        </w:rPr>
        <w:t>s</w:t>
      </w:r>
      <w:r>
        <w:rPr>
          <w:rFonts w:ascii="Times New Roman" w:hAnsi="Times New Roman" w:cs="Times New Roman"/>
          <w:sz w:val="28"/>
          <w:szCs w:val="28"/>
        </w:rPr>
        <w:t xml:space="preserve"> the </w:t>
      </w:r>
      <w:r w:rsidR="0094529D">
        <w:rPr>
          <w:rFonts w:ascii="Times New Roman" w:hAnsi="Times New Roman" w:cs="Times New Roman"/>
          <w:sz w:val="28"/>
          <w:szCs w:val="28"/>
        </w:rPr>
        <w:t>period 2016-2020</w:t>
      </w:r>
      <w:r>
        <w:rPr>
          <w:rFonts w:ascii="Times New Roman" w:hAnsi="Times New Roman" w:cs="Times New Roman"/>
          <w:sz w:val="28"/>
          <w:szCs w:val="28"/>
        </w:rPr>
        <w:t xml:space="preserve">. Mean annual salaries could be calculated with a </w:t>
      </w:r>
      <w:r w:rsidR="0094529D">
        <w:rPr>
          <w:rFonts w:ascii="Times New Roman" w:hAnsi="Times New Roman" w:cs="Times New Roman"/>
          <w:sz w:val="28"/>
          <w:szCs w:val="28"/>
        </w:rPr>
        <w:t xml:space="preserve">reasonable </w:t>
      </w:r>
      <w:r>
        <w:rPr>
          <w:rFonts w:ascii="Times New Roman" w:hAnsi="Times New Roman" w:cs="Times New Roman"/>
          <w:sz w:val="28"/>
          <w:szCs w:val="28"/>
        </w:rPr>
        <w:t>degree of accuracy in those countries where Education Sector Analysis and Education Public Expenditure</w:t>
      </w:r>
      <w:r w:rsidR="0049797A">
        <w:rPr>
          <w:rFonts w:ascii="Times New Roman" w:hAnsi="Times New Roman" w:cs="Times New Roman"/>
          <w:sz w:val="28"/>
          <w:szCs w:val="28"/>
        </w:rPr>
        <w:t xml:space="preserve"> </w:t>
      </w:r>
      <w:r>
        <w:rPr>
          <w:rFonts w:ascii="Times New Roman" w:hAnsi="Times New Roman" w:cs="Times New Roman"/>
          <w:sz w:val="28"/>
          <w:szCs w:val="28"/>
        </w:rPr>
        <w:t>reports are available</w:t>
      </w:r>
      <w:r w:rsidR="00182F99">
        <w:rPr>
          <w:rStyle w:val="FootnoteReference"/>
          <w:rFonts w:ascii="Times New Roman" w:hAnsi="Times New Roman" w:cs="Times New Roman"/>
          <w:sz w:val="28"/>
          <w:szCs w:val="28"/>
        </w:rPr>
        <w:footnoteReference w:id="4"/>
      </w:r>
      <w:r>
        <w:rPr>
          <w:rFonts w:ascii="Times New Roman" w:hAnsi="Times New Roman" w:cs="Times New Roman"/>
          <w:sz w:val="28"/>
          <w:szCs w:val="28"/>
        </w:rPr>
        <w:t xml:space="preserve">. </w:t>
      </w:r>
      <w:r w:rsidR="00C20A4B">
        <w:rPr>
          <w:rFonts w:ascii="Times New Roman" w:hAnsi="Times New Roman" w:cs="Times New Roman"/>
          <w:sz w:val="28"/>
          <w:szCs w:val="28"/>
        </w:rPr>
        <w:t xml:space="preserve">For the </w:t>
      </w:r>
      <w:r w:rsidR="001B644D">
        <w:rPr>
          <w:rFonts w:ascii="Times New Roman" w:hAnsi="Times New Roman" w:cs="Times New Roman"/>
          <w:sz w:val="28"/>
          <w:szCs w:val="28"/>
        </w:rPr>
        <w:t>14</w:t>
      </w:r>
      <w:r w:rsidR="00C20A4B">
        <w:rPr>
          <w:rFonts w:ascii="Times New Roman" w:hAnsi="Times New Roman" w:cs="Times New Roman"/>
          <w:sz w:val="28"/>
          <w:szCs w:val="28"/>
        </w:rPr>
        <w:t xml:space="preserve"> countries</w:t>
      </w:r>
      <w:r w:rsidR="001B644D">
        <w:rPr>
          <w:rStyle w:val="FootnoteReference"/>
          <w:rFonts w:ascii="Times New Roman" w:hAnsi="Times New Roman" w:cs="Times New Roman"/>
          <w:sz w:val="28"/>
          <w:szCs w:val="28"/>
        </w:rPr>
        <w:footnoteReference w:id="5"/>
      </w:r>
      <w:r w:rsidR="00C20A4B">
        <w:rPr>
          <w:rFonts w:ascii="Times New Roman" w:hAnsi="Times New Roman" w:cs="Times New Roman"/>
          <w:sz w:val="28"/>
          <w:szCs w:val="28"/>
        </w:rPr>
        <w:t xml:space="preserve"> w</w:t>
      </w:r>
      <w:r w:rsidR="00FC7E77">
        <w:rPr>
          <w:rFonts w:ascii="Times New Roman" w:hAnsi="Times New Roman" w:cs="Times New Roman"/>
          <w:sz w:val="28"/>
          <w:szCs w:val="28"/>
        </w:rPr>
        <w:t xml:space="preserve">here this information could not be obtained, mean incomes were estimated by taking the mid-points of current or recent salary scales for teachers which are usually based on qualification-based salary grade levels (unqualified, certificate, diploma and degree) and combining this with staffing information on the numbers of teachers employed in each of these salary grades. The two main shortcomings of this estimation process are (i) mean salaries in each salary grade </w:t>
      </w:r>
      <w:r w:rsidR="00C20A4B">
        <w:rPr>
          <w:rFonts w:ascii="Times New Roman" w:hAnsi="Times New Roman" w:cs="Times New Roman"/>
          <w:sz w:val="28"/>
          <w:szCs w:val="28"/>
        </w:rPr>
        <w:t xml:space="preserve">can be </w:t>
      </w:r>
      <w:r w:rsidR="00AD4258">
        <w:rPr>
          <w:rFonts w:ascii="Times New Roman" w:hAnsi="Times New Roman" w:cs="Times New Roman"/>
          <w:sz w:val="28"/>
          <w:szCs w:val="28"/>
        </w:rPr>
        <w:t>considerably</w:t>
      </w:r>
      <w:r w:rsidR="00FC7E77">
        <w:rPr>
          <w:rFonts w:ascii="Times New Roman" w:hAnsi="Times New Roman" w:cs="Times New Roman"/>
          <w:sz w:val="28"/>
          <w:szCs w:val="28"/>
        </w:rPr>
        <w:t xml:space="preserve"> lower than salary scale midpoints (due mainly to the </w:t>
      </w:r>
      <w:r w:rsidR="00D1517D">
        <w:rPr>
          <w:rFonts w:ascii="Times New Roman" w:hAnsi="Times New Roman" w:cs="Times New Roman"/>
          <w:sz w:val="28"/>
          <w:szCs w:val="28"/>
        </w:rPr>
        <w:t xml:space="preserve">relatively young </w:t>
      </w:r>
      <w:r w:rsidR="00C20A4B">
        <w:rPr>
          <w:rFonts w:ascii="Times New Roman" w:hAnsi="Times New Roman" w:cs="Times New Roman"/>
          <w:sz w:val="28"/>
          <w:szCs w:val="28"/>
        </w:rPr>
        <w:t xml:space="preserve">age profiles </w:t>
      </w:r>
      <w:r w:rsidR="00D1517D">
        <w:rPr>
          <w:rFonts w:ascii="Times New Roman" w:hAnsi="Times New Roman" w:cs="Times New Roman"/>
          <w:sz w:val="28"/>
          <w:szCs w:val="28"/>
        </w:rPr>
        <w:t>of teacher workforces and various constraints on salary progression within each scale); and (ii) it does not include additional allowances most notably for transport, housing, shortage subjects and remote locations. The relative importance of these allowances varies considerably from as high as one-third of basic salary (in, for example, Kenya) to virtually nothing (especially where salary reforms have led to the consolidation of precious allowances into the basic salary).</w:t>
      </w:r>
      <w:r w:rsidR="00AD4258">
        <w:rPr>
          <w:rFonts w:ascii="Times New Roman" w:hAnsi="Times New Roman" w:cs="Times New Roman"/>
          <w:sz w:val="28"/>
          <w:szCs w:val="28"/>
        </w:rPr>
        <w:t xml:space="preserve"> Given these data limitations, it is important to stress that the findings </w:t>
      </w:r>
      <w:r w:rsidR="007B6180">
        <w:rPr>
          <w:rFonts w:ascii="Times New Roman" w:hAnsi="Times New Roman" w:cs="Times New Roman"/>
          <w:sz w:val="28"/>
          <w:szCs w:val="28"/>
        </w:rPr>
        <w:t>presented in this review</w:t>
      </w:r>
      <w:r w:rsidR="00AD4258">
        <w:rPr>
          <w:rFonts w:ascii="Times New Roman" w:hAnsi="Times New Roman" w:cs="Times New Roman"/>
          <w:sz w:val="28"/>
          <w:szCs w:val="28"/>
        </w:rPr>
        <w:t xml:space="preserve"> should be </w:t>
      </w:r>
      <w:r w:rsidR="00C20A4B">
        <w:rPr>
          <w:rFonts w:ascii="Times New Roman" w:hAnsi="Times New Roman" w:cs="Times New Roman"/>
          <w:sz w:val="28"/>
          <w:szCs w:val="28"/>
        </w:rPr>
        <w:t xml:space="preserve">regarded as </w:t>
      </w:r>
      <w:r w:rsidR="006747A8">
        <w:rPr>
          <w:rFonts w:ascii="Times New Roman" w:hAnsi="Times New Roman" w:cs="Times New Roman"/>
          <w:sz w:val="28"/>
          <w:szCs w:val="28"/>
        </w:rPr>
        <w:t xml:space="preserve">only </w:t>
      </w:r>
      <w:r w:rsidR="00C20A4B">
        <w:rPr>
          <w:rFonts w:ascii="Times New Roman" w:hAnsi="Times New Roman" w:cs="Times New Roman"/>
          <w:sz w:val="28"/>
          <w:szCs w:val="28"/>
        </w:rPr>
        <w:t>preliminary</w:t>
      </w:r>
      <w:r w:rsidR="00A923FC">
        <w:rPr>
          <w:rFonts w:ascii="Times New Roman" w:hAnsi="Times New Roman" w:cs="Times New Roman"/>
          <w:sz w:val="28"/>
          <w:szCs w:val="28"/>
        </w:rPr>
        <w:t xml:space="preserve"> estimates of the mean incomes of primary school teachers in SSA.</w:t>
      </w:r>
    </w:p>
    <w:p w:rsidR="00983E3A" w:rsidRPr="00983E3A" w:rsidRDefault="00BB3C85" w:rsidP="00BB3C85">
      <w:pPr>
        <w:jc w:val="both"/>
        <w:rPr>
          <w:rFonts w:ascii="Times New Roman" w:hAnsi="Times New Roman" w:cs="Times New Roman"/>
          <w:sz w:val="28"/>
          <w:szCs w:val="28"/>
        </w:rPr>
      </w:pPr>
      <w:r>
        <w:rPr>
          <w:rFonts w:ascii="Times New Roman" w:hAnsi="Times New Roman" w:cs="Times New Roman"/>
          <w:sz w:val="28"/>
          <w:szCs w:val="28"/>
        </w:rPr>
        <w:t>In accordance with standard reporting practices, all incomes are expressed in constant 2020 purchasing power parity (PPP) prices in order that teacher pay can be meaningfully compared between countries and over time.</w:t>
      </w:r>
      <w:r w:rsidR="00983E3A">
        <w:rPr>
          <w:rFonts w:ascii="Times New Roman" w:hAnsi="Times New Roman" w:cs="Times New Roman"/>
          <w:sz w:val="28"/>
          <w:szCs w:val="28"/>
        </w:rPr>
        <w:t xml:space="preserve"> </w:t>
      </w:r>
    </w:p>
    <w:p w:rsidR="00797A20" w:rsidRDefault="00C52BBE" w:rsidP="00B461C6">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3843A2" w:rsidRPr="002A577E" w:rsidRDefault="003843A2" w:rsidP="00B461C6">
      <w:pPr>
        <w:jc w:val="both"/>
        <w:rPr>
          <w:rFonts w:ascii="Times New Roman" w:hAnsi="Times New Roman" w:cs="Times New Roman"/>
          <w:b/>
          <w:sz w:val="28"/>
          <w:szCs w:val="28"/>
        </w:rPr>
      </w:pPr>
      <w:r w:rsidRPr="002A577E">
        <w:rPr>
          <w:rFonts w:ascii="Times New Roman" w:hAnsi="Times New Roman" w:cs="Times New Roman"/>
          <w:b/>
          <w:sz w:val="28"/>
          <w:szCs w:val="28"/>
        </w:rPr>
        <w:t xml:space="preserve">3.  The economic context: The </w:t>
      </w:r>
      <w:r w:rsidR="00433F34" w:rsidRPr="002A577E">
        <w:rPr>
          <w:rFonts w:ascii="Times New Roman" w:hAnsi="Times New Roman" w:cs="Times New Roman"/>
          <w:b/>
          <w:sz w:val="28"/>
          <w:szCs w:val="28"/>
        </w:rPr>
        <w:t xml:space="preserve">GDP per capita </w:t>
      </w:r>
      <w:r w:rsidR="0049797A">
        <w:rPr>
          <w:rFonts w:ascii="Times New Roman" w:hAnsi="Times New Roman" w:cs="Times New Roman"/>
          <w:b/>
          <w:sz w:val="28"/>
          <w:szCs w:val="28"/>
        </w:rPr>
        <w:t>teacher pay</w:t>
      </w:r>
      <w:r w:rsidR="00433F34" w:rsidRPr="002A577E">
        <w:rPr>
          <w:rFonts w:ascii="Times New Roman" w:hAnsi="Times New Roman" w:cs="Times New Roman"/>
          <w:b/>
          <w:sz w:val="28"/>
          <w:szCs w:val="28"/>
        </w:rPr>
        <w:t xml:space="preserve"> ratio</w:t>
      </w:r>
    </w:p>
    <w:p w:rsidR="00C52BBE" w:rsidRPr="004E2913" w:rsidRDefault="00433F34" w:rsidP="00C52BBE">
      <w:pPr>
        <w:jc w:val="both"/>
        <w:rPr>
          <w:rFonts w:ascii="Times New Roman" w:hAnsi="Times New Roman" w:cs="Times New Roman"/>
          <w:sz w:val="28"/>
          <w:szCs w:val="28"/>
        </w:rPr>
      </w:pPr>
      <w:r>
        <w:rPr>
          <w:rFonts w:ascii="Times New Roman" w:hAnsi="Times New Roman" w:cs="Times New Roman"/>
          <w:sz w:val="28"/>
          <w:szCs w:val="28"/>
        </w:rPr>
        <w:t>As noted earlier, from the early 2000s, t</w:t>
      </w:r>
      <w:r w:rsidR="003843A2" w:rsidRPr="00B461C6">
        <w:rPr>
          <w:rFonts w:ascii="Times New Roman" w:hAnsi="Times New Roman" w:cs="Times New Roman"/>
          <w:sz w:val="28"/>
          <w:szCs w:val="28"/>
        </w:rPr>
        <w:t xml:space="preserve">he key </w:t>
      </w:r>
      <w:r w:rsidR="009A710E">
        <w:rPr>
          <w:rFonts w:ascii="Times New Roman" w:hAnsi="Times New Roman" w:cs="Times New Roman"/>
          <w:sz w:val="28"/>
          <w:szCs w:val="28"/>
        </w:rPr>
        <w:t xml:space="preserve">pay </w:t>
      </w:r>
      <w:r w:rsidR="003843A2" w:rsidRPr="00B461C6">
        <w:rPr>
          <w:rFonts w:ascii="Times New Roman" w:hAnsi="Times New Roman" w:cs="Times New Roman"/>
          <w:sz w:val="28"/>
          <w:szCs w:val="28"/>
        </w:rPr>
        <w:t xml:space="preserve">indicator </w:t>
      </w:r>
      <w:r w:rsidR="009A710E">
        <w:rPr>
          <w:rFonts w:ascii="Times New Roman" w:hAnsi="Times New Roman" w:cs="Times New Roman"/>
          <w:sz w:val="28"/>
          <w:szCs w:val="28"/>
        </w:rPr>
        <w:t xml:space="preserve">was </w:t>
      </w:r>
      <w:r>
        <w:rPr>
          <w:rFonts w:ascii="Times New Roman" w:hAnsi="Times New Roman" w:cs="Times New Roman"/>
          <w:sz w:val="28"/>
          <w:szCs w:val="28"/>
        </w:rPr>
        <w:t xml:space="preserve">the </w:t>
      </w:r>
      <w:r w:rsidR="002A577E">
        <w:rPr>
          <w:rFonts w:ascii="Times New Roman" w:hAnsi="Times New Roman" w:cs="Times New Roman"/>
          <w:sz w:val="28"/>
          <w:szCs w:val="28"/>
        </w:rPr>
        <w:t xml:space="preserve">ratio </w:t>
      </w:r>
      <w:r w:rsidR="003843A2" w:rsidRPr="00B461C6">
        <w:rPr>
          <w:rFonts w:ascii="Times New Roman" w:hAnsi="Times New Roman" w:cs="Times New Roman"/>
          <w:sz w:val="28"/>
          <w:szCs w:val="28"/>
        </w:rPr>
        <w:t xml:space="preserve">of </w:t>
      </w:r>
      <w:r w:rsidR="002A577E">
        <w:rPr>
          <w:rFonts w:ascii="Times New Roman" w:hAnsi="Times New Roman" w:cs="Times New Roman"/>
          <w:sz w:val="28"/>
          <w:szCs w:val="28"/>
        </w:rPr>
        <w:t xml:space="preserve">mean </w:t>
      </w:r>
      <w:r w:rsidR="00360B72">
        <w:rPr>
          <w:rFonts w:ascii="Times New Roman" w:hAnsi="Times New Roman" w:cs="Times New Roman"/>
          <w:sz w:val="28"/>
          <w:szCs w:val="28"/>
        </w:rPr>
        <w:t>teacher pay</w:t>
      </w:r>
      <w:r w:rsidR="003843A2" w:rsidRPr="00B461C6">
        <w:rPr>
          <w:rFonts w:ascii="Times New Roman" w:hAnsi="Times New Roman" w:cs="Times New Roman"/>
          <w:sz w:val="28"/>
          <w:szCs w:val="28"/>
        </w:rPr>
        <w:t xml:space="preserve"> </w:t>
      </w:r>
      <w:r w:rsidR="002A577E">
        <w:rPr>
          <w:rFonts w:ascii="Times New Roman" w:hAnsi="Times New Roman" w:cs="Times New Roman"/>
          <w:sz w:val="28"/>
          <w:szCs w:val="28"/>
        </w:rPr>
        <w:t xml:space="preserve">to </w:t>
      </w:r>
      <w:r w:rsidR="007B3E2B">
        <w:rPr>
          <w:rFonts w:ascii="Times New Roman" w:hAnsi="Times New Roman" w:cs="Times New Roman"/>
          <w:sz w:val="28"/>
          <w:szCs w:val="28"/>
        </w:rPr>
        <w:t>PC</w:t>
      </w:r>
      <w:r w:rsidR="007B6180">
        <w:rPr>
          <w:rFonts w:ascii="Times New Roman" w:hAnsi="Times New Roman" w:cs="Times New Roman"/>
          <w:sz w:val="28"/>
          <w:szCs w:val="28"/>
        </w:rPr>
        <w:t>GDP</w:t>
      </w:r>
      <w:r w:rsidR="003843A2" w:rsidRPr="00B461C6">
        <w:rPr>
          <w:rFonts w:ascii="Times New Roman" w:hAnsi="Times New Roman" w:cs="Times New Roman"/>
          <w:sz w:val="28"/>
          <w:szCs w:val="28"/>
        </w:rPr>
        <w:t>.</w:t>
      </w:r>
      <w:r w:rsidR="002A577E">
        <w:rPr>
          <w:rFonts w:ascii="Times New Roman" w:hAnsi="Times New Roman" w:cs="Times New Roman"/>
          <w:sz w:val="28"/>
          <w:szCs w:val="28"/>
        </w:rPr>
        <w:t xml:space="preserve"> Thus, teacher pay has been assessed very broadly in relation to the overall economic development context of groups of countries.</w:t>
      </w:r>
      <w:r w:rsidR="00C52BBE">
        <w:rPr>
          <w:rFonts w:ascii="Times New Roman" w:hAnsi="Times New Roman" w:cs="Times New Roman"/>
          <w:sz w:val="28"/>
          <w:szCs w:val="28"/>
        </w:rPr>
        <w:t xml:space="preserve"> </w:t>
      </w:r>
      <w:r w:rsidR="007B6180">
        <w:rPr>
          <w:rFonts w:ascii="Times New Roman" w:hAnsi="Times New Roman" w:cs="Times New Roman"/>
          <w:sz w:val="28"/>
          <w:szCs w:val="28"/>
        </w:rPr>
        <w:t xml:space="preserve">The </w:t>
      </w:r>
      <w:r w:rsidR="00360B72">
        <w:rPr>
          <w:rFonts w:ascii="Times New Roman" w:hAnsi="Times New Roman" w:cs="Times New Roman"/>
          <w:sz w:val="28"/>
          <w:szCs w:val="28"/>
        </w:rPr>
        <w:t xml:space="preserve">critical </w:t>
      </w:r>
      <w:r w:rsidR="007B6180">
        <w:rPr>
          <w:rFonts w:ascii="Times New Roman" w:hAnsi="Times New Roman" w:cs="Times New Roman"/>
          <w:sz w:val="28"/>
          <w:szCs w:val="28"/>
        </w:rPr>
        <w:t xml:space="preserve">underlying assumption is </w:t>
      </w:r>
      <w:r w:rsidR="00C52BBE" w:rsidRPr="004E2913">
        <w:rPr>
          <w:rFonts w:ascii="Times New Roman" w:hAnsi="Times New Roman" w:cs="Times New Roman"/>
          <w:sz w:val="28"/>
          <w:szCs w:val="28"/>
        </w:rPr>
        <w:t xml:space="preserve">that ‘dividing </w:t>
      </w:r>
      <w:r w:rsidR="009A0615">
        <w:rPr>
          <w:rFonts w:ascii="Times New Roman" w:hAnsi="Times New Roman" w:cs="Times New Roman"/>
          <w:sz w:val="28"/>
          <w:szCs w:val="28"/>
        </w:rPr>
        <w:t xml:space="preserve">(pay) </w:t>
      </w:r>
      <w:r w:rsidR="00C52BBE" w:rsidRPr="004E2913">
        <w:rPr>
          <w:rFonts w:ascii="Times New Roman" w:hAnsi="Times New Roman" w:cs="Times New Roman"/>
          <w:sz w:val="28"/>
          <w:szCs w:val="28"/>
        </w:rPr>
        <w:t>by per capita GDP is a rough and ready way to put salaries in context’ (Sandefur 2018:</w:t>
      </w:r>
      <w:r w:rsidR="006A321E">
        <w:rPr>
          <w:rFonts w:ascii="Times New Roman" w:hAnsi="Times New Roman" w:cs="Times New Roman"/>
          <w:sz w:val="28"/>
          <w:szCs w:val="28"/>
        </w:rPr>
        <w:t xml:space="preserve"> </w:t>
      </w:r>
      <w:r w:rsidR="00C52BBE" w:rsidRPr="004E2913">
        <w:rPr>
          <w:rFonts w:ascii="Times New Roman" w:hAnsi="Times New Roman" w:cs="Times New Roman"/>
          <w:sz w:val="28"/>
          <w:szCs w:val="28"/>
        </w:rPr>
        <w:t>np)</w:t>
      </w:r>
    </w:p>
    <w:p w:rsidR="002D5990" w:rsidRDefault="007B6180" w:rsidP="00B461C6">
      <w:pPr>
        <w:jc w:val="both"/>
        <w:rPr>
          <w:rFonts w:ascii="Times New Roman" w:hAnsi="Times New Roman" w:cs="Times New Roman"/>
          <w:sz w:val="28"/>
          <w:szCs w:val="28"/>
        </w:rPr>
      </w:pPr>
      <w:r>
        <w:rPr>
          <w:rFonts w:ascii="Times New Roman" w:hAnsi="Times New Roman" w:cs="Times New Roman"/>
          <w:sz w:val="28"/>
          <w:szCs w:val="28"/>
        </w:rPr>
        <w:t>E</w:t>
      </w:r>
      <w:r w:rsidR="002A577E">
        <w:rPr>
          <w:rFonts w:ascii="Times New Roman" w:hAnsi="Times New Roman" w:cs="Times New Roman"/>
          <w:sz w:val="28"/>
          <w:szCs w:val="28"/>
        </w:rPr>
        <w:t>arl</w:t>
      </w:r>
      <w:r w:rsidR="009A0615">
        <w:rPr>
          <w:rFonts w:ascii="Times New Roman" w:hAnsi="Times New Roman" w:cs="Times New Roman"/>
          <w:sz w:val="28"/>
          <w:szCs w:val="28"/>
        </w:rPr>
        <w:t xml:space="preserve">ier </w:t>
      </w:r>
      <w:r w:rsidR="002A577E">
        <w:rPr>
          <w:rFonts w:ascii="Times New Roman" w:hAnsi="Times New Roman" w:cs="Times New Roman"/>
          <w:sz w:val="28"/>
          <w:szCs w:val="28"/>
        </w:rPr>
        <w:t>reviews of teacher pay in SSA and other developing countries</w:t>
      </w:r>
      <w:r w:rsidR="009A0615">
        <w:rPr>
          <w:rFonts w:ascii="Times New Roman" w:hAnsi="Times New Roman" w:cs="Times New Roman"/>
          <w:sz w:val="28"/>
          <w:szCs w:val="28"/>
        </w:rPr>
        <w:t xml:space="preserve"> during the 1980s and 1990s</w:t>
      </w:r>
      <w:r w:rsidR="002A577E">
        <w:rPr>
          <w:rFonts w:ascii="Times New Roman" w:hAnsi="Times New Roman" w:cs="Times New Roman"/>
          <w:sz w:val="28"/>
          <w:szCs w:val="28"/>
        </w:rPr>
        <w:t xml:space="preserve"> </w:t>
      </w:r>
      <w:r>
        <w:rPr>
          <w:rFonts w:ascii="Times New Roman" w:hAnsi="Times New Roman" w:cs="Times New Roman"/>
          <w:sz w:val="28"/>
          <w:szCs w:val="28"/>
        </w:rPr>
        <w:t xml:space="preserve">also computed </w:t>
      </w:r>
      <w:r w:rsidR="007B3E2B">
        <w:rPr>
          <w:rFonts w:ascii="Times New Roman" w:hAnsi="Times New Roman" w:cs="Times New Roman"/>
          <w:sz w:val="28"/>
          <w:szCs w:val="28"/>
        </w:rPr>
        <w:t>PC</w:t>
      </w:r>
      <w:r w:rsidR="002A577E">
        <w:rPr>
          <w:rFonts w:ascii="Times New Roman" w:hAnsi="Times New Roman" w:cs="Times New Roman"/>
          <w:sz w:val="28"/>
          <w:szCs w:val="28"/>
        </w:rPr>
        <w:t xml:space="preserve">GDP </w:t>
      </w:r>
      <w:r>
        <w:rPr>
          <w:rFonts w:ascii="Times New Roman" w:hAnsi="Times New Roman" w:cs="Times New Roman"/>
          <w:sz w:val="28"/>
          <w:szCs w:val="28"/>
        </w:rPr>
        <w:t xml:space="preserve">teacher pay </w:t>
      </w:r>
      <w:r w:rsidR="002A577E">
        <w:rPr>
          <w:rFonts w:ascii="Times New Roman" w:hAnsi="Times New Roman" w:cs="Times New Roman"/>
          <w:sz w:val="28"/>
          <w:szCs w:val="28"/>
        </w:rPr>
        <w:t>ratios</w:t>
      </w:r>
      <w:r w:rsidR="00470354">
        <w:rPr>
          <w:rFonts w:ascii="Times New Roman" w:hAnsi="Times New Roman" w:cs="Times New Roman"/>
          <w:sz w:val="28"/>
          <w:szCs w:val="28"/>
        </w:rPr>
        <w:t xml:space="preserve"> (see Zyleman and DeStefano </w:t>
      </w:r>
      <w:r>
        <w:rPr>
          <w:rFonts w:ascii="Times New Roman" w:hAnsi="Times New Roman" w:cs="Times New Roman"/>
          <w:sz w:val="28"/>
          <w:szCs w:val="28"/>
        </w:rPr>
        <w:t>1989 and Fa</w:t>
      </w:r>
      <w:r w:rsidR="006A321E">
        <w:rPr>
          <w:rFonts w:ascii="Times New Roman" w:hAnsi="Times New Roman" w:cs="Times New Roman"/>
          <w:sz w:val="28"/>
          <w:szCs w:val="28"/>
        </w:rPr>
        <w:t>r</w:t>
      </w:r>
      <w:r w:rsidR="00470354">
        <w:rPr>
          <w:rFonts w:ascii="Times New Roman" w:hAnsi="Times New Roman" w:cs="Times New Roman"/>
          <w:sz w:val="28"/>
          <w:szCs w:val="28"/>
        </w:rPr>
        <w:t>rell 1993</w:t>
      </w:r>
      <w:r>
        <w:rPr>
          <w:rFonts w:ascii="Times New Roman" w:hAnsi="Times New Roman" w:cs="Times New Roman"/>
          <w:sz w:val="28"/>
          <w:szCs w:val="28"/>
        </w:rPr>
        <w:t xml:space="preserve">). However, it </w:t>
      </w:r>
      <w:r w:rsidR="00360B72">
        <w:rPr>
          <w:rFonts w:ascii="Times New Roman" w:hAnsi="Times New Roman" w:cs="Times New Roman"/>
          <w:sz w:val="28"/>
          <w:szCs w:val="28"/>
        </w:rPr>
        <w:t>was not until the early 2000s when Mingat first</w:t>
      </w:r>
      <w:r w:rsidR="004C4CBD">
        <w:rPr>
          <w:rFonts w:ascii="Times New Roman" w:hAnsi="Times New Roman" w:cs="Times New Roman"/>
          <w:sz w:val="28"/>
          <w:szCs w:val="28"/>
        </w:rPr>
        <w:t xml:space="preserve"> postulated a close link between the level of teacher pay as measured by </w:t>
      </w:r>
      <w:r w:rsidR="007B3E2B">
        <w:rPr>
          <w:rFonts w:ascii="Times New Roman" w:hAnsi="Times New Roman" w:cs="Times New Roman"/>
          <w:sz w:val="28"/>
          <w:szCs w:val="28"/>
        </w:rPr>
        <w:t>PC</w:t>
      </w:r>
      <w:r w:rsidR="004C4CBD">
        <w:rPr>
          <w:rFonts w:ascii="Times New Roman" w:hAnsi="Times New Roman" w:cs="Times New Roman"/>
          <w:sz w:val="28"/>
          <w:szCs w:val="28"/>
        </w:rPr>
        <w:t>GDP and gross enrolment and completion rates in SSA</w:t>
      </w:r>
      <w:r w:rsidR="00360B72">
        <w:rPr>
          <w:rFonts w:ascii="Times New Roman" w:hAnsi="Times New Roman" w:cs="Times New Roman"/>
          <w:sz w:val="28"/>
          <w:szCs w:val="28"/>
        </w:rPr>
        <w:t xml:space="preserve"> that this indicator become widely used</w:t>
      </w:r>
      <w:r w:rsidR="004C4CBD">
        <w:rPr>
          <w:rFonts w:ascii="Times New Roman" w:hAnsi="Times New Roman" w:cs="Times New Roman"/>
          <w:sz w:val="28"/>
          <w:szCs w:val="28"/>
        </w:rPr>
        <w:t xml:space="preserve">.  </w:t>
      </w:r>
      <w:r w:rsidR="002A577E">
        <w:rPr>
          <w:rFonts w:ascii="Times New Roman" w:hAnsi="Times New Roman" w:cs="Times New Roman"/>
          <w:sz w:val="28"/>
          <w:szCs w:val="28"/>
        </w:rPr>
        <w:t xml:space="preserve"> </w:t>
      </w:r>
    </w:p>
    <w:p w:rsidR="004C4CBD" w:rsidRDefault="004C4CBD" w:rsidP="004C4CBD">
      <w:pPr>
        <w:jc w:val="both"/>
        <w:rPr>
          <w:rFonts w:ascii="Times New Roman" w:hAnsi="Times New Roman" w:cs="Times New Roman"/>
          <w:sz w:val="28"/>
          <w:szCs w:val="28"/>
        </w:rPr>
      </w:pPr>
      <w:r>
        <w:rPr>
          <w:rFonts w:ascii="Times New Roman" w:hAnsi="Times New Roman" w:cs="Times New Roman"/>
          <w:sz w:val="28"/>
          <w:szCs w:val="28"/>
        </w:rPr>
        <w:t xml:space="preserve">In </w:t>
      </w:r>
      <w:r w:rsidR="008B0F3C">
        <w:rPr>
          <w:rFonts w:ascii="Times New Roman" w:hAnsi="Times New Roman" w:cs="Times New Roman"/>
          <w:sz w:val="28"/>
          <w:szCs w:val="28"/>
        </w:rPr>
        <w:t>2003</w:t>
      </w:r>
      <w:r w:rsidR="007B3E2B">
        <w:rPr>
          <w:rFonts w:ascii="Times New Roman" w:hAnsi="Times New Roman" w:cs="Times New Roman"/>
          <w:sz w:val="28"/>
          <w:szCs w:val="28"/>
        </w:rPr>
        <w:t>,</w:t>
      </w:r>
      <w:r w:rsidR="008B0F3C">
        <w:rPr>
          <w:rFonts w:ascii="Times New Roman" w:hAnsi="Times New Roman" w:cs="Times New Roman"/>
          <w:sz w:val="28"/>
          <w:szCs w:val="28"/>
        </w:rPr>
        <w:t xml:space="preserve"> the </w:t>
      </w:r>
      <w:r w:rsidR="00931E9C">
        <w:rPr>
          <w:rFonts w:ascii="Times New Roman" w:hAnsi="Times New Roman" w:cs="Times New Roman"/>
          <w:sz w:val="28"/>
          <w:szCs w:val="28"/>
        </w:rPr>
        <w:t xml:space="preserve">World Report </w:t>
      </w:r>
      <w:r w:rsidR="008B0F3C">
        <w:rPr>
          <w:rFonts w:ascii="Times New Roman" w:hAnsi="Times New Roman" w:cs="Times New Roman"/>
          <w:sz w:val="28"/>
          <w:szCs w:val="28"/>
        </w:rPr>
        <w:t xml:space="preserve">published a high profile </w:t>
      </w:r>
      <w:r>
        <w:rPr>
          <w:rFonts w:ascii="Times New Roman" w:hAnsi="Times New Roman" w:cs="Times New Roman"/>
          <w:sz w:val="28"/>
          <w:szCs w:val="28"/>
        </w:rPr>
        <w:t>report</w:t>
      </w:r>
      <w:r w:rsidR="008B0F3C">
        <w:rPr>
          <w:rFonts w:ascii="Times New Roman" w:hAnsi="Times New Roman" w:cs="Times New Roman"/>
          <w:sz w:val="28"/>
          <w:szCs w:val="28"/>
        </w:rPr>
        <w:t xml:space="preserve"> entitled ‘Achieving Universal Primary Education by 2015’. It authors, B</w:t>
      </w:r>
      <w:r>
        <w:rPr>
          <w:rFonts w:ascii="Times New Roman" w:hAnsi="Times New Roman" w:cs="Times New Roman"/>
          <w:sz w:val="28"/>
          <w:szCs w:val="28"/>
        </w:rPr>
        <w:t>runs</w:t>
      </w:r>
      <w:r w:rsidR="00360B72">
        <w:rPr>
          <w:rFonts w:ascii="Times New Roman" w:hAnsi="Times New Roman" w:cs="Times New Roman"/>
          <w:sz w:val="28"/>
          <w:szCs w:val="28"/>
        </w:rPr>
        <w:t>, Mingat</w:t>
      </w:r>
      <w:r w:rsidR="008B0F3C">
        <w:rPr>
          <w:rFonts w:ascii="Times New Roman" w:hAnsi="Times New Roman" w:cs="Times New Roman"/>
          <w:sz w:val="28"/>
          <w:szCs w:val="28"/>
        </w:rPr>
        <w:t xml:space="preserve"> and Rakotomal</w:t>
      </w:r>
      <w:r>
        <w:rPr>
          <w:rFonts w:ascii="Times New Roman" w:hAnsi="Times New Roman" w:cs="Times New Roman"/>
          <w:sz w:val="28"/>
          <w:szCs w:val="28"/>
        </w:rPr>
        <w:t>ala</w:t>
      </w:r>
      <w:r w:rsidR="007B3E2B">
        <w:rPr>
          <w:rFonts w:ascii="Times New Roman" w:hAnsi="Times New Roman" w:cs="Times New Roman"/>
          <w:sz w:val="28"/>
          <w:szCs w:val="28"/>
        </w:rPr>
        <w:t xml:space="preserve"> (BMR)</w:t>
      </w:r>
      <w:r w:rsidR="008B0F3C">
        <w:rPr>
          <w:rFonts w:ascii="Times New Roman" w:hAnsi="Times New Roman" w:cs="Times New Roman"/>
          <w:sz w:val="28"/>
          <w:szCs w:val="28"/>
        </w:rPr>
        <w:t>,</w:t>
      </w:r>
      <w:r>
        <w:rPr>
          <w:rFonts w:ascii="Times New Roman" w:hAnsi="Times New Roman" w:cs="Times New Roman"/>
          <w:sz w:val="28"/>
          <w:szCs w:val="28"/>
        </w:rPr>
        <w:t xml:space="preserve"> adopted a target </w:t>
      </w:r>
      <w:r w:rsidR="007B3E2B">
        <w:rPr>
          <w:rFonts w:ascii="Times New Roman" w:hAnsi="Times New Roman" w:cs="Times New Roman"/>
          <w:sz w:val="28"/>
          <w:szCs w:val="28"/>
        </w:rPr>
        <w:t>PC</w:t>
      </w:r>
      <w:r>
        <w:rPr>
          <w:rFonts w:ascii="Times New Roman" w:hAnsi="Times New Roman" w:cs="Times New Roman"/>
          <w:sz w:val="28"/>
          <w:szCs w:val="28"/>
        </w:rPr>
        <w:t xml:space="preserve">GDP </w:t>
      </w:r>
      <w:r w:rsidR="00360B72">
        <w:rPr>
          <w:rFonts w:ascii="Times New Roman" w:hAnsi="Times New Roman" w:cs="Times New Roman"/>
          <w:sz w:val="28"/>
          <w:szCs w:val="28"/>
        </w:rPr>
        <w:t xml:space="preserve">teacher pay </w:t>
      </w:r>
      <w:r>
        <w:rPr>
          <w:rFonts w:ascii="Times New Roman" w:hAnsi="Times New Roman" w:cs="Times New Roman"/>
          <w:sz w:val="28"/>
          <w:szCs w:val="28"/>
        </w:rPr>
        <w:t xml:space="preserve">ratio of 3.5 as part of their costing simulations for the attainment of UPE in 2015. Their rationale for this target ratio </w:t>
      </w:r>
      <w:r w:rsidR="00092CC9">
        <w:rPr>
          <w:rFonts w:ascii="Times New Roman" w:hAnsi="Times New Roman" w:cs="Times New Roman"/>
          <w:sz w:val="28"/>
          <w:szCs w:val="28"/>
        </w:rPr>
        <w:t>is</w:t>
      </w:r>
      <w:r>
        <w:rPr>
          <w:rFonts w:ascii="Times New Roman" w:hAnsi="Times New Roman" w:cs="Times New Roman"/>
          <w:sz w:val="28"/>
          <w:szCs w:val="28"/>
        </w:rPr>
        <w:t xml:space="preserve"> that ‘it is close to the observed average in the highest-completion countries’ (p.74). </w:t>
      </w:r>
      <w:r w:rsidR="00106074">
        <w:rPr>
          <w:rFonts w:ascii="Times New Roman" w:hAnsi="Times New Roman" w:cs="Times New Roman"/>
          <w:sz w:val="28"/>
          <w:szCs w:val="28"/>
        </w:rPr>
        <w:t>They based their analysis on the categorisation of four groups of countries according to various enrolment, completion and funding crit</w:t>
      </w:r>
      <w:r w:rsidR="007B3E2B">
        <w:rPr>
          <w:rFonts w:ascii="Times New Roman" w:hAnsi="Times New Roman" w:cs="Times New Roman"/>
          <w:sz w:val="28"/>
          <w:szCs w:val="28"/>
        </w:rPr>
        <w:t xml:space="preserve">eria. One of these groups which </w:t>
      </w:r>
      <w:r w:rsidR="00106074">
        <w:rPr>
          <w:rFonts w:ascii="Times New Roman" w:hAnsi="Times New Roman" w:cs="Times New Roman"/>
          <w:sz w:val="28"/>
          <w:szCs w:val="28"/>
        </w:rPr>
        <w:t xml:space="preserve">comprised </w:t>
      </w:r>
      <w:r w:rsidR="007B3E2B">
        <w:rPr>
          <w:rFonts w:ascii="Times New Roman" w:hAnsi="Times New Roman" w:cs="Times New Roman"/>
          <w:sz w:val="28"/>
          <w:szCs w:val="28"/>
        </w:rPr>
        <w:t xml:space="preserve">mainly </w:t>
      </w:r>
      <w:r w:rsidR="00106074">
        <w:rPr>
          <w:rFonts w:ascii="Times New Roman" w:hAnsi="Times New Roman" w:cs="Times New Roman"/>
          <w:sz w:val="28"/>
          <w:szCs w:val="28"/>
        </w:rPr>
        <w:t xml:space="preserve">of </w:t>
      </w:r>
      <w:r w:rsidR="007B3E2B">
        <w:rPr>
          <w:rFonts w:ascii="Times New Roman" w:hAnsi="Times New Roman" w:cs="Times New Roman"/>
          <w:sz w:val="28"/>
          <w:szCs w:val="28"/>
        </w:rPr>
        <w:t xml:space="preserve">countries in </w:t>
      </w:r>
      <w:r w:rsidR="00106074">
        <w:rPr>
          <w:rFonts w:ascii="Times New Roman" w:hAnsi="Times New Roman" w:cs="Times New Roman"/>
          <w:sz w:val="28"/>
          <w:szCs w:val="28"/>
        </w:rPr>
        <w:t>Francophone West Africa</w:t>
      </w:r>
      <w:r w:rsidR="007B3E2B">
        <w:rPr>
          <w:rFonts w:ascii="Times New Roman" w:hAnsi="Times New Roman" w:cs="Times New Roman"/>
          <w:sz w:val="28"/>
          <w:szCs w:val="28"/>
        </w:rPr>
        <w:t xml:space="preserve"> </w:t>
      </w:r>
      <w:r w:rsidR="00092CC9">
        <w:rPr>
          <w:rFonts w:ascii="Times New Roman" w:hAnsi="Times New Roman" w:cs="Times New Roman"/>
          <w:sz w:val="28"/>
          <w:szCs w:val="28"/>
        </w:rPr>
        <w:t>h</w:t>
      </w:r>
      <w:r w:rsidR="00106074">
        <w:rPr>
          <w:rFonts w:ascii="Times New Roman" w:hAnsi="Times New Roman" w:cs="Times New Roman"/>
          <w:sz w:val="28"/>
          <w:szCs w:val="28"/>
        </w:rPr>
        <w:t xml:space="preserve">ad particularly high salary </w:t>
      </w:r>
      <w:r w:rsidR="007B3E2B">
        <w:rPr>
          <w:rFonts w:ascii="Times New Roman" w:hAnsi="Times New Roman" w:cs="Times New Roman"/>
          <w:sz w:val="28"/>
          <w:szCs w:val="28"/>
        </w:rPr>
        <w:t>PC</w:t>
      </w:r>
      <w:r w:rsidR="00106074">
        <w:rPr>
          <w:rFonts w:ascii="Times New Roman" w:hAnsi="Times New Roman" w:cs="Times New Roman"/>
          <w:sz w:val="28"/>
          <w:szCs w:val="28"/>
        </w:rPr>
        <w:t xml:space="preserve">GDP ratios. Although never explicitly stated, a </w:t>
      </w:r>
      <w:r w:rsidR="0049797A">
        <w:rPr>
          <w:rFonts w:ascii="Times New Roman" w:hAnsi="Times New Roman" w:cs="Times New Roman"/>
          <w:sz w:val="28"/>
          <w:szCs w:val="28"/>
        </w:rPr>
        <w:t xml:space="preserve">clear </w:t>
      </w:r>
      <w:r w:rsidR="00106074">
        <w:rPr>
          <w:rFonts w:ascii="Times New Roman" w:hAnsi="Times New Roman" w:cs="Times New Roman"/>
          <w:sz w:val="28"/>
          <w:szCs w:val="28"/>
        </w:rPr>
        <w:t>link was made between th</w:t>
      </w:r>
      <w:r w:rsidR="007B3E2B">
        <w:rPr>
          <w:rFonts w:ascii="Times New Roman" w:hAnsi="Times New Roman" w:cs="Times New Roman"/>
          <w:sz w:val="28"/>
          <w:szCs w:val="28"/>
        </w:rPr>
        <w:t xml:space="preserve">e </w:t>
      </w:r>
      <w:r w:rsidR="00EC4625">
        <w:rPr>
          <w:rFonts w:ascii="Times New Roman" w:hAnsi="Times New Roman" w:cs="Times New Roman"/>
          <w:sz w:val="28"/>
          <w:szCs w:val="28"/>
        </w:rPr>
        <w:t>size</w:t>
      </w:r>
      <w:r w:rsidR="007B3E2B">
        <w:rPr>
          <w:rFonts w:ascii="Times New Roman" w:hAnsi="Times New Roman" w:cs="Times New Roman"/>
          <w:sz w:val="28"/>
          <w:szCs w:val="28"/>
        </w:rPr>
        <w:t xml:space="preserve"> of salary-PCGDP</w:t>
      </w:r>
      <w:r w:rsidR="00106074">
        <w:rPr>
          <w:rFonts w:ascii="Times New Roman" w:hAnsi="Times New Roman" w:cs="Times New Roman"/>
          <w:sz w:val="28"/>
          <w:szCs w:val="28"/>
        </w:rPr>
        <w:t xml:space="preserve"> ratios and the absolute level of teacher pay. Accordingly, they assumed in their simulations that for the </w:t>
      </w:r>
      <w:r w:rsidR="003C21FA">
        <w:rPr>
          <w:rFonts w:ascii="Times New Roman" w:hAnsi="Times New Roman" w:cs="Times New Roman"/>
          <w:sz w:val="28"/>
          <w:szCs w:val="28"/>
        </w:rPr>
        <w:t xml:space="preserve">roughly one-third </w:t>
      </w:r>
      <w:r w:rsidR="00106074">
        <w:rPr>
          <w:rFonts w:ascii="Times New Roman" w:hAnsi="Times New Roman" w:cs="Times New Roman"/>
          <w:sz w:val="28"/>
          <w:szCs w:val="28"/>
        </w:rPr>
        <w:t xml:space="preserve">of countries where this ratio was less than 3.5, the </w:t>
      </w:r>
      <w:r w:rsidR="007B3E2B">
        <w:rPr>
          <w:rFonts w:ascii="Times New Roman" w:hAnsi="Times New Roman" w:cs="Times New Roman"/>
          <w:sz w:val="28"/>
          <w:szCs w:val="28"/>
        </w:rPr>
        <w:t>‘</w:t>
      </w:r>
      <w:r w:rsidR="00106074">
        <w:rPr>
          <w:rFonts w:ascii="Times New Roman" w:hAnsi="Times New Roman" w:cs="Times New Roman"/>
          <w:sz w:val="28"/>
          <w:szCs w:val="28"/>
        </w:rPr>
        <w:t>funding gap</w:t>
      </w:r>
      <w:r w:rsidR="007B3E2B">
        <w:rPr>
          <w:rFonts w:ascii="Times New Roman" w:hAnsi="Times New Roman" w:cs="Times New Roman"/>
          <w:sz w:val="28"/>
          <w:szCs w:val="28"/>
        </w:rPr>
        <w:t>’</w:t>
      </w:r>
      <w:r w:rsidR="00106074">
        <w:rPr>
          <w:rFonts w:ascii="Times New Roman" w:hAnsi="Times New Roman" w:cs="Times New Roman"/>
          <w:sz w:val="28"/>
          <w:szCs w:val="28"/>
        </w:rPr>
        <w:t xml:space="preserve"> that needed to be filled in order to increase salaries to the target ratio should be met</w:t>
      </w:r>
      <w:r w:rsidR="0049797A">
        <w:rPr>
          <w:rFonts w:ascii="Times New Roman" w:hAnsi="Times New Roman" w:cs="Times New Roman"/>
          <w:sz w:val="28"/>
          <w:szCs w:val="28"/>
        </w:rPr>
        <w:t xml:space="preserve"> (at least in the short term)</w:t>
      </w:r>
      <w:r w:rsidR="00106074">
        <w:rPr>
          <w:rFonts w:ascii="Times New Roman" w:hAnsi="Times New Roman" w:cs="Times New Roman"/>
          <w:sz w:val="28"/>
          <w:szCs w:val="28"/>
        </w:rPr>
        <w:t xml:space="preserve"> by international donors. By contrast</w:t>
      </w:r>
      <w:r w:rsidR="009A710E">
        <w:rPr>
          <w:rFonts w:ascii="Times New Roman" w:hAnsi="Times New Roman" w:cs="Times New Roman"/>
          <w:sz w:val="28"/>
          <w:szCs w:val="28"/>
        </w:rPr>
        <w:t>,</w:t>
      </w:r>
      <w:r w:rsidR="00106074">
        <w:rPr>
          <w:rFonts w:ascii="Times New Roman" w:hAnsi="Times New Roman" w:cs="Times New Roman"/>
          <w:sz w:val="28"/>
          <w:szCs w:val="28"/>
        </w:rPr>
        <w:t xml:space="preserve"> in </w:t>
      </w:r>
      <w:r w:rsidR="009A710E">
        <w:rPr>
          <w:rFonts w:ascii="Times New Roman" w:hAnsi="Times New Roman" w:cs="Times New Roman"/>
          <w:sz w:val="28"/>
          <w:szCs w:val="28"/>
        </w:rPr>
        <w:t xml:space="preserve">the </w:t>
      </w:r>
      <w:r w:rsidR="00106074">
        <w:rPr>
          <w:rFonts w:ascii="Times New Roman" w:hAnsi="Times New Roman" w:cs="Times New Roman"/>
          <w:sz w:val="28"/>
          <w:szCs w:val="28"/>
        </w:rPr>
        <w:t>remaining countries</w:t>
      </w:r>
      <w:r w:rsidR="00931E9C">
        <w:rPr>
          <w:rFonts w:ascii="Times New Roman" w:hAnsi="Times New Roman" w:cs="Times New Roman"/>
          <w:sz w:val="28"/>
          <w:szCs w:val="28"/>
        </w:rPr>
        <w:t xml:space="preserve"> where the ratio wa</w:t>
      </w:r>
      <w:r w:rsidR="00106074">
        <w:rPr>
          <w:rFonts w:ascii="Times New Roman" w:hAnsi="Times New Roman" w:cs="Times New Roman"/>
          <w:sz w:val="28"/>
          <w:szCs w:val="28"/>
        </w:rPr>
        <w:t xml:space="preserve">s </w:t>
      </w:r>
      <w:r w:rsidR="00931E9C">
        <w:rPr>
          <w:rFonts w:ascii="Times New Roman" w:hAnsi="Times New Roman" w:cs="Times New Roman"/>
          <w:sz w:val="28"/>
          <w:szCs w:val="28"/>
        </w:rPr>
        <w:t xml:space="preserve">higher </w:t>
      </w:r>
      <w:r w:rsidR="00106074">
        <w:rPr>
          <w:rFonts w:ascii="Times New Roman" w:hAnsi="Times New Roman" w:cs="Times New Roman"/>
          <w:sz w:val="28"/>
          <w:szCs w:val="28"/>
        </w:rPr>
        <w:t xml:space="preserve">than 3.5, </w:t>
      </w:r>
      <w:r w:rsidR="00092CC9">
        <w:rPr>
          <w:rFonts w:ascii="Times New Roman" w:hAnsi="Times New Roman" w:cs="Times New Roman"/>
          <w:sz w:val="28"/>
          <w:szCs w:val="28"/>
        </w:rPr>
        <w:t xml:space="preserve">it was recommended that </w:t>
      </w:r>
      <w:r w:rsidR="00931E9C">
        <w:rPr>
          <w:rFonts w:ascii="Times New Roman" w:hAnsi="Times New Roman" w:cs="Times New Roman"/>
          <w:sz w:val="28"/>
          <w:szCs w:val="28"/>
        </w:rPr>
        <w:t>‘a new cadre of teachers is recruited at the pace of new classroom construction and paid at the target level of 3.5 times the per capita GDP’ (p.</w:t>
      </w:r>
      <w:r w:rsidR="00A76B8F">
        <w:rPr>
          <w:rFonts w:ascii="Times New Roman" w:hAnsi="Times New Roman" w:cs="Times New Roman"/>
          <w:sz w:val="28"/>
          <w:szCs w:val="28"/>
        </w:rPr>
        <w:t>75</w:t>
      </w:r>
      <w:r w:rsidR="00931E9C">
        <w:rPr>
          <w:rFonts w:ascii="Times New Roman" w:hAnsi="Times New Roman" w:cs="Times New Roman"/>
          <w:sz w:val="28"/>
          <w:szCs w:val="28"/>
        </w:rPr>
        <w:t>).</w:t>
      </w:r>
    </w:p>
    <w:p w:rsidR="004C4CBD" w:rsidRDefault="00931E9C" w:rsidP="004C4CBD">
      <w:pPr>
        <w:jc w:val="both"/>
        <w:rPr>
          <w:rFonts w:ascii="Times New Roman" w:hAnsi="Times New Roman" w:cs="Times New Roman"/>
          <w:sz w:val="28"/>
          <w:szCs w:val="28"/>
        </w:rPr>
      </w:pPr>
      <w:r>
        <w:rPr>
          <w:rFonts w:ascii="Times New Roman" w:hAnsi="Times New Roman" w:cs="Times New Roman"/>
          <w:sz w:val="28"/>
          <w:szCs w:val="28"/>
        </w:rPr>
        <w:t>The BMR report was highly influential. So much so, t</w:t>
      </w:r>
      <w:r w:rsidR="00EC4625">
        <w:rPr>
          <w:rFonts w:ascii="Times New Roman" w:hAnsi="Times New Roman" w:cs="Times New Roman"/>
          <w:sz w:val="28"/>
          <w:szCs w:val="28"/>
        </w:rPr>
        <w:t xml:space="preserve">hat the key expenditure and funding </w:t>
      </w:r>
      <w:r>
        <w:rPr>
          <w:rFonts w:ascii="Times New Roman" w:hAnsi="Times New Roman" w:cs="Times New Roman"/>
          <w:sz w:val="28"/>
          <w:szCs w:val="28"/>
        </w:rPr>
        <w:t>parameters which formed the basis of their UPE co</w:t>
      </w:r>
      <w:r w:rsidR="006747A8">
        <w:rPr>
          <w:rFonts w:ascii="Times New Roman" w:hAnsi="Times New Roman" w:cs="Times New Roman"/>
          <w:sz w:val="28"/>
          <w:szCs w:val="28"/>
        </w:rPr>
        <w:t xml:space="preserve">sting simulations were </w:t>
      </w:r>
      <w:r>
        <w:rPr>
          <w:rFonts w:ascii="Times New Roman" w:hAnsi="Times New Roman" w:cs="Times New Roman"/>
          <w:sz w:val="28"/>
          <w:szCs w:val="28"/>
        </w:rPr>
        <w:t xml:space="preserve">adopted by the multi-donor funded FTI as the core benchmarks in assessing country applications for FTI funding. More widely, the 3.5 </w:t>
      </w:r>
      <w:r w:rsidR="008B0F3C">
        <w:rPr>
          <w:rFonts w:ascii="Times New Roman" w:hAnsi="Times New Roman" w:cs="Times New Roman"/>
          <w:sz w:val="28"/>
          <w:szCs w:val="28"/>
        </w:rPr>
        <w:t xml:space="preserve">PCGDP </w:t>
      </w:r>
      <w:r>
        <w:rPr>
          <w:rFonts w:ascii="Times New Roman" w:hAnsi="Times New Roman" w:cs="Times New Roman"/>
          <w:sz w:val="28"/>
          <w:szCs w:val="28"/>
        </w:rPr>
        <w:t>teacher pay ratio w</w:t>
      </w:r>
      <w:r w:rsidR="006747A8">
        <w:rPr>
          <w:rFonts w:ascii="Times New Roman" w:hAnsi="Times New Roman" w:cs="Times New Roman"/>
          <w:sz w:val="28"/>
          <w:szCs w:val="28"/>
        </w:rPr>
        <w:t xml:space="preserve">as </w:t>
      </w:r>
      <w:r>
        <w:rPr>
          <w:rFonts w:ascii="Times New Roman" w:hAnsi="Times New Roman" w:cs="Times New Roman"/>
          <w:sz w:val="28"/>
          <w:szCs w:val="28"/>
        </w:rPr>
        <w:t xml:space="preserve">accepted and used by the World Bank itself in both its project appraisals and policy analysis (including education public expenditure reviews) and, at the </w:t>
      </w:r>
      <w:r>
        <w:rPr>
          <w:rFonts w:ascii="Times New Roman" w:hAnsi="Times New Roman" w:cs="Times New Roman"/>
          <w:sz w:val="28"/>
          <w:szCs w:val="28"/>
        </w:rPr>
        <w:lastRenderedPageBreak/>
        <w:t>macroeconomic level, by the International Monetary Fund</w:t>
      </w:r>
      <w:r w:rsidR="00C80CA7">
        <w:rPr>
          <w:rFonts w:ascii="Times New Roman" w:hAnsi="Times New Roman" w:cs="Times New Roman"/>
          <w:sz w:val="28"/>
          <w:szCs w:val="28"/>
        </w:rPr>
        <w:t xml:space="preserve">. It is noticeable that no other occupational group was singled out in this manner which testified to the superordinate concern </w:t>
      </w:r>
      <w:r w:rsidR="006747A8">
        <w:rPr>
          <w:rFonts w:ascii="Times New Roman" w:hAnsi="Times New Roman" w:cs="Times New Roman"/>
          <w:sz w:val="28"/>
          <w:szCs w:val="28"/>
        </w:rPr>
        <w:t>with the ‘</w:t>
      </w:r>
      <w:r w:rsidR="00C80CA7">
        <w:rPr>
          <w:rFonts w:ascii="Times New Roman" w:hAnsi="Times New Roman" w:cs="Times New Roman"/>
          <w:sz w:val="28"/>
          <w:szCs w:val="28"/>
        </w:rPr>
        <w:t>contain</w:t>
      </w:r>
      <w:r w:rsidR="006747A8">
        <w:rPr>
          <w:rFonts w:ascii="Times New Roman" w:hAnsi="Times New Roman" w:cs="Times New Roman"/>
          <w:sz w:val="28"/>
          <w:szCs w:val="28"/>
        </w:rPr>
        <w:t>ment’ of</w:t>
      </w:r>
      <w:r w:rsidR="00C80CA7">
        <w:rPr>
          <w:rFonts w:ascii="Times New Roman" w:hAnsi="Times New Roman" w:cs="Times New Roman"/>
          <w:sz w:val="28"/>
          <w:szCs w:val="28"/>
        </w:rPr>
        <w:t xml:space="preserve"> overall teacher payroll costs. </w:t>
      </w:r>
      <w:r>
        <w:rPr>
          <w:rFonts w:ascii="Times New Roman" w:hAnsi="Times New Roman" w:cs="Times New Roman"/>
          <w:sz w:val="28"/>
          <w:szCs w:val="28"/>
        </w:rPr>
        <w:t xml:space="preserve">  </w:t>
      </w:r>
    </w:p>
    <w:p w:rsidR="00F972B9" w:rsidRPr="00F972B9" w:rsidRDefault="00797A20" w:rsidP="004C4CBD">
      <w:pPr>
        <w:jc w:val="both"/>
        <w:rPr>
          <w:rFonts w:ascii="Times New Roman" w:hAnsi="Times New Roman" w:cs="Times New Roman"/>
          <w:i/>
          <w:sz w:val="28"/>
          <w:szCs w:val="28"/>
        </w:rPr>
      </w:pPr>
      <w:r>
        <w:rPr>
          <w:rFonts w:ascii="Times New Roman" w:hAnsi="Times New Roman" w:cs="Times New Roman"/>
          <w:i/>
          <w:sz w:val="28"/>
          <w:szCs w:val="28"/>
        </w:rPr>
        <w:t xml:space="preserve">3.1 </w:t>
      </w:r>
      <w:r w:rsidR="00F972B9" w:rsidRPr="00F972B9">
        <w:rPr>
          <w:rFonts w:ascii="Times New Roman" w:hAnsi="Times New Roman" w:cs="Times New Roman"/>
          <w:i/>
          <w:sz w:val="28"/>
          <w:szCs w:val="28"/>
        </w:rPr>
        <w:t xml:space="preserve">Key </w:t>
      </w:r>
      <w:r w:rsidR="00A97111" w:rsidRPr="00F972B9">
        <w:rPr>
          <w:rFonts w:ascii="Times New Roman" w:hAnsi="Times New Roman" w:cs="Times New Roman"/>
          <w:i/>
          <w:sz w:val="28"/>
          <w:szCs w:val="28"/>
        </w:rPr>
        <w:t xml:space="preserve">shortcomings </w:t>
      </w:r>
    </w:p>
    <w:p w:rsidR="004D7DCA" w:rsidRDefault="00836AA2" w:rsidP="004C4CBD">
      <w:pPr>
        <w:jc w:val="both"/>
        <w:rPr>
          <w:rFonts w:ascii="Times New Roman" w:hAnsi="Times New Roman" w:cs="Times New Roman"/>
          <w:sz w:val="28"/>
          <w:szCs w:val="28"/>
        </w:rPr>
      </w:pPr>
      <w:r>
        <w:rPr>
          <w:rFonts w:ascii="Times New Roman" w:hAnsi="Times New Roman" w:cs="Times New Roman"/>
          <w:sz w:val="28"/>
          <w:szCs w:val="28"/>
        </w:rPr>
        <w:t>Three</w:t>
      </w:r>
      <w:r w:rsidR="004D7DCA">
        <w:rPr>
          <w:rFonts w:ascii="Times New Roman" w:hAnsi="Times New Roman" w:cs="Times New Roman"/>
          <w:sz w:val="28"/>
          <w:szCs w:val="28"/>
        </w:rPr>
        <w:t xml:space="preserve"> main shortcomings </w:t>
      </w:r>
      <w:r w:rsidR="00034505">
        <w:rPr>
          <w:rFonts w:ascii="Times New Roman" w:hAnsi="Times New Roman" w:cs="Times New Roman"/>
          <w:sz w:val="28"/>
          <w:szCs w:val="28"/>
        </w:rPr>
        <w:t>of</w:t>
      </w:r>
      <w:r w:rsidR="004D7DCA">
        <w:rPr>
          <w:rFonts w:ascii="Times New Roman" w:hAnsi="Times New Roman" w:cs="Times New Roman"/>
          <w:sz w:val="28"/>
          <w:szCs w:val="28"/>
        </w:rPr>
        <w:t xml:space="preserve"> this reliance on PCGDP </w:t>
      </w:r>
      <w:r w:rsidR="00092CC9">
        <w:rPr>
          <w:rFonts w:ascii="Times New Roman" w:hAnsi="Times New Roman" w:cs="Times New Roman"/>
          <w:sz w:val="28"/>
          <w:szCs w:val="28"/>
        </w:rPr>
        <w:t xml:space="preserve">teacher </w:t>
      </w:r>
      <w:r w:rsidR="004D7DCA">
        <w:rPr>
          <w:rFonts w:ascii="Times New Roman" w:hAnsi="Times New Roman" w:cs="Times New Roman"/>
          <w:sz w:val="28"/>
          <w:szCs w:val="28"/>
        </w:rPr>
        <w:t xml:space="preserve">pay ratios can be identified. </w:t>
      </w:r>
      <w:r w:rsidR="00A97111">
        <w:rPr>
          <w:rFonts w:ascii="Times New Roman" w:hAnsi="Times New Roman" w:cs="Times New Roman"/>
          <w:sz w:val="28"/>
          <w:szCs w:val="28"/>
        </w:rPr>
        <w:t xml:space="preserve">Firstly, the correlation between </w:t>
      </w:r>
      <w:r w:rsidR="00E76FE2">
        <w:rPr>
          <w:rFonts w:ascii="Times New Roman" w:hAnsi="Times New Roman" w:cs="Times New Roman"/>
          <w:sz w:val="28"/>
          <w:szCs w:val="28"/>
        </w:rPr>
        <w:t>the</w:t>
      </w:r>
      <w:r w:rsidR="004D7DCA">
        <w:rPr>
          <w:rFonts w:ascii="Times New Roman" w:hAnsi="Times New Roman" w:cs="Times New Roman"/>
          <w:sz w:val="28"/>
          <w:szCs w:val="28"/>
        </w:rPr>
        <w:t>se pay r</w:t>
      </w:r>
      <w:r w:rsidR="00E76FE2">
        <w:rPr>
          <w:rFonts w:ascii="Times New Roman" w:hAnsi="Times New Roman" w:cs="Times New Roman"/>
          <w:sz w:val="28"/>
          <w:szCs w:val="28"/>
        </w:rPr>
        <w:t xml:space="preserve">atios and </w:t>
      </w:r>
      <w:r w:rsidR="00A97111">
        <w:rPr>
          <w:rFonts w:ascii="Times New Roman" w:hAnsi="Times New Roman" w:cs="Times New Roman"/>
          <w:sz w:val="28"/>
          <w:szCs w:val="28"/>
        </w:rPr>
        <w:t xml:space="preserve">primary school completion rates </w:t>
      </w:r>
      <w:r w:rsidR="00556EB3">
        <w:rPr>
          <w:rFonts w:ascii="Times New Roman" w:hAnsi="Times New Roman" w:cs="Times New Roman"/>
          <w:sz w:val="28"/>
          <w:szCs w:val="28"/>
        </w:rPr>
        <w:t>for the</w:t>
      </w:r>
      <w:r w:rsidR="00E76FE2">
        <w:rPr>
          <w:rFonts w:ascii="Times New Roman" w:hAnsi="Times New Roman" w:cs="Times New Roman"/>
          <w:sz w:val="28"/>
          <w:szCs w:val="28"/>
        </w:rPr>
        <w:t xml:space="preserve"> 30 countries in SSA </w:t>
      </w:r>
      <w:r w:rsidR="004D7DCA">
        <w:rPr>
          <w:rFonts w:ascii="Times New Roman" w:hAnsi="Times New Roman" w:cs="Times New Roman"/>
          <w:sz w:val="28"/>
          <w:szCs w:val="28"/>
        </w:rPr>
        <w:t xml:space="preserve">which were </w:t>
      </w:r>
      <w:r w:rsidR="00E76FE2">
        <w:rPr>
          <w:rFonts w:ascii="Times New Roman" w:hAnsi="Times New Roman" w:cs="Times New Roman"/>
          <w:sz w:val="28"/>
          <w:szCs w:val="28"/>
        </w:rPr>
        <w:t xml:space="preserve">included in the BMR </w:t>
      </w:r>
      <w:r w:rsidR="00556EB3">
        <w:rPr>
          <w:rFonts w:ascii="Times New Roman" w:hAnsi="Times New Roman" w:cs="Times New Roman"/>
          <w:sz w:val="28"/>
          <w:szCs w:val="28"/>
        </w:rPr>
        <w:t xml:space="preserve">simulation modelling </w:t>
      </w:r>
      <w:r w:rsidR="00E76FE2">
        <w:rPr>
          <w:rFonts w:ascii="Times New Roman" w:hAnsi="Times New Roman" w:cs="Times New Roman"/>
          <w:sz w:val="28"/>
          <w:szCs w:val="28"/>
        </w:rPr>
        <w:t xml:space="preserve">exercise was not statistically significant with </w:t>
      </w:r>
      <w:r w:rsidR="00A97111">
        <w:rPr>
          <w:rFonts w:ascii="Times New Roman" w:hAnsi="Times New Roman" w:cs="Times New Roman"/>
          <w:sz w:val="28"/>
          <w:szCs w:val="28"/>
        </w:rPr>
        <w:t>an R-squared value of just 0.</w:t>
      </w:r>
      <w:r w:rsidR="00E76FE2">
        <w:rPr>
          <w:rFonts w:ascii="Times New Roman" w:hAnsi="Times New Roman" w:cs="Times New Roman"/>
          <w:sz w:val="28"/>
          <w:szCs w:val="28"/>
        </w:rPr>
        <w:t>03</w:t>
      </w:r>
      <w:r w:rsidR="00A97111">
        <w:rPr>
          <w:rFonts w:ascii="Times New Roman" w:hAnsi="Times New Roman" w:cs="Times New Roman"/>
          <w:sz w:val="28"/>
          <w:szCs w:val="28"/>
        </w:rPr>
        <w:t>.</w:t>
      </w:r>
      <w:r w:rsidR="000B372B">
        <w:rPr>
          <w:rFonts w:ascii="Times New Roman" w:hAnsi="Times New Roman" w:cs="Times New Roman"/>
          <w:sz w:val="28"/>
          <w:szCs w:val="28"/>
        </w:rPr>
        <w:t xml:space="preserve">  </w:t>
      </w:r>
      <w:r>
        <w:rPr>
          <w:rFonts w:ascii="Times New Roman" w:hAnsi="Times New Roman" w:cs="Times New Roman"/>
          <w:sz w:val="28"/>
          <w:szCs w:val="28"/>
        </w:rPr>
        <w:t xml:space="preserve">Furthermore, </w:t>
      </w:r>
      <w:r w:rsidR="00A97111">
        <w:rPr>
          <w:rFonts w:ascii="Times New Roman" w:hAnsi="Times New Roman" w:cs="Times New Roman"/>
          <w:sz w:val="28"/>
          <w:szCs w:val="28"/>
        </w:rPr>
        <w:t xml:space="preserve">the correlation between </w:t>
      </w:r>
      <w:r w:rsidR="00556EB3">
        <w:rPr>
          <w:rFonts w:ascii="Times New Roman" w:hAnsi="Times New Roman" w:cs="Times New Roman"/>
          <w:sz w:val="28"/>
          <w:szCs w:val="28"/>
        </w:rPr>
        <w:t>PC</w:t>
      </w:r>
      <w:r w:rsidR="00A97111">
        <w:rPr>
          <w:rFonts w:ascii="Times New Roman" w:hAnsi="Times New Roman" w:cs="Times New Roman"/>
          <w:sz w:val="28"/>
          <w:szCs w:val="28"/>
        </w:rPr>
        <w:t xml:space="preserve">GDP teacher pay ratios and absolute teacher pay was also weak. </w:t>
      </w:r>
      <w:r w:rsidR="000B372B">
        <w:rPr>
          <w:rFonts w:ascii="Times New Roman" w:hAnsi="Times New Roman" w:cs="Times New Roman"/>
          <w:sz w:val="28"/>
          <w:szCs w:val="28"/>
        </w:rPr>
        <w:t xml:space="preserve">In a </w:t>
      </w:r>
      <w:r w:rsidR="004D7DCA">
        <w:rPr>
          <w:rFonts w:ascii="Times New Roman" w:hAnsi="Times New Roman" w:cs="Times New Roman"/>
          <w:sz w:val="28"/>
          <w:szCs w:val="28"/>
        </w:rPr>
        <w:t xml:space="preserve">subsequent </w:t>
      </w:r>
      <w:r w:rsidR="00470354">
        <w:rPr>
          <w:rFonts w:ascii="Times New Roman" w:hAnsi="Times New Roman" w:cs="Times New Roman"/>
          <w:sz w:val="28"/>
          <w:szCs w:val="28"/>
        </w:rPr>
        <w:t xml:space="preserve">report by </w:t>
      </w:r>
      <w:r w:rsidR="00616000">
        <w:rPr>
          <w:rFonts w:ascii="Times New Roman" w:hAnsi="Times New Roman" w:cs="Times New Roman"/>
          <w:sz w:val="28"/>
          <w:szCs w:val="28"/>
        </w:rPr>
        <w:t xml:space="preserve">Majgaard and </w:t>
      </w:r>
      <w:r w:rsidR="00470354">
        <w:rPr>
          <w:rFonts w:ascii="Times New Roman" w:hAnsi="Times New Roman" w:cs="Times New Roman"/>
          <w:sz w:val="28"/>
          <w:szCs w:val="28"/>
        </w:rPr>
        <w:t>Mingat</w:t>
      </w:r>
      <w:r w:rsidR="000B372B">
        <w:rPr>
          <w:rFonts w:ascii="Times New Roman" w:hAnsi="Times New Roman" w:cs="Times New Roman"/>
          <w:sz w:val="28"/>
          <w:szCs w:val="28"/>
        </w:rPr>
        <w:t xml:space="preserve"> in 2011, more sophisticated multivariate analysis concluded that average teacher pay relative to </w:t>
      </w:r>
      <w:r w:rsidR="00E76FE2">
        <w:rPr>
          <w:rFonts w:ascii="Times New Roman" w:hAnsi="Times New Roman" w:cs="Times New Roman"/>
          <w:sz w:val="28"/>
          <w:szCs w:val="28"/>
        </w:rPr>
        <w:t>PC</w:t>
      </w:r>
      <w:r w:rsidR="000B372B">
        <w:rPr>
          <w:rFonts w:ascii="Times New Roman" w:hAnsi="Times New Roman" w:cs="Times New Roman"/>
          <w:sz w:val="28"/>
          <w:szCs w:val="28"/>
        </w:rPr>
        <w:t xml:space="preserve">GDP ‘only explains 25% of the variability in the GER </w:t>
      </w:r>
      <w:r w:rsidR="004D7DCA">
        <w:rPr>
          <w:rFonts w:ascii="Times New Roman" w:hAnsi="Times New Roman" w:cs="Times New Roman"/>
          <w:sz w:val="28"/>
          <w:szCs w:val="28"/>
        </w:rPr>
        <w:t xml:space="preserve">(gross enrolment ratio) </w:t>
      </w:r>
      <w:r w:rsidR="000B372B">
        <w:rPr>
          <w:rFonts w:ascii="Times New Roman" w:hAnsi="Times New Roman" w:cs="Times New Roman"/>
          <w:sz w:val="28"/>
          <w:szCs w:val="28"/>
        </w:rPr>
        <w:t xml:space="preserve">across countries’ (p.109). </w:t>
      </w:r>
      <w:r w:rsidR="00A97111">
        <w:rPr>
          <w:rFonts w:ascii="Times New Roman" w:hAnsi="Times New Roman" w:cs="Times New Roman"/>
          <w:sz w:val="28"/>
          <w:szCs w:val="28"/>
        </w:rPr>
        <w:t xml:space="preserve">Thus, </w:t>
      </w:r>
      <w:r w:rsidR="004D7DCA">
        <w:rPr>
          <w:rFonts w:ascii="Times New Roman" w:hAnsi="Times New Roman" w:cs="Times New Roman"/>
          <w:sz w:val="28"/>
          <w:szCs w:val="28"/>
        </w:rPr>
        <w:t>primary schoo</w:t>
      </w:r>
      <w:r w:rsidR="005D4526">
        <w:rPr>
          <w:rFonts w:ascii="Times New Roman" w:hAnsi="Times New Roman" w:cs="Times New Roman"/>
          <w:sz w:val="28"/>
          <w:szCs w:val="28"/>
        </w:rPr>
        <w:t>l</w:t>
      </w:r>
      <w:r w:rsidR="004D7DCA">
        <w:rPr>
          <w:rFonts w:ascii="Times New Roman" w:hAnsi="Times New Roman" w:cs="Times New Roman"/>
          <w:sz w:val="28"/>
          <w:szCs w:val="28"/>
        </w:rPr>
        <w:t xml:space="preserve"> </w:t>
      </w:r>
      <w:r w:rsidR="00A97111">
        <w:rPr>
          <w:rFonts w:ascii="Times New Roman" w:hAnsi="Times New Roman" w:cs="Times New Roman"/>
          <w:sz w:val="28"/>
          <w:szCs w:val="28"/>
        </w:rPr>
        <w:t xml:space="preserve">teachers </w:t>
      </w:r>
      <w:r w:rsidR="004D7DCA">
        <w:rPr>
          <w:rFonts w:ascii="Times New Roman" w:hAnsi="Times New Roman" w:cs="Times New Roman"/>
          <w:sz w:val="28"/>
          <w:szCs w:val="28"/>
        </w:rPr>
        <w:t xml:space="preserve">in countries with </w:t>
      </w:r>
      <w:r w:rsidR="00A97111">
        <w:rPr>
          <w:rFonts w:ascii="Times New Roman" w:hAnsi="Times New Roman" w:cs="Times New Roman"/>
          <w:sz w:val="28"/>
          <w:szCs w:val="28"/>
        </w:rPr>
        <w:t xml:space="preserve">high </w:t>
      </w:r>
      <w:r w:rsidR="004D7DCA">
        <w:rPr>
          <w:rFonts w:ascii="Times New Roman" w:hAnsi="Times New Roman" w:cs="Times New Roman"/>
          <w:sz w:val="28"/>
          <w:szCs w:val="28"/>
        </w:rPr>
        <w:t>PC</w:t>
      </w:r>
      <w:r w:rsidR="00A97111">
        <w:rPr>
          <w:rFonts w:ascii="Times New Roman" w:hAnsi="Times New Roman" w:cs="Times New Roman"/>
          <w:sz w:val="28"/>
          <w:szCs w:val="28"/>
        </w:rPr>
        <w:t>GDP salary ratios could have low absolute pay</w:t>
      </w:r>
      <w:r w:rsidR="00FD2CB5">
        <w:rPr>
          <w:rFonts w:ascii="Times New Roman" w:hAnsi="Times New Roman" w:cs="Times New Roman"/>
          <w:sz w:val="28"/>
          <w:szCs w:val="28"/>
        </w:rPr>
        <w:t xml:space="preserve"> as was the case in Bur</w:t>
      </w:r>
      <w:r w:rsidR="000B372B">
        <w:rPr>
          <w:rFonts w:ascii="Times New Roman" w:hAnsi="Times New Roman" w:cs="Times New Roman"/>
          <w:sz w:val="28"/>
          <w:szCs w:val="28"/>
        </w:rPr>
        <w:t>u</w:t>
      </w:r>
      <w:r w:rsidR="00FD2CB5">
        <w:rPr>
          <w:rFonts w:ascii="Times New Roman" w:hAnsi="Times New Roman" w:cs="Times New Roman"/>
          <w:sz w:val="28"/>
          <w:szCs w:val="28"/>
        </w:rPr>
        <w:t>ndi and Ethiopia.</w:t>
      </w:r>
      <w:r w:rsidR="00E76FE2">
        <w:rPr>
          <w:rFonts w:ascii="Times New Roman" w:hAnsi="Times New Roman" w:cs="Times New Roman"/>
          <w:sz w:val="28"/>
          <w:szCs w:val="28"/>
        </w:rPr>
        <w:t xml:space="preserve"> </w:t>
      </w:r>
    </w:p>
    <w:p w:rsidR="00836AA2" w:rsidRDefault="005D4526" w:rsidP="004C4CBD">
      <w:pPr>
        <w:jc w:val="both"/>
        <w:rPr>
          <w:rFonts w:ascii="Times New Roman" w:hAnsi="Times New Roman" w:cs="Times New Roman"/>
          <w:sz w:val="28"/>
          <w:szCs w:val="28"/>
        </w:rPr>
      </w:pPr>
      <w:r>
        <w:rPr>
          <w:rFonts w:ascii="Times New Roman" w:hAnsi="Times New Roman" w:cs="Times New Roman"/>
          <w:sz w:val="28"/>
          <w:szCs w:val="28"/>
        </w:rPr>
        <w:t>Secondly</w:t>
      </w:r>
      <w:r w:rsidR="00E76FE2">
        <w:rPr>
          <w:rFonts w:ascii="Times New Roman" w:hAnsi="Times New Roman" w:cs="Times New Roman"/>
          <w:sz w:val="28"/>
          <w:szCs w:val="28"/>
        </w:rPr>
        <w:t xml:space="preserve">, the PCGDP benchmark pay ratio was not consistently applied across all countries mainly because </w:t>
      </w:r>
      <w:r w:rsidR="00043B77">
        <w:rPr>
          <w:rFonts w:ascii="Times New Roman" w:hAnsi="Times New Roman" w:cs="Times New Roman"/>
          <w:sz w:val="28"/>
          <w:szCs w:val="28"/>
        </w:rPr>
        <w:t>the p</w:t>
      </w:r>
      <w:r w:rsidR="00E76FE2">
        <w:rPr>
          <w:rFonts w:ascii="Times New Roman" w:hAnsi="Times New Roman" w:cs="Times New Roman"/>
          <w:sz w:val="28"/>
          <w:szCs w:val="28"/>
        </w:rPr>
        <w:t xml:space="preserve">rimary </w:t>
      </w:r>
      <w:r w:rsidR="00043B77">
        <w:rPr>
          <w:rFonts w:ascii="Times New Roman" w:hAnsi="Times New Roman" w:cs="Times New Roman"/>
          <w:sz w:val="28"/>
          <w:szCs w:val="28"/>
        </w:rPr>
        <w:t xml:space="preserve">concern was to reduce mean teacher pay </w:t>
      </w:r>
      <w:r w:rsidR="00EC4625">
        <w:rPr>
          <w:rFonts w:ascii="Times New Roman" w:hAnsi="Times New Roman" w:cs="Times New Roman"/>
          <w:sz w:val="28"/>
          <w:szCs w:val="28"/>
        </w:rPr>
        <w:t xml:space="preserve">particularly </w:t>
      </w:r>
      <w:r w:rsidR="00043B77">
        <w:rPr>
          <w:rFonts w:ascii="Times New Roman" w:hAnsi="Times New Roman" w:cs="Times New Roman"/>
          <w:sz w:val="28"/>
          <w:szCs w:val="28"/>
        </w:rPr>
        <w:t xml:space="preserve">in </w:t>
      </w:r>
      <w:r w:rsidR="00E76FE2">
        <w:rPr>
          <w:rFonts w:ascii="Times New Roman" w:hAnsi="Times New Roman" w:cs="Times New Roman"/>
          <w:sz w:val="28"/>
          <w:szCs w:val="28"/>
        </w:rPr>
        <w:t>Francophone</w:t>
      </w:r>
      <w:r w:rsidR="00043B77">
        <w:rPr>
          <w:rFonts w:ascii="Times New Roman" w:hAnsi="Times New Roman" w:cs="Times New Roman"/>
          <w:sz w:val="28"/>
          <w:szCs w:val="28"/>
        </w:rPr>
        <w:t xml:space="preserve"> West Africa. Countries with very low PCGDP pay ratios where teacher pay needed to increase appreciably were </w:t>
      </w:r>
      <w:r w:rsidR="004D7DCA">
        <w:rPr>
          <w:rFonts w:ascii="Times New Roman" w:hAnsi="Times New Roman" w:cs="Times New Roman"/>
          <w:sz w:val="28"/>
          <w:szCs w:val="28"/>
        </w:rPr>
        <w:t xml:space="preserve">largely </w:t>
      </w:r>
      <w:r w:rsidR="00043B77">
        <w:rPr>
          <w:rFonts w:ascii="Times New Roman" w:hAnsi="Times New Roman" w:cs="Times New Roman"/>
          <w:sz w:val="28"/>
          <w:szCs w:val="28"/>
        </w:rPr>
        <w:t>ignored</w:t>
      </w:r>
      <w:r w:rsidR="00836AA2">
        <w:rPr>
          <w:rStyle w:val="FootnoteReference"/>
          <w:rFonts w:ascii="Times New Roman" w:hAnsi="Times New Roman" w:cs="Times New Roman"/>
          <w:sz w:val="28"/>
          <w:szCs w:val="28"/>
        </w:rPr>
        <w:footnoteReference w:id="6"/>
      </w:r>
      <w:r w:rsidR="00043B77">
        <w:rPr>
          <w:rFonts w:ascii="Times New Roman" w:hAnsi="Times New Roman" w:cs="Times New Roman"/>
          <w:sz w:val="28"/>
          <w:szCs w:val="28"/>
        </w:rPr>
        <w:t xml:space="preserve">. </w:t>
      </w:r>
    </w:p>
    <w:p w:rsidR="00931E9C" w:rsidRDefault="005D4526" w:rsidP="004C4CBD">
      <w:pPr>
        <w:jc w:val="both"/>
        <w:rPr>
          <w:rFonts w:ascii="Times New Roman" w:hAnsi="Times New Roman" w:cs="Times New Roman"/>
          <w:sz w:val="28"/>
          <w:szCs w:val="28"/>
        </w:rPr>
      </w:pPr>
      <w:r>
        <w:rPr>
          <w:rFonts w:ascii="Times New Roman" w:hAnsi="Times New Roman" w:cs="Times New Roman"/>
          <w:sz w:val="28"/>
          <w:szCs w:val="28"/>
        </w:rPr>
        <w:t>And thirdly</w:t>
      </w:r>
      <w:r w:rsidR="00FD2CB5">
        <w:rPr>
          <w:rFonts w:ascii="Times New Roman" w:hAnsi="Times New Roman" w:cs="Times New Roman"/>
          <w:sz w:val="28"/>
          <w:szCs w:val="28"/>
        </w:rPr>
        <w:t xml:space="preserve">, </w:t>
      </w:r>
      <w:r w:rsidR="00F86B9E">
        <w:rPr>
          <w:rFonts w:ascii="Times New Roman" w:hAnsi="Times New Roman" w:cs="Times New Roman"/>
          <w:sz w:val="28"/>
          <w:szCs w:val="28"/>
        </w:rPr>
        <w:t xml:space="preserve">almost </w:t>
      </w:r>
      <w:r w:rsidR="00FD2CB5">
        <w:rPr>
          <w:rFonts w:ascii="Times New Roman" w:hAnsi="Times New Roman" w:cs="Times New Roman"/>
          <w:sz w:val="28"/>
          <w:szCs w:val="28"/>
        </w:rPr>
        <w:t xml:space="preserve">total reliance was placed on this </w:t>
      </w:r>
      <w:r w:rsidR="00F86B9E">
        <w:rPr>
          <w:rFonts w:ascii="Times New Roman" w:hAnsi="Times New Roman" w:cs="Times New Roman"/>
          <w:sz w:val="28"/>
          <w:szCs w:val="28"/>
        </w:rPr>
        <w:t xml:space="preserve">‘rough number’ </w:t>
      </w:r>
      <w:r w:rsidR="00FD2CB5">
        <w:rPr>
          <w:rFonts w:ascii="Times New Roman" w:hAnsi="Times New Roman" w:cs="Times New Roman"/>
          <w:sz w:val="28"/>
          <w:szCs w:val="28"/>
        </w:rPr>
        <w:t>ratio</w:t>
      </w:r>
      <w:r w:rsidR="00836AA2">
        <w:rPr>
          <w:rFonts w:ascii="Times New Roman" w:hAnsi="Times New Roman" w:cs="Times New Roman"/>
          <w:sz w:val="28"/>
          <w:szCs w:val="28"/>
        </w:rPr>
        <w:t xml:space="preserve"> which meant that ot</w:t>
      </w:r>
      <w:r w:rsidR="00FD2CB5">
        <w:rPr>
          <w:rFonts w:ascii="Times New Roman" w:hAnsi="Times New Roman" w:cs="Times New Roman"/>
          <w:sz w:val="28"/>
          <w:szCs w:val="28"/>
        </w:rPr>
        <w:t xml:space="preserve">her key </w:t>
      </w:r>
      <w:r w:rsidR="00E76FE2">
        <w:rPr>
          <w:rFonts w:ascii="Times New Roman" w:hAnsi="Times New Roman" w:cs="Times New Roman"/>
          <w:sz w:val="28"/>
          <w:szCs w:val="28"/>
        </w:rPr>
        <w:t xml:space="preserve">pay </w:t>
      </w:r>
      <w:r w:rsidR="00043B77">
        <w:rPr>
          <w:rFonts w:ascii="Times New Roman" w:hAnsi="Times New Roman" w:cs="Times New Roman"/>
          <w:sz w:val="28"/>
          <w:szCs w:val="28"/>
        </w:rPr>
        <w:t xml:space="preserve">policy </w:t>
      </w:r>
      <w:r w:rsidR="00FD2CB5">
        <w:rPr>
          <w:rFonts w:ascii="Times New Roman" w:hAnsi="Times New Roman" w:cs="Times New Roman"/>
          <w:sz w:val="28"/>
          <w:szCs w:val="28"/>
        </w:rPr>
        <w:t>issues</w:t>
      </w:r>
      <w:r>
        <w:rPr>
          <w:rFonts w:ascii="Times New Roman" w:hAnsi="Times New Roman" w:cs="Times New Roman"/>
          <w:sz w:val="28"/>
          <w:szCs w:val="28"/>
        </w:rPr>
        <w:t>,</w:t>
      </w:r>
      <w:r w:rsidR="00FD2CB5">
        <w:rPr>
          <w:rFonts w:ascii="Times New Roman" w:hAnsi="Times New Roman" w:cs="Times New Roman"/>
          <w:sz w:val="28"/>
          <w:szCs w:val="28"/>
        </w:rPr>
        <w:t xml:space="preserve"> most notably </w:t>
      </w:r>
      <w:r w:rsidR="00E76FE2">
        <w:rPr>
          <w:rFonts w:ascii="Times New Roman" w:hAnsi="Times New Roman" w:cs="Times New Roman"/>
          <w:sz w:val="28"/>
          <w:szCs w:val="28"/>
        </w:rPr>
        <w:t xml:space="preserve">the size of </w:t>
      </w:r>
      <w:r w:rsidR="00FD2CB5">
        <w:rPr>
          <w:rFonts w:ascii="Times New Roman" w:hAnsi="Times New Roman" w:cs="Times New Roman"/>
          <w:sz w:val="28"/>
          <w:szCs w:val="28"/>
        </w:rPr>
        <w:t xml:space="preserve">income differentials between teachers and other equivalent occupation groups and the adequacy of teacher pay in relation to minimum standards of living </w:t>
      </w:r>
      <w:r w:rsidR="00836AA2">
        <w:rPr>
          <w:rFonts w:ascii="Times New Roman" w:hAnsi="Times New Roman" w:cs="Times New Roman"/>
          <w:sz w:val="28"/>
          <w:szCs w:val="28"/>
        </w:rPr>
        <w:t>(including poverty datum lines)</w:t>
      </w:r>
      <w:r>
        <w:rPr>
          <w:rFonts w:ascii="Times New Roman" w:hAnsi="Times New Roman" w:cs="Times New Roman"/>
          <w:sz w:val="28"/>
          <w:szCs w:val="28"/>
        </w:rPr>
        <w:t>,</w:t>
      </w:r>
      <w:r w:rsidR="00836AA2">
        <w:rPr>
          <w:rFonts w:ascii="Times New Roman" w:hAnsi="Times New Roman" w:cs="Times New Roman"/>
          <w:sz w:val="28"/>
          <w:szCs w:val="28"/>
        </w:rPr>
        <w:t xml:space="preserve"> </w:t>
      </w:r>
      <w:r w:rsidR="00FD2CB5">
        <w:rPr>
          <w:rFonts w:ascii="Times New Roman" w:hAnsi="Times New Roman" w:cs="Times New Roman"/>
          <w:sz w:val="28"/>
          <w:szCs w:val="28"/>
        </w:rPr>
        <w:t xml:space="preserve">were </w:t>
      </w:r>
      <w:r w:rsidR="00E76FE2">
        <w:rPr>
          <w:rFonts w:ascii="Times New Roman" w:hAnsi="Times New Roman" w:cs="Times New Roman"/>
          <w:sz w:val="28"/>
          <w:szCs w:val="28"/>
        </w:rPr>
        <w:t>not included in the analysis</w:t>
      </w:r>
      <w:r w:rsidR="00FD2CB5">
        <w:rPr>
          <w:rFonts w:ascii="Times New Roman" w:hAnsi="Times New Roman" w:cs="Times New Roman"/>
          <w:sz w:val="28"/>
          <w:szCs w:val="28"/>
        </w:rPr>
        <w:t>.</w:t>
      </w:r>
      <w:r w:rsidR="00043B77">
        <w:rPr>
          <w:rFonts w:ascii="Times New Roman" w:hAnsi="Times New Roman" w:cs="Times New Roman"/>
          <w:sz w:val="28"/>
          <w:szCs w:val="28"/>
        </w:rPr>
        <w:t xml:space="preserve"> The latter area was </w:t>
      </w:r>
      <w:r w:rsidR="00836AA2">
        <w:rPr>
          <w:rFonts w:ascii="Times New Roman" w:hAnsi="Times New Roman" w:cs="Times New Roman"/>
          <w:sz w:val="28"/>
          <w:szCs w:val="28"/>
        </w:rPr>
        <w:t>the primary concern of</w:t>
      </w:r>
      <w:r w:rsidR="00043B77">
        <w:rPr>
          <w:rFonts w:ascii="Times New Roman" w:hAnsi="Times New Roman" w:cs="Times New Roman"/>
          <w:sz w:val="28"/>
          <w:szCs w:val="28"/>
        </w:rPr>
        <w:t xml:space="preserve"> teachers and teacher unions.</w:t>
      </w:r>
      <w:r w:rsidR="00FD2CB5">
        <w:rPr>
          <w:rFonts w:ascii="Times New Roman" w:hAnsi="Times New Roman" w:cs="Times New Roman"/>
          <w:sz w:val="28"/>
          <w:szCs w:val="28"/>
        </w:rPr>
        <w:t xml:space="preserve"> </w:t>
      </w:r>
      <w:r w:rsidR="00836AA2">
        <w:rPr>
          <w:rFonts w:ascii="Times New Roman" w:hAnsi="Times New Roman" w:cs="Times New Roman"/>
          <w:sz w:val="28"/>
          <w:szCs w:val="28"/>
        </w:rPr>
        <w:t xml:space="preserve">This sole </w:t>
      </w:r>
      <w:r w:rsidR="00F86B9E">
        <w:rPr>
          <w:rFonts w:ascii="Times New Roman" w:hAnsi="Times New Roman" w:cs="Times New Roman"/>
          <w:sz w:val="28"/>
          <w:szCs w:val="28"/>
        </w:rPr>
        <w:t xml:space="preserve">reliance </w:t>
      </w:r>
      <w:r w:rsidR="00FD2CB5">
        <w:rPr>
          <w:rFonts w:ascii="Times New Roman" w:hAnsi="Times New Roman" w:cs="Times New Roman"/>
          <w:sz w:val="28"/>
          <w:szCs w:val="28"/>
        </w:rPr>
        <w:t xml:space="preserve">on average incomes </w:t>
      </w:r>
      <w:r w:rsidR="00836AA2">
        <w:rPr>
          <w:rFonts w:ascii="Times New Roman" w:hAnsi="Times New Roman" w:cs="Times New Roman"/>
          <w:sz w:val="28"/>
          <w:szCs w:val="28"/>
        </w:rPr>
        <w:t xml:space="preserve">also </w:t>
      </w:r>
      <w:r w:rsidR="00FD2CB5">
        <w:rPr>
          <w:rFonts w:ascii="Times New Roman" w:hAnsi="Times New Roman" w:cs="Times New Roman"/>
          <w:sz w:val="28"/>
          <w:szCs w:val="28"/>
        </w:rPr>
        <w:t>fail</w:t>
      </w:r>
      <w:r w:rsidR="00F86B9E">
        <w:rPr>
          <w:rFonts w:ascii="Times New Roman" w:hAnsi="Times New Roman" w:cs="Times New Roman"/>
          <w:sz w:val="28"/>
          <w:szCs w:val="28"/>
        </w:rPr>
        <w:t>ed</w:t>
      </w:r>
      <w:r w:rsidR="00FD2CB5">
        <w:rPr>
          <w:rFonts w:ascii="Times New Roman" w:hAnsi="Times New Roman" w:cs="Times New Roman"/>
          <w:sz w:val="28"/>
          <w:szCs w:val="28"/>
        </w:rPr>
        <w:t xml:space="preserve"> to take into account the heterogeneity of the primary school teaching force with respect to formal education and professional qualifications, experience, employment status, </w:t>
      </w:r>
      <w:r w:rsidR="00EC4625">
        <w:rPr>
          <w:rFonts w:ascii="Times New Roman" w:hAnsi="Times New Roman" w:cs="Times New Roman"/>
          <w:sz w:val="28"/>
          <w:szCs w:val="28"/>
        </w:rPr>
        <w:t xml:space="preserve">and </w:t>
      </w:r>
      <w:r w:rsidR="00FD2CB5">
        <w:rPr>
          <w:rFonts w:ascii="Times New Roman" w:hAnsi="Times New Roman" w:cs="Times New Roman"/>
          <w:sz w:val="28"/>
          <w:szCs w:val="28"/>
        </w:rPr>
        <w:t xml:space="preserve">school ownership.  </w:t>
      </w:r>
      <w:r w:rsidR="000B372B">
        <w:rPr>
          <w:rFonts w:ascii="Times New Roman" w:hAnsi="Times New Roman" w:cs="Times New Roman"/>
          <w:sz w:val="28"/>
          <w:szCs w:val="28"/>
        </w:rPr>
        <w:t xml:space="preserve"> </w:t>
      </w:r>
    </w:p>
    <w:p w:rsidR="00B151E8" w:rsidRDefault="0046330E" w:rsidP="0046330E">
      <w:pPr>
        <w:jc w:val="both"/>
        <w:rPr>
          <w:rFonts w:ascii="Times New Roman" w:hAnsi="Times New Roman" w:cs="Times New Roman"/>
          <w:sz w:val="28"/>
          <w:szCs w:val="28"/>
        </w:rPr>
      </w:pPr>
      <w:r>
        <w:rPr>
          <w:rFonts w:ascii="Times New Roman" w:hAnsi="Times New Roman" w:cs="Times New Roman"/>
          <w:sz w:val="28"/>
          <w:szCs w:val="28"/>
        </w:rPr>
        <w:t xml:space="preserve">Despite these shortcomings, </w:t>
      </w:r>
      <w:r w:rsidR="005D4526">
        <w:rPr>
          <w:rFonts w:ascii="Times New Roman" w:hAnsi="Times New Roman" w:cs="Times New Roman"/>
          <w:sz w:val="28"/>
          <w:szCs w:val="28"/>
        </w:rPr>
        <w:t xml:space="preserve">the PCGDP pay ratio continues to be referred to by </w:t>
      </w:r>
      <w:r w:rsidR="00092CC9">
        <w:rPr>
          <w:rFonts w:ascii="Times New Roman" w:hAnsi="Times New Roman" w:cs="Times New Roman"/>
          <w:sz w:val="28"/>
          <w:szCs w:val="28"/>
        </w:rPr>
        <w:t xml:space="preserve">leading </w:t>
      </w:r>
      <w:r w:rsidR="007545AC">
        <w:rPr>
          <w:rFonts w:ascii="Times New Roman" w:hAnsi="Times New Roman" w:cs="Times New Roman"/>
          <w:sz w:val="28"/>
          <w:szCs w:val="28"/>
        </w:rPr>
        <w:t>education economists</w:t>
      </w:r>
      <w:r>
        <w:rPr>
          <w:rFonts w:ascii="Times New Roman" w:hAnsi="Times New Roman" w:cs="Times New Roman"/>
          <w:sz w:val="28"/>
          <w:szCs w:val="28"/>
        </w:rPr>
        <w:t xml:space="preserve">. For example, </w:t>
      </w:r>
      <w:r w:rsidR="005D4526">
        <w:rPr>
          <w:rFonts w:ascii="Times New Roman" w:hAnsi="Times New Roman" w:cs="Times New Roman"/>
          <w:sz w:val="28"/>
          <w:szCs w:val="28"/>
        </w:rPr>
        <w:t>Mbiti</w:t>
      </w:r>
      <w:r w:rsidR="00AE352D">
        <w:rPr>
          <w:rFonts w:ascii="Times New Roman" w:hAnsi="Times New Roman" w:cs="Times New Roman"/>
          <w:sz w:val="28"/>
          <w:szCs w:val="28"/>
        </w:rPr>
        <w:t>, Romero and Schipper</w:t>
      </w:r>
      <w:r w:rsidR="005D4526">
        <w:rPr>
          <w:rFonts w:ascii="Times New Roman" w:hAnsi="Times New Roman" w:cs="Times New Roman"/>
          <w:sz w:val="28"/>
          <w:szCs w:val="28"/>
        </w:rPr>
        <w:t xml:space="preserve"> in an </w:t>
      </w:r>
      <w:r w:rsidR="00AE352D">
        <w:rPr>
          <w:rFonts w:ascii="Times New Roman" w:hAnsi="Times New Roman" w:cs="Times New Roman"/>
          <w:sz w:val="28"/>
          <w:szCs w:val="28"/>
        </w:rPr>
        <w:t>NBER working paper</w:t>
      </w:r>
      <w:r w:rsidR="005D4526">
        <w:rPr>
          <w:rFonts w:ascii="Times New Roman" w:hAnsi="Times New Roman" w:cs="Times New Roman"/>
          <w:sz w:val="28"/>
          <w:szCs w:val="28"/>
        </w:rPr>
        <w:t xml:space="preserve"> published in 2018</w:t>
      </w:r>
      <w:r>
        <w:rPr>
          <w:rFonts w:ascii="Times New Roman" w:hAnsi="Times New Roman" w:cs="Times New Roman"/>
          <w:sz w:val="28"/>
          <w:szCs w:val="28"/>
        </w:rPr>
        <w:t xml:space="preserve"> state that ‘teacher salaries (in Tanzania) are currently relatively high at roughly 4.5 times GDP per capita’ (p.6)</w:t>
      </w:r>
      <w:r w:rsidR="00BE499F">
        <w:rPr>
          <w:rFonts w:ascii="Times New Roman" w:hAnsi="Times New Roman" w:cs="Times New Roman"/>
          <w:sz w:val="28"/>
          <w:szCs w:val="28"/>
        </w:rPr>
        <w:t>. Similarly, Barton</w:t>
      </w:r>
      <w:r w:rsidR="00616000">
        <w:rPr>
          <w:rFonts w:ascii="Times New Roman" w:hAnsi="Times New Roman" w:cs="Times New Roman"/>
          <w:sz w:val="28"/>
          <w:szCs w:val="28"/>
        </w:rPr>
        <w:t xml:space="preserve">, Bold and Sandefur </w:t>
      </w:r>
      <w:r w:rsidR="00BE499F">
        <w:rPr>
          <w:rFonts w:ascii="Times New Roman" w:hAnsi="Times New Roman" w:cs="Times New Roman"/>
          <w:sz w:val="28"/>
          <w:szCs w:val="28"/>
        </w:rPr>
        <w:t xml:space="preserve">conclude that, in Kenya, ‘teachers working for the civil service earn almost twice annual GDP/capita, a higher ratio than in developed countries’ (2017:11). </w:t>
      </w:r>
    </w:p>
    <w:p w:rsidR="0046330E" w:rsidRDefault="00092CC9" w:rsidP="0046330E">
      <w:pPr>
        <w:jc w:val="both"/>
        <w:rPr>
          <w:rFonts w:ascii="Times New Roman" w:hAnsi="Times New Roman" w:cs="Times New Roman"/>
          <w:sz w:val="28"/>
          <w:szCs w:val="28"/>
        </w:rPr>
      </w:pPr>
      <w:r>
        <w:rPr>
          <w:rFonts w:ascii="Times New Roman" w:hAnsi="Times New Roman" w:cs="Times New Roman"/>
          <w:sz w:val="28"/>
          <w:szCs w:val="28"/>
        </w:rPr>
        <w:lastRenderedPageBreak/>
        <w:t>At a global level</w:t>
      </w:r>
      <w:r w:rsidR="00BE499F">
        <w:rPr>
          <w:rFonts w:ascii="Times New Roman" w:hAnsi="Times New Roman" w:cs="Times New Roman"/>
          <w:sz w:val="28"/>
          <w:szCs w:val="28"/>
        </w:rPr>
        <w:t xml:space="preserve">, </w:t>
      </w:r>
      <w:r w:rsidR="0046330E">
        <w:rPr>
          <w:rFonts w:ascii="Times New Roman" w:hAnsi="Times New Roman" w:cs="Times New Roman"/>
          <w:sz w:val="28"/>
          <w:szCs w:val="28"/>
        </w:rPr>
        <w:t xml:space="preserve">Sandefur </w:t>
      </w:r>
      <w:r>
        <w:rPr>
          <w:rFonts w:ascii="Times New Roman" w:hAnsi="Times New Roman" w:cs="Times New Roman"/>
          <w:sz w:val="28"/>
          <w:szCs w:val="28"/>
        </w:rPr>
        <w:t xml:space="preserve">also </w:t>
      </w:r>
      <w:r w:rsidR="00BE499F">
        <w:rPr>
          <w:rFonts w:ascii="Times New Roman" w:hAnsi="Times New Roman" w:cs="Times New Roman"/>
          <w:sz w:val="28"/>
          <w:szCs w:val="28"/>
        </w:rPr>
        <w:t xml:space="preserve">highlights the </w:t>
      </w:r>
      <w:r w:rsidR="0046330E">
        <w:rPr>
          <w:rFonts w:ascii="Times New Roman" w:hAnsi="Times New Roman" w:cs="Times New Roman"/>
          <w:sz w:val="28"/>
          <w:szCs w:val="28"/>
        </w:rPr>
        <w:t xml:space="preserve">large differences between PCGDP teacher pay ratios between developing and developed countries </w:t>
      </w:r>
      <w:r w:rsidR="00BE499F">
        <w:rPr>
          <w:rFonts w:ascii="Times New Roman" w:hAnsi="Times New Roman" w:cs="Times New Roman"/>
          <w:sz w:val="28"/>
          <w:szCs w:val="28"/>
        </w:rPr>
        <w:t xml:space="preserve">as clear evidence </w:t>
      </w:r>
      <w:r w:rsidR="0046330E">
        <w:rPr>
          <w:rFonts w:ascii="Times New Roman" w:hAnsi="Times New Roman" w:cs="Times New Roman"/>
          <w:sz w:val="28"/>
          <w:szCs w:val="28"/>
        </w:rPr>
        <w:t>that teachers in poor countries are ‘relatively rich’</w:t>
      </w:r>
      <w:r w:rsidR="00B151E8">
        <w:rPr>
          <w:rFonts w:ascii="Times New Roman" w:hAnsi="Times New Roman" w:cs="Times New Roman"/>
          <w:sz w:val="28"/>
          <w:szCs w:val="28"/>
        </w:rPr>
        <w:t xml:space="preserve"> and that ‘the common denominator of the most celebrated</w:t>
      </w:r>
      <w:r w:rsidR="005D4526">
        <w:rPr>
          <w:rFonts w:ascii="Times New Roman" w:hAnsi="Times New Roman" w:cs="Times New Roman"/>
          <w:sz w:val="28"/>
          <w:szCs w:val="28"/>
        </w:rPr>
        <w:t xml:space="preserve"> innovations</w:t>
      </w:r>
      <w:r w:rsidR="00B151E8">
        <w:rPr>
          <w:rFonts w:ascii="Times New Roman" w:hAnsi="Times New Roman" w:cs="Times New Roman"/>
          <w:sz w:val="28"/>
          <w:szCs w:val="28"/>
        </w:rPr>
        <w:t xml:space="preserve"> in global education today is cutting reliance on well-paid, public employees’(2018:np).    </w:t>
      </w:r>
      <w:r w:rsidR="00BE499F">
        <w:rPr>
          <w:rFonts w:ascii="Times New Roman" w:hAnsi="Times New Roman" w:cs="Times New Roman"/>
          <w:sz w:val="28"/>
          <w:szCs w:val="28"/>
        </w:rPr>
        <w:t xml:space="preserve"> </w:t>
      </w:r>
    </w:p>
    <w:p w:rsidR="00F972B9" w:rsidRDefault="00797A20" w:rsidP="00F972B9">
      <w:pPr>
        <w:jc w:val="both"/>
        <w:rPr>
          <w:rFonts w:ascii="Times New Roman" w:hAnsi="Times New Roman" w:cs="Times New Roman"/>
          <w:i/>
          <w:sz w:val="28"/>
          <w:szCs w:val="28"/>
        </w:rPr>
      </w:pPr>
      <w:r>
        <w:rPr>
          <w:rFonts w:ascii="Times New Roman" w:hAnsi="Times New Roman" w:cs="Times New Roman"/>
          <w:i/>
          <w:sz w:val="28"/>
          <w:szCs w:val="28"/>
        </w:rPr>
        <w:t xml:space="preserve">3.2 </w:t>
      </w:r>
      <w:r w:rsidR="00F972B9" w:rsidRPr="00F972B9">
        <w:rPr>
          <w:rFonts w:ascii="Times New Roman" w:hAnsi="Times New Roman" w:cs="Times New Roman"/>
          <w:i/>
          <w:sz w:val="28"/>
          <w:szCs w:val="28"/>
        </w:rPr>
        <w:t xml:space="preserve">The demise of the </w:t>
      </w:r>
      <w:r w:rsidR="000707C1">
        <w:rPr>
          <w:rFonts w:ascii="Times New Roman" w:hAnsi="Times New Roman" w:cs="Times New Roman"/>
          <w:i/>
          <w:sz w:val="28"/>
          <w:szCs w:val="28"/>
        </w:rPr>
        <w:t>PCGDP</w:t>
      </w:r>
      <w:r w:rsidR="00F972B9" w:rsidRPr="00F972B9">
        <w:rPr>
          <w:rFonts w:ascii="Times New Roman" w:hAnsi="Times New Roman" w:cs="Times New Roman"/>
          <w:i/>
          <w:sz w:val="28"/>
          <w:szCs w:val="28"/>
        </w:rPr>
        <w:t xml:space="preserve"> </w:t>
      </w:r>
      <w:r w:rsidR="00CD32A4">
        <w:rPr>
          <w:rFonts w:ascii="Times New Roman" w:hAnsi="Times New Roman" w:cs="Times New Roman"/>
          <w:i/>
          <w:sz w:val="28"/>
          <w:szCs w:val="28"/>
        </w:rPr>
        <w:t xml:space="preserve">pay </w:t>
      </w:r>
      <w:r w:rsidR="00F972B9" w:rsidRPr="00F972B9">
        <w:rPr>
          <w:rFonts w:ascii="Times New Roman" w:hAnsi="Times New Roman" w:cs="Times New Roman"/>
          <w:i/>
          <w:sz w:val="28"/>
          <w:szCs w:val="28"/>
        </w:rPr>
        <w:t>ratio</w:t>
      </w:r>
    </w:p>
    <w:p w:rsidR="006B2346" w:rsidRPr="00B461C6" w:rsidRDefault="006B2346" w:rsidP="006B2346">
      <w:pPr>
        <w:jc w:val="both"/>
        <w:rPr>
          <w:rFonts w:ascii="Times New Roman" w:hAnsi="Times New Roman" w:cs="Times New Roman"/>
          <w:sz w:val="28"/>
          <w:szCs w:val="28"/>
        </w:rPr>
      </w:pPr>
      <w:r>
        <w:rPr>
          <w:rFonts w:ascii="Times New Roman" w:hAnsi="Times New Roman" w:cs="Times New Roman"/>
          <w:sz w:val="28"/>
          <w:szCs w:val="28"/>
        </w:rPr>
        <w:t xml:space="preserve">It is noticeable that, since the mid-2010s, the </w:t>
      </w:r>
      <w:r w:rsidR="008603B9">
        <w:rPr>
          <w:rFonts w:ascii="Times New Roman" w:hAnsi="Times New Roman" w:cs="Times New Roman"/>
          <w:sz w:val="28"/>
          <w:szCs w:val="28"/>
        </w:rPr>
        <w:t xml:space="preserve">PCGDP 3.5 </w:t>
      </w:r>
      <w:r>
        <w:rPr>
          <w:rFonts w:ascii="Times New Roman" w:hAnsi="Times New Roman" w:cs="Times New Roman"/>
          <w:sz w:val="28"/>
          <w:szCs w:val="28"/>
        </w:rPr>
        <w:t xml:space="preserve">teacher </w:t>
      </w:r>
      <w:r w:rsidR="008603B9">
        <w:rPr>
          <w:rFonts w:ascii="Times New Roman" w:hAnsi="Times New Roman" w:cs="Times New Roman"/>
          <w:sz w:val="28"/>
          <w:szCs w:val="28"/>
        </w:rPr>
        <w:t>pay benchmark ratio</w:t>
      </w:r>
      <w:r>
        <w:rPr>
          <w:rFonts w:ascii="Times New Roman" w:hAnsi="Times New Roman" w:cs="Times New Roman"/>
          <w:sz w:val="28"/>
          <w:szCs w:val="28"/>
        </w:rPr>
        <w:t xml:space="preserve"> </w:t>
      </w:r>
      <w:r w:rsidR="006747A8">
        <w:rPr>
          <w:rFonts w:ascii="Times New Roman" w:hAnsi="Times New Roman" w:cs="Times New Roman"/>
          <w:sz w:val="28"/>
          <w:szCs w:val="28"/>
        </w:rPr>
        <w:t xml:space="preserve">has been </w:t>
      </w:r>
      <w:r w:rsidR="005D4526">
        <w:rPr>
          <w:rFonts w:ascii="Times New Roman" w:hAnsi="Times New Roman" w:cs="Times New Roman"/>
          <w:sz w:val="28"/>
          <w:szCs w:val="28"/>
        </w:rPr>
        <w:t xml:space="preserve">rarely </w:t>
      </w:r>
      <w:r w:rsidR="008603B9">
        <w:rPr>
          <w:rFonts w:ascii="Times New Roman" w:hAnsi="Times New Roman" w:cs="Times New Roman"/>
          <w:sz w:val="28"/>
          <w:szCs w:val="28"/>
        </w:rPr>
        <w:t xml:space="preserve">mentioned in World Bank education </w:t>
      </w:r>
      <w:r>
        <w:rPr>
          <w:rFonts w:ascii="Times New Roman" w:hAnsi="Times New Roman" w:cs="Times New Roman"/>
          <w:sz w:val="28"/>
          <w:szCs w:val="28"/>
        </w:rPr>
        <w:t xml:space="preserve">policy </w:t>
      </w:r>
      <w:r w:rsidR="008603B9">
        <w:rPr>
          <w:rFonts w:ascii="Times New Roman" w:hAnsi="Times New Roman" w:cs="Times New Roman"/>
          <w:sz w:val="28"/>
          <w:szCs w:val="28"/>
        </w:rPr>
        <w:t>reports and recommendations</w:t>
      </w:r>
      <w:r>
        <w:rPr>
          <w:rFonts w:ascii="Times New Roman" w:hAnsi="Times New Roman" w:cs="Times New Roman"/>
          <w:sz w:val="28"/>
          <w:szCs w:val="28"/>
        </w:rPr>
        <w:t>. No</w:t>
      </w:r>
      <w:r w:rsidR="008603B9">
        <w:rPr>
          <w:rFonts w:ascii="Times New Roman" w:hAnsi="Times New Roman" w:cs="Times New Roman"/>
          <w:sz w:val="28"/>
          <w:szCs w:val="28"/>
        </w:rPr>
        <w:t xml:space="preserve">r is </w:t>
      </w:r>
      <w:r w:rsidR="007C52DC">
        <w:rPr>
          <w:rFonts w:ascii="Times New Roman" w:hAnsi="Times New Roman" w:cs="Times New Roman"/>
          <w:sz w:val="28"/>
          <w:szCs w:val="28"/>
        </w:rPr>
        <w:t xml:space="preserve">it </w:t>
      </w:r>
      <w:r>
        <w:rPr>
          <w:rFonts w:ascii="Times New Roman" w:hAnsi="Times New Roman" w:cs="Times New Roman"/>
          <w:sz w:val="28"/>
          <w:szCs w:val="28"/>
        </w:rPr>
        <w:t>used</w:t>
      </w:r>
      <w:r w:rsidR="007C52DC">
        <w:rPr>
          <w:rFonts w:ascii="Times New Roman" w:hAnsi="Times New Roman" w:cs="Times New Roman"/>
          <w:sz w:val="28"/>
          <w:szCs w:val="28"/>
        </w:rPr>
        <w:t xml:space="preserve"> any </w:t>
      </w:r>
      <w:r w:rsidR="00A07157">
        <w:rPr>
          <w:rFonts w:ascii="Times New Roman" w:hAnsi="Times New Roman" w:cs="Times New Roman"/>
          <w:sz w:val="28"/>
          <w:szCs w:val="28"/>
        </w:rPr>
        <w:t xml:space="preserve">longer </w:t>
      </w:r>
      <w:r w:rsidR="008603B9">
        <w:rPr>
          <w:rFonts w:ascii="Times New Roman" w:hAnsi="Times New Roman" w:cs="Times New Roman"/>
          <w:sz w:val="28"/>
          <w:szCs w:val="28"/>
        </w:rPr>
        <w:t xml:space="preserve">as a benchmark indicator </w:t>
      </w:r>
      <w:r>
        <w:rPr>
          <w:rFonts w:ascii="Times New Roman" w:hAnsi="Times New Roman" w:cs="Times New Roman"/>
          <w:sz w:val="28"/>
          <w:szCs w:val="28"/>
        </w:rPr>
        <w:t xml:space="preserve">by the Global Partnership for Education which </w:t>
      </w:r>
      <w:r w:rsidR="008603B9">
        <w:rPr>
          <w:rFonts w:ascii="Times New Roman" w:hAnsi="Times New Roman" w:cs="Times New Roman"/>
          <w:sz w:val="28"/>
          <w:szCs w:val="28"/>
        </w:rPr>
        <w:t xml:space="preserve">replaced </w:t>
      </w:r>
      <w:r>
        <w:rPr>
          <w:rFonts w:ascii="Times New Roman" w:hAnsi="Times New Roman" w:cs="Times New Roman"/>
          <w:sz w:val="28"/>
          <w:szCs w:val="28"/>
        </w:rPr>
        <w:t xml:space="preserve">the </w:t>
      </w:r>
      <w:r w:rsidR="00034505">
        <w:rPr>
          <w:rFonts w:ascii="Times New Roman" w:hAnsi="Times New Roman" w:cs="Times New Roman"/>
          <w:sz w:val="28"/>
          <w:szCs w:val="28"/>
        </w:rPr>
        <w:t>EFA-</w:t>
      </w:r>
      <w:r>
        <w:rPr>
          <w:rFonts w:ascii="Times New Roman" w:hAnsi="Times New Roman" w:cs="Times New Roman"/>
          <w:sz w:val="28"/>
          <w:szCs w:val="28"/>
        </w:rPr>
        <w:t xml:space="preserve">FTI </w:t>
      </w:r>
      <w:r w:rsidR="008603B9">
        <w:rPr>
          <w:rFonts w:ascii="Times New Roman" w:hAnsi="Times New Roman" w:cs="Times New Roman"/>
          <w:sz w:val="28"/>
          <w:szCs w:val="28"/>
        </w:rPr>
        <w:t>in</w:t>
      </w:r>
      <w:r>
        <w:rPr>
          <w:rFonts w:ascii="Times New Roman" w:hAnsi="Times New Roman" w:cs="Times New Roman"/>
          <w:sz w:val="28"/>
          <w:szCs w:val="28"/>
        </w:rPr>
        <w:t xml:space="preserve"> 2014.  </w:t>
      </w:r>
    </w:p>
    <w:p w:rsidR="00A07157" w:rsidRDefault="00CD32A4" w:rsidP="006B2346">
      <w:pPr>
        <w:jc w:val="both"/>
        <w:rPr>
          <w:rFonts w:ascii="Times New Roman" w:hAnsi="Times New Roman" w:cs="Times New Roman"/>
          <w:sz w:val="28"/>
          <w:szCs w:val="28"/>
        </w:rPr>
      </w:pPr>
      <w:r>
        <w:rPr>
          <w:rFonts w:ascii="Times New Roman" w:hAnsi="Times New Roman" w:cs="Times New Roman"/>
          <w:sz w:val="28"/>
          <w:szCs w:val="28"/>
        </w:rPr>
        <w:t xml:space="preserve">There are </w:t>
      </w:r>
      <w:r w:rsidR="00237941">
        <w:rPr>
          <w:rFonts w:ascii="Times New Roman" w:hAnsi="Times New Roman" w:cs="Times New Roman"/>
          <w:sz w:val="28"/>
          <w:szCs w:val="28"/>
        </w:rPr>
        <w:t xml:space="preserve">a number of possible </w:t>
      </w:r>
      <w:r>
        <w:rPr>
          <w:rFonts w:ascii="Times New Roman" w:hAnsi="Times New Roman" w:cs="Times New Roman"/>
          <w:sz w:val="28"/>
          <w:szCs w:val="28"/>
        </w:rPr>
        <w:t>reasons why the attachment of the World Bank and other key organisations such as the IMF to the PCGDP teacher pay indicator</w:t>
      </w:r>
      <w:r w:rsidR="00237941">
        <w:rPr>
          <w:rFonts w:ascii="Times New Roman" w:hAnsi="Times New Roman" w:cs="Times New Roman"/>
          <w:sz w:val="28"/>
          <w:szCs w:val="28"/>
        </w:rPr>
        <w:t xml:space="preserve"> has declined so appreciably in recent years</w:t>
      </w:r>
      <w:r>
        <w:rPr>
          <w:rFonts w:ascii="Times New Roman" w:hAnsi="Times New Roman" w:cs="Times New Roman"/>
          <w:sz w:val="28"/>
          <w:szCs w:val="28"/>
        </w:rPr>
        <w:t xml:space="preserve">. </w:t>
      </w:r>
      <w:r w:rsidR="006B2346">
        <w:rPr>
          <w:rFonts w:ascii="Times New Roman" w:hAnsi="Times New Roman" w:cs="Times New Roman"/>
          <w:sz w:val="28"/>
          <w:szCs w:val="28"/>
        </w:rPr>
        <w:t xml:space="preserve">Firstly, </w:t>
      </w:r>
      <w:r w:rsidR="001F7807">
        <w:rPr>
          <w:rFonts w:ascii="Times New Roman" w:hAnsi="Times New Roman" w:cs="Times New Roman"/>
          <w:sz w:val="28"/>
          <w:szCs w:val="28"/>
        </w:rPr>
        <w:t xml:space="preserve">the adoption of a </w:t>
      </w:r>
      <w:r w:rsidR="006B2346">
        <w:rPr>
          <w:rFonts w:ascii="Times New Roman" w:hAnsi="Times New Roman" w:cs="Times New Roman"/>
          <w:sz w:val="28"/>
          <w:szCs w:val="28"/>
        </w:rPr>
        <w:t xml:space="preserve">universal benchmark </w:t>
      </w:r>
      <w:r>
        <w:rPr>
          <w:rFonts w:ascii="Times New Roman" w:hAnsi="Times New Roman" w:cs="Times New Roman"/>
          <w:sz w:val="28"/>
          <w:szCs w:val="28"/>
        </w:rPr>
        <w:t xml:space="preserve">teacher </w:t>
      </w:r>
      <w:r w:rsidR="001F7807">
        <w:rPr>
          <w:rFonts w:ascii="Times New Roman" w:hAnsi="Times New Roman" w:cs="Times New Roman"/>
          <w:sz w:val="28"/>
          <w:szCs w:val="28"/>
        </w:rPr>
        <w:t>pay indicator across a continent of over 40 countries</w:t>
      </w:r>
      <w:r w:rsidR="00092CC9">
        <w:rPr>
          <w:rFonts w:ascii="Times New Roman" w:hAnsi="Times New Roman" w:cs="Times New Roman"/>
          <w:sz w:val="28"/>
          <w:szCs w:val="28"/>
        </w:rPr>
        <w:t>,</w:t>
      </w:r>
      <w:r w:rsidR="001F7807">
        <w:rPr>
          <w:rFonts w:ascii="Times New Roman" w:hAnsi="Times New Roman" w:cs="Times New Roman"/>
          <w:sz w:val="28"/>
          <w:szCs w:val="28"/>
        </w:rPr>
        <w:t xml:space="preserve"> let alone the developing world as a whole</w:t>
      </w:r>
      <w:r w:rsidR="00092CC9">
        <w:rPr>
          <w:rFonts w:ascii="Times New Roman" w:hAnsi="Times New Roman" w:cs="Times New Roman"/>
          <w:sz w:val="28"/>
          <w:szCs w:val="28"/>
        </w:rPr>
        <w:t>,</w:t>
      </w:r>
      <w:r w:rsidR="001F7807">
        <w:rPr>
          <w:rFonts w:ascii="Times New Roman" w:hAnsi="Times New Roman" w:cs="Times New Roman"/>
          <w:sz w:val="28"/>
          <w:szCs w:val="28"/>
        </w:rPr>
        <w:t xml:space="preserve"> was criticised as being </w:t>
      </w:r>
      <w:r w:rsidR="00034505">
        <w:rPr>
          <w:rFonts w:ascii="Times New Roman" w:hAnsi="Times New Roman" w:cs="Times New Roman"/>
          <w:sz w:val="28"/>
          <w:szCs w:val="28"/>
        </w:rPr>
        <w:t xml:space="preserve">too </w:t>
      </w:r>
      <w:r w:rsidR="001F7807">
        <w:rPr>
          <w:rFonts w:ascii="Times New Roman" w:hAnsi="Times New Roman" w:cs="Times New Roman"/>
          <w:sz w:val="28"/>
          <w:szCs w:val="28"/>
        </w:rPr>
        <w:t xml:space="preserve">crude and </w:t>
      </w:r>
      <w:r w:rsidR="006B2346">
        <w:rPr>
          <w:rFonts w:ascii="Times New Roman" w:hAnsi="Times New Roman" w:cs="Times New Roman"/>
          <w:sz w:val="28"/>
          <w:szCs w:val="28"/>
        </w:rPr>
        <w:t xml:space="preserve">simplistic. </w:t>
      </w:r>
      <w:r w:rsidR="001F7807">
        <w:rPr>
          <w:rFonts w:ascii="Times New Roman" w:hAnsi="Times New Roman" w:cs="Times New Roman"/>
          <w:sz w:val="28"/>
          <w:szCs w:val="28"/>
        </w:rPr>
        <w:t>More widely, it was viewed, particularly by teacher tra</w:t>
      </w:r>
      <w:r w:rsidR="00EC4625">
        <w:rPr>
          <w:rFonts w:ascii="Times New Roman" w:hAnsi="Times New Roman" w:cs="Times New Roman"/>
          <w:sz w:val="28"/>
          <w:szCs w:val="28"/>
        </w:rPr>
        <w:t xml:space="preserve">de unions, as part of the </w:t>
      </w:r>
      <w:r w:rsidR="001F7807">
        <w:rPr>
          <w:rFonts w:ascii="Times New Roman" w:hAnsi="Times New Roman" w:cs="Times New Roman"/>
          <w:sz w:val="28"/>
          <w:szCs w:val="28"/>
        </w:rPr>
        <w:t>Bank’s generally negative attitudes to teachers</w:t>
      </w:r>
      <w:r w:rsidR="006B2346">
        <w:rPr>
          <w:rFonts w:ascii="Times New Roman" w:hAnsi="Times New Roman" w:cs="Times New Roman"/>
          <w:sz w:val="28"/>
          <w:szCs w:val="28"/>
        </w:rPr>
        <w:t xml:space="preserve">. </w:t>
      </w:r>
    </w:p>
    <w:p w:rsidR="007A1C9C" w:rsidRDefault="004974B7" w:rsidP="006B2346">
      <w:pPr>
        <w:jc w:val="both"/>
        <w:rPr>
          <w:rFonts w:ascii="Times New Roman" w:hAnsi="Times New Roman" w:cs="Times New Roman"/>
          <w:sz w:val="28"/>
          <w:szCs w:val="28"/>
        </w:rPr>
      </w:pPr>
      <w:r>
        <w:rPr>
          <w:rFonts w:ascii="Times New Roman" w:hAnsi="Times New Roman" w:cs="Times New Roman"/>
          <w:sz w:val="28"/>
          <w:szCs w:val="28"/>
        </w:rPr>
        <w:t xml:space="preserve">More recently, the </w:t>
      </w:r>
      <w:r w:rsidR="000707C1">
        <w:rPr>
          <w:rFonts w:ascii="Times New Roman" w:hAnsi="Times New Roman" w:cs="Times New Roman"/>
          <w:sz w:val="28"/>
          <w:szCs w:val="28"/>
        </w:rPr>
        <w:t>Bank has adopted a</w:t>
      </w:r>
      <w:r w:rsidR="001F7807">
        <w:rPr>
          <w:rFonts w:ascii="Times New Roman" w:hAnsi="Times New Roman" w:cs="Times New Roman"/>
          <w:sz w:val="28"/>
          <w:szCs w:val="28"/>
        </w:rPr>
        <w:t xml:space="preserve"> more </w:t>
      </w:r>
      <w:r w:rsidR="007A1C9C">
        <w:rPr>
          <w:rFonts w:ascii="Times New Roman" w:hAnsi="Times New Roman" w:cs="Times New Roman"/>
          <w:sz w:val="28"/>
          <w:szCs w:val="28"/>
        </w:rPr>
        <w:t xml:space="preserve">sophisticated </w:t>
      </w:r>
      <w:r w:rsidR="00616000">
        <w:rPr>
          <w:rFonts w:ascii="Times New Roman" w:hAnsi="Times New Roman" w:cs="Times New Roman"/>
          <w:sz w:val="28"/>
          <w:szCs w:val="28"/>
        </w:rPr>
        <w:t xml:space="preserve">analytical </w:t>
      </w:r>
      <w:r w:rsidR="007A1C9C">
        <w:rPr>
          <w:rFonts w:ascii="Times New Roman" w:hAnsi="Times New Roman" w:cs="Times New Roman"/>
          <w:sz w:val="28"/>
          <w:szCs w:val="28"/>
        </w:rPr>
        <w:t xml:space="preserve">approach </w:t>
      </w:r>
      <w:r w:rsidR="000707C1">
        <w:rPr>
          <w:rFonts w:ascii="Times New Roman" w:hAnsi="Times New Roman" w:cs="Times New Roman"/>
          <w:sz w:val="28"/>
          <w:szCs w:val="28"/>
        </w:rPr>
        <w:t>to teacher pay and other teacher policy issues which is reflected in its key flagship publications</w:t>
      </w:r>
      <w:r w:rsidR="00616000">
        <w:rPr>
          <w:rFonts w:ascii="Times New Roman" w:hAnsi="Times New Roman" w:cs="Times New Roman"/>
          <w:sz w:val="28"/>
          <w:szCs w:val="28"/>
        </w:rPr>
        <w:t xml:space="preserve"> on education</w:t>
      </w:r>
      <w:r w:rsidR="000707C1">
        <w:rPr>
          <w:rFonts w:ascii="Times New Roman" w:hAnsi="Times New Roman" w:cs="Times New Roman"/>
          <w:sz w:val="28"/>
          <w:szCs w:val="28"/>
        </w:rPr>
        <w:t xml:space="preserve">. For example, </w:t>
      </w:r>
      <w:r w:rsidR="00616000">
        <w:rPr>
          <w:rFonts w:ascii="Times New Roman" w:hAnsi="Times New Roman" w:cs="Times New Roman"/>
          <w:sz w:val="28"/>
          <w:szCs w:val="28"/>
        </w:rPr>
        <w:t xml:space="preserve">its </w:t>
      </w:r>
      <w:r w:rsidR="00A07157">
        <w:rPr>
          <w:rFonts w:ascii="Times New Roman" w:hAnsi="Times New Roman" w:cs="Times New Roman"/>
          <w:sz w:val="28"/>
          <w:szCs w:val="28"/>
        </w:rPr>
        <w:t>2018</w:t>
      </w:r>
      <w:r w:rsidR="000707C1">
        <w:rPr>
          <w:rFonts w:ascii="Times New Roman" w:hAnsi="Times New Roman" w:cs="Times New Roman"/>
          <w:sz w:val="28"/>
          <w:szCs w:val="28"/>
        </w:rPr>
        <w:t xml:space="preserve"> policy review of basic education in SSA entitled </w:t>
      </w:r>
      <w:r w:rsidR="00616000">
        <w:rPr>
          <w:rFonts w:ascii="Times New Roman" w:hAnsi="Times New Roman" w:cs="Times New Roman"/>
          <w:sz w:val="28"/>
          <w:szCs w:val="28"/>
        </w:rPr>
        <w:t>‘</w:t>
      </w:r>
      <w:r w:rsidR="000707C1">
        <w:rPr>
          <w:rFonts w:ascii="Times New Roman" w:hAnsi="Times New Roman" w:cs="Times New Roman"/>
          <w:sz w:val="28"/>
          <w:szCs w:val="28"/>
        </w:rPr>
        <w:t xml:space="preserve">Facing Forward: </w:t>
      </w:r>
      <w:r w:rsidR="00A07157">
        <w:rPr>
          <w:rFonts w:ascii="Times New Roman" w:hAnsi="Times New Roman" w:cs="Times New Roman"/>
          <w:sz w:val="28"/>
          <w:szCs w:val="28"/>
        </w:rPr>
        <w:t>Schooling for Learning in Africa</w:t>
      </w:r>
      <w:r w:rsidR="00616000">
        <w:rPr>
          <w:rFonts w:ascii="Times New Roman" w:hAnsi="Times New Roman" w:cs="Times New Roman"/>
          <w:sz w:val="28"/>
          <w:szCs w:val="28"/>
        </w:rPr>
        <w:t>’</w:t>
      </w:r>
      <w:r w:rsidR="00A07157">
        <w:rPr>
          <w:rFonts w:ascii="Times New Roman" w:hAnsi="Times New Roman" w:cs="Times New Roman"/>
          <w:sz w:val="28"/>
          <w:szCs w:val="28"/>
        </w:rPr>
        <w:t xml:space="preserve"> </w:t>
      </w:r>
      <w:r w:rsidR="000707C1">
        <w:rPr>
          <w:rFonts w:ascii="Times New Roman" w:hAnsi="Times New Roman" w:cs="Times New Roman"/>
          <w:sz w:val="28"/>
          <w:szCs w:val="28"/>
        </w:rPr>
        <w:t>states that ‘t</w:t>
      </w:r>
      <w:r w:rsidR="007A1C9C">
        <w:rPr>
          <w:rFonts w:ascii="Times New Roman" w:hAnsi="Times New Roman" w:cs="Times New Roman"/>
          <w:sz w:val="28"/>
          <w:szCs w:val="28"/>
        </w:rPr>
        <w:t>eacher compensation issues are complex, in part because they require intricate negotiations typically involving teacher unions, and multiple parties in government, including ministries of education and of finance</w:t>
      </w:r>
      <w:r w:rsidR="000707C1">
        <w:rPr>
          <w:rFonts w:ascii="Times New Roman" w:hAnsi="Times New Roman" w:cs="Times New Roman"/>
          <w:sz w:val="28"/>
          <w:szCs w:val="28"/>
        </w:rPr>
        <w:t>’</w:t>
      </w:r>
      <w:r w:rsidR="00616000">
        <w:rPr>
          <w:rFonts w:ascii="Times New Roman" w:hAnsi="Times New Roman" w:cs="Times New Roman"/>
          <w:sz w:val="28"/>
          <w:szCs w:val="28"/>
        </w:rPr>
        <w:t>(B</w:t>
      </w:r>
      <w:r w:rsidR="009A5619">
        <w:rPr>
          <w:rFonts w:ascii="Times New Roman" w:hAnsi="Times New Roman" w:cs="Times New Roman"/>
          <w:sz w:val="28"/>
          <w:szCs w:val="28"/>
        </w:rPr>
        <w:t xml:space="preserve">ashir et al. </w:t>
      </w:r>
      <w:r w:rsidR="00616000">
        <w:rPr>
          <w:rFonts w:ascii="Times New Roman" w:hAnsi="Times New Roman" w:cs="Times New Roman"/>
          <w:sz w:val="28"/>
          <w:szCs w:val="28"/>
        </w:rPr>
        <w:t>2018: 253</w:t>
      </w:r>
      <w:r w:rsidR="00A07157">
        <w:rPr>
          <w:rFonts w:ascii="Times New Roman" w:hAnsi="Times New Roman" w:cs="Times New Roman"/>
          <w:sz w:val="28"/>
          <w:szCs w:val="28"/>
        </w:rPr>
        <w:t>)</w:t>
      </w:r>
      <w:r w:rsidR="007A1C9C">
        <w:rPr>
          <w:rFonts w:ascii="Times New Roman" w:hAnsi="Times New Roman" w:cs="Times New Roman"/>
          <w:sz w:val="28"/>
          <w:szCs w:val="28"/>
        </w:rPr>
        <w:t>.</w:t>
      </w:r>
      <w:r w:rsidR="00D2148D">
        <w:rPr>
          <w:rFonts w:ascii="Times New Roman" w:hAnsi="Times New Roman" w:cs="Times New Roman"/>
          <w:sz w:val="28"/>
          <w:szCs w:val="28"/>
        </w:rPr>
        <w:t xml:space="preserve"> </w:t>
      </w:r>
      <w:r w:rsidR="000707C1">
        <w:rPr>
          <w:rFonts w:ascii="Times New Roman" w:hAnsi="Times New Roman" w:cs="Times New Roman"/>
          <w:sz w:val="28"/>
          <w:szCs w:val="28"/>
        </w:rPr>
        <w:t>In a similar vein</w:t>
      </w:r>
      <w:r w:rsidR="00A07157">
        <w:rPr>
          <w:rFonts w:ascii="Times New Roman" w:hAnsi="Times New Roman" w:cs="Times New Roman"/>
          <w:sz w:val="28"/>
          <w:szCs w:val="28"/>
        </w:rPr>
        <w:t>,</w:t>
      </w:r>
      <w:r w:rsidR="000707C1">
        <w:rPr>
          <w:rFonts w:ascii="Times New Roman" w:hAnsi="Times New Roman" w:cs="Times New Roman"/>
          <w:sz w:val="28"/>
          <w:szCs w:val="28"/>
        </w:rPr>
        <w:t xml:space="preserve"> Evans et al</w:t>
      </w:r>
      <w:r w:rsidR="0049797A">
        <w:rPr>
          <w:rFonts w:ascii="Times New Roman" w:hAnsi="Times New Roman" w:cs="Times New Roman"/>
          <w:sz w:val="28"/>
          <w:szCs w:val="28"/>
        </w:rPr>
        <w:t>.</w:t>
      </w:r>
      <w:r w:rsidR="000707C1">
        <w:rPr>
          <w:rFonts w:ascii="Times New Roman" w:hAnsi="Times New Roman" w:cs="Times New Roman"/>
          <w:sz w:val="28"/>
          <w:szCs w:val="28"/>
        </w:rPr>
        <w:t xml:space="preserve"> highlight the ‘danger of adopting a single narrative about compensation for teachers or other public sector workers’ since ‘teacher pay differentials and the structure of teacher pay vary so much from one country, even on the same continent’ </w:t>
      </w:r>
      <w:r w:rsidR="00616000">
        <w:rPr>
          <w:rFonts w:ascii="Times New Roman" w:hAnsi="Times New Roman" w:cs="Times New Roman"/>
          <w:sz w:val="28"/>
          <w:szCs w:val="28"/>
        </w:rPr>
        <w:t xml:space="preserve">(2020: </w:t>
      </w:r>
      <w:r w:rsidR="000707C1">
        <w:rPr>
          <w:rFonts w:ascii="Times New Roman" w:hAnsi="Times New Roman" w:cs="Times New Roman"/>
          <w:sz w:val="28"/>
          <w:szCs w:val="28"/>
        </w:rPr>
        <w:t>16</w:t>
      </w:r>
      <w:r w:rsidR="00616000">
        <w:rPr>
          <w:rFonts w:ascii="Times New Roman" w:hAnsi="Times New Roman" w:cs="Times New Roman"/>
          <w:sz w:val="28"/>
          <w:szCs w:val="28"/>
        </w:rPr>
        <w:t>)</w:t>
      </w:r>
      <w:r w:rsidR="000707C1">
        <w:rPr>
          <w:rFonts w:ascii="Times New Roman" w:hAnsi="Times New Roman" w:cs="Times New Roman"/>
          <w:sz w:val="28"/>
          <w:szCs w:val="28"/>
        </w:rPr>
        <w:t xml:space="preserve">. </w:t>
      </w:r>
      <w:r w:rsidR="00D2148D">
        <w:rPr>
          <w:rFonts w:ascii="Times New Roman" w:hAnsi="Times New Roman" w:cs="Times New Roman"/>
          <w:sz w:val="28"/>
          <w:szCs w:val="28"/>
        </w:rPr>
        <w:t xml:space="preserve">As will be discussed below, this more </w:t>
      </w:r>
      <w:r w:rsidR="00092CC9">
        <w:rPr>
          <w:rFonts w:ascii="Times New Roman" w:hAnsi="Times New Roman" w:cs="Times New Roman"/>
          <w:sz w:val="28"/>
          <w:szCs w:val="28"/>
        </w:rPr>
        <w:t>nuanced</w:t>
      </w:r>
      <w:r w:rsidR="00D2148D">
        <w:rPr>
          <w:rFonts w:ascii="Times New Roman" w:hAnsi="Times New Roman" w:cs="Times New Roman"/>
          <w:sz w:val="28"/>
          <w:szCs w:val="28"/>
        </w:rPr>
        <w:t xml:space="preserve"> approach has led to noticeable shift in the Bank’s recommendations and </w:t>
      </w:r>
      <w:r>
        <w:rPr>
          <w:rFonts w:ascii="Times New Roman" w:hAnsi="Times New Roman" w:cs="Times New Roman"/>
          <w:sz w:val="28"/>
          <w:szCs w:val="28"/>
        </w:rPr>
        <w:t xml:space="preserve">statements concerning </w:t>
      </w:r>
      <w:r w:rsidR="00D2148D">
        <w:rPr>
          <w:rFonts w:ascii="Times New Roman" w:hAnsi="Times New Roman" w:cs="Times New Roman"/>
          <w:sz w:val="28"/>
          <w:szCs w:val="28"/>
        </w:rPr>
        <w:t xml:space="preserve">teacher pay. </w:t>
      </w:r>
    </w:p>
    <w:p w:rsidR="00CB7638" w:rsidRDefault="006B2346" w:rsidP="006B2346">
      <w:pPr>
        <w:jc w:val="both"/>
        <w:rPr>
          <w:rFonts w:ascii="Times New Roman" w:hAnsi="Times New Roman" w:cs="Times New Roman"/>
          <w:sz w:val="28"/>
          <w:szCs w:val="28"/>
        </w:rPr>
      </w:pPr>
      <w:r>
        <w:rPr>
          <w:rFonts w:ascii="Times New Roman" w:hAnsi="Times New Roman" w:cs="Times New Roman"/>
          <w:sz w:val="28"/>
          <w:szCs w:val="28"/>
        </w:rPr>
        <w:t xml:space="preserve">Secondly, </w:t>
      </w:r>
      <w:r w:rsidR="003C21FA">
        <w:rPr>
          <w:rFonts w:ascii="Times New Roman" w:hAnsi="Times New Roman" w:cs="Times New Roman"/>
          <w:sz w:val="28"/>
          <w:szCs w:val="28"/>
        </w:rPr>
        <w:t xml:space="preserve">the </w:t>
      </w:r>
      <w:r w:rsidR="00092CC9">
        <w:rPr>
          <w:rFonts w:ascii="Times New Roman" w:hAnsi="Times New Roman" w:cs="Times New Roman"/>
          <w:sz w:val="28"/>
          <w:szCs w:val="28"/>
        </w:rPr>
        <w:t>PC</w:t>
      </w:r>
      <w:r w:rsidR="003C21FA">
        <w:rPr>
          <w:rFonts w:ascii="Times New Roman" w:hAnsi="Times New Roman" w:cs="Times New Roman"/>
          <w:sz w:val="28"/>
          <w:szCs w:val="28"/>
        </w:rPr>
        <w:t xml:space="preserve">GDP pay ratio </w:t>
      </w:r>
      <w:r w:rsidR="00CB7638">
        <w:rPr>
          <w:rFonts w:ascii="Times New Roman" w:hAnsi="Times New Roman" w:cs="Times New Roman"/>
          <w:sz w:val="28"/>
          <w:szCs w:val="28"/>
        </w:rPr>
        <w:t xml:space="preserve">for primary school teachers </w:t>
      </w:r>
      <w:r>
        <w:rPr>
          <w:rFonts w:ascii="Times New Roman" w:hAnsi="Times New Roman" w:cs="Times New Roman"/>
          <w:sz w:val="28"/>
          <w:szCs w:val="28"/>
        </w:rPr>
        <w:t>has declined very appreciably in many countries</w:t>
      </w:r>
      <w:r w:rsidR="00CB7638">
        <w:rPr>
          <w:rFonts w:ascii="Times New Roman" w:hAnsi="Times New Roman" w:cs="Times New Roman"/>
          <w:sz w:val="28"/>
          <w:szCs w:val="28"/>
        </w:rPr>
        <w:t xml:space="preserve"> in SSA</w:t>
      </w:r>
      <w:r>
        <w:rPr>
          <w:rFonts w:ascii="Times New Roman" w:hAnsi="Times New Roman" w:cs="Times New Roman"/>
          <w:sz w:val="28"/>
          <w:szCs w:val="28"/>
        </w:rPr>
        <w:t xml:space="preserve">. </w:t>
      </w:r>
      <w:r w:rsidR="003C21FA">
        <w:rPr>
          <w:rFonts w:ascii="Times New Roman" w:hAnsi="Times New Roman" w:cs="Times New Roman"/>
          <w:sz w:val="28"/>
          <w:szCs w:val="28"/>
        </w:rPr>
        <w:t>In the early 2000s, this ratio was above 3.5 in two-thirds of countries and over 5.0 in almost 30% of countries. By t</w:t>
      </w:r>
      <w:r>
        <w:rPr>
          <w:rFonts w:ascii="Times New Roman" w:hAnsi="Times New Roman" w:cs="Times New Roman"/>
          <w:sz w:val="28"/>
          <w:szCs w:val="28"/>
        </w:rPr>
        <w:t>he late 2010s</w:t>
      </w:r>
      <w:r w:rsidR="003C21FA">
        <w:rPr>
          <w:rFonts w:ascii="Times New Roman" w:hAnsi="Times New Roman" w:cs="Times New Roman"/>
          <w:sz w:val="28"/>
          <w:szCs w:val="28"/>
        </w:rPr>
        <w:t>, these proportions had almost reversed w</w:t>
      </w:r>
      <w:r w:rsidR="004974B7">
        <w:rPr>
          <w:rFonts w:ascii="Times New Roman" w:hAnsi="Times New Roman" w:cs="Times New Roman"/>
          <w:sz w:val="28"/>
          <w:szCs w:val="28"/>
        </w:rPr>
        <w:t>ith only slightly more than one-</w:t>
      </w:r>
      <w:r w:rsidR="003C21FA">
        <w:rPr>
          <w:rFonts w:ascii="Times New Roman" w:hAnsi="Times New Roman" w:cs="Times New Roman"/>
          <w:sz w:val="28"/>
          <w:szCs w:val="28"/>
        </w:rPr>
        <w:t>third of countries with ratios above 3.5 and barely 10% above 5.0</w:t>
      </w:r>
      <w:r w:rsidR="00092CC9">
        <w:rPr>
          <w:rFonts w:ascii="Times New Roman" w:hAnsi="Times New Roman" w:cs="Times New Roman"/>
          <w:sz w:val="28"/>
          <w:szCs w:val="28"/>
        </w:rPr>
        <w:t xml:space="preserve"> (see f</w:t>
      </w:r>
      <w:r w:rsidR="00CB7638">
        <w:rPr>
          <w:rFonts w:ascii="Times New Roman" w:hAnsi="Times New Roman" w:cs="Times New Roman"/>
          <w:sz w:val="28"/>
          <w:szCs w:val="28"/>
        </w:rPr>
        <w:t>igure 1)</w:t>
      </w:r>
      <w:r w:rsidR="003C21FA">
        <w:rPr>
          <w:rFonts w:ascii="Times New Roman" w:hAnsi="Times New Roman" w:cs="Times New Roman"/>
          <w:sz w:val="28"/>
          <w:szCs w:val="28"/>
        </w:rPr>
        <w:t xml:space="preserve">. </w:t>
      </w:r>
      <w:r w:rsidR="00CB7638">
        <w:rPr>
          <w:rFonts w:ascii="Times New Roman" w:hAnsi="Times New Roman" w:cs="Times New Roman"/>
          <w:sz w:val="28"/>
          <w:szCs w:val="28"/>
        </w:rPr>
        <w:t>The a</w:t>
      </w:r>
      <w:r>
        <w:rPr>
          <w:rFonts w:ascii="Times New Roman" w:hAnsi="Times New Roman" w:cs="Times New Roman"/>
          <w:sz w:val="28"/>
          <w:szCs w:val="28"/>
        </w:rPr>
        <w:t xml:space="preserve">verage </w:t>
      </w:r>
      <w:r w:rsidR="004974B7">
        <w:rPr>
          <w:rFonts w:ascii="Times New Roman" w:hAnsi="Times New Roman" w:cs="Times New Roman"/>
          <w:sz w:val="28"/>
          <w:szCs w:val="28"/>
        </w:rPr>
        <w:t>PC</w:t>
      </w:r>
      <w:r>
        <w:rPr>
          <w:rFonts w:ascii="Times New Roman" w:hAnsi="Times New Roman" w:cs="Times New Roman"/>
          <w:sz w:val="28"/>
          <w:szCs w:val="28"/>
        </w:rPr>
        <w:t xml:space="preserve">GDP pay ratio for </w:t>
      </w:r>
      <w:r w:rsidR="00CB7638">
        <w:rPr>
          <w:rFonts w:ascii="Times New Roman" w:hAnsi="Times New Roman" w:cs="Times New Roman"/>
          <w:sz w:val="28"/>
          <w:szCs w:val="28"/>
        </w:rPr>
        <w:t xml:space="preserve">the continent as a whole in 2020 was almost exactly half what it had been in 1985. </w:t>
      </w:r>
      <w:r>
        <w:rPr>
          <w:rFonts w:ascii="Times New Roman" w:hAnsi="Times New Roman" w:cs="Times New Roman"/>
          <w:sz w:val="28"/>
          <w:szCs w:val="28"/>
        </w:rPr>
        <w:t xml:space="preserve"> </w:t>
      </w:r>
    </w:p>
    <w:p w:rsidR="0091421A" w:rsidRDefault="0091421A" w:rsidP="006B2346">
      <w:pPr>
        <w:jc w:val="both"/>
        <w:rPr>
          <w:rFonts w:ascii="Times New Roman" w:hAnsi="Times New Roman" w:cs="Times New Roman"/>
          <w:sz w:val="28"/>
          <w:szCs w:val="28"/>
        </w:rPr>
      </w:pPr>
      <w:r>
        <w:rPr>
          <w:noProof/>
          <w:lang w:eastAsia="en-GB"/>
        </w:rPr>
        <w:lastRenderedPageBreak/>
        <w:drawing>
          <wp:inline distT="0" distB="0" distL="0" distR="0" wp14:anchorId="63690EDD" wp14:editId="5A4CC634">
            <wp:extent cx="5724000" cy="2743200"/>
            <wp:effectExtent l="0" t="0" r="1016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C3DCA" w:rsidRDefault="004974B7" w:rsidP="006B2346">
      <w:pPr>
        <w:jc w:val="both"/>
        <w:rPr>
          <w:rFonts w:ascii="Times New Roman" w:hAnsi="Times New Roman" w:cs="Times New Roman"/>
          <w:sz w:val="28"/>
          <w:szCs w:val="28"/>
        </w:rPr>
      </w:pPr>
      <w:r>
        <w:rPr>
          <w:rFonts w:ascii="Times New Roman" w:hAnsi="Times New Roman" w:cs="Times New Roman"/>
          <w:sz w:val="28"/>
          <w:szCs w:val="28"/>
        </w:rPr>
        <w:t xml:space="preserve">As elsewhere, </w:t>
      </w:r>
      <w:r w:rsidR="00A07157">
        <w:rPr>
          <w:rFonts w:ascii="Times New Roman" w:hAnsi="Times New Roman" w:cs="Times New Roman"/>
          <w:sz w:val="28"/>
          <w:szCs w:val="28"/>
        </w:rPr>
        <w:t>PC</w:t>
      </w:r>
      <w:r w:rsidR="00025E49">
        <w:rPr>
          <w:rFonts w:ascii="Times New Roman" w:hAnsi="Times New Roman" w:cs="Times New Roman"/>
          <w:sz w:val="28"/>
          <w:szCs w:val="28"/>
        </w:rPr>
        <w:t xml:space="preserve">GDP </w:t>
      </w:r>
      <w:r w:rsidR="00510175">
        <w:rPr>
          <w:rFonts w:ascii="Times New Roman" w:hAnsi="Times New Roman" w:cs="Times New Roman"/>
          <w:sz w:val="28"/>
          <w:szCs w:val="28"/>
        </w:rPr>
        <w:t xml:space="preserve">teacher </w:t>
      </w:r>
      <w:r w:rsidR="00025E49">
        <w:rPr>
          <w:rFonts w:ascii="Times New Roman" w:hAnsi="Times New Roman" w:cs="Times New Roman"/>
          <w:sz w:val="28"/>
          <w:szCs w:val="28"/>
        </w:rPr>
        <w:t xml:space="preserve">pay ratios </w:t>
      </w:r>
      <w:r>
        <w:rPr>
          <w:rFonts w:ascii="Times New Roman" w:hAnsi="Times New Roman" w:cs="Times New Roman"/>
          <w:sz w:val="28"/>
          <w:szCs w:val="28"/>
        </w:rPr>
        <w:t xml:space="preserve">in SSA </w:t>
      </w:r>
      <w:r w:rsidR="00025E49">
        <w:rPr>
          <w:rFonts w:ascii="Times New Roman" w:hAnsi="Times New Roman" w:cs="Times New Roman"/>
          <w:sz w:val="28"/>
          <w:szCs w:val="28"/>
        </w:rPr>
        <w:t xml:space="preserve">have declined </w:t>
      </w:r>
      <w:r>
        <w:rPr>
          <w:rFonts w:ascii="Times New Roman" w:hAnsi="Times New Roman" w:cs="Times New Roman"/>
          <w:sz w:val="28"/>
          <w:szCs w:val="28"/>
        </w:rPr>
        <w:t xml:space="preserve">as </w:t>
      </w:r>
      <w:r w:rsidR="00025E49">
        <w:rPr>
          <w:rFonts w:ascii="Times New Roman" w:hAnsi="Times New Roman" w:cs="Times New Roman"/>
          <w:sz w:val="28"/>
          <w:szCs w:val="28"/>
        </w:rPr>
        <w:t xml:space="preserve">GDP per capita </w:t>
      </w:r>
      <w:r>
        <w:rPr>
          <w:rFonts w:ascii="Times New Roman" w:hAnsi="Times New Roman" w:cs="Times New Roman"/>
          <w:sz w:val="28"/>
          <w:szCs w:val="28"/>
        </w:rPr>
        <w:t xml:space="preserve">has increased </w:t>
      </w:r>
      <w:r w:rsidR="00510175">
        <w:rPr>
          <w:rFonts w:ascii="Times New Roman" w:hAnsi="Times New Roman" w:cs="Times New Roman"/>
          <w:sz w:val="28"/>
          <w:szCs w:val="28"/>
        </w:rPr>
        <w:t>(see f</w:t>
      </w:r>
      <w:r w:rsidR="00025E49">
        <w:rPr>
          <w:rFonts w:ascii="Times New Roman" w:hAnsi="Times New Roman" w:cs="Times New Roman"/>
          <w:sz w:val="28"/>
          <w:szCs w:val="28"/>
        </w:rPr>
        <w:t>igure 2). There is, however, still a fairly strong positive correlation between absolute levels of pay and GDP</w:t>
      </w:r>
      <w:r w:rsidR="001E1112">
        <w:rPr>
          <w:rFonts w:ascii="Times New Roman" w:hAnsi="Times New Roman" w:cs="Times New Roman"/>
          <w:sz w:val="28"/>
          <w:szCs w:val="28"/>
        </w:rPr>
        <w:t xml:space="preserve"> per capita</w:t>
      </w:r>
      <w:r w:rsidR="00025E49">
        <w:rPr>
          <w:rFonts w:ascii="Times New Roman" w:hAnsi="Times New Roman" w:cs="Times New Roman"/>
          <w:sz w:val="28"/>
          <w:szCs w:val="28"/>
        </w:rPr>
        <w:t xml:space="preserve"> (see figure 3)</w:t>
      </w:r>
      <w:r w:rsidR="00AC3DCA">
        <w:rPr>
          <w:rFonts w:ascii="Times New Roman" w:hAnsi="Times New Roman" w:cs="Times New Roman"/>
          <w:sz w:val="28"/>
          <w:szCs w:val="28"/>
        </w:rPr>
        <w:t>,</w:t>
      </w:r>
      <w:r w:rsidR="001E1112">
        <w:rPr>
          <w:rFonts w:ascii="Times New Roman" w:hAnsi="Times New Roman" w:cs="Times New Roman"/>
          <w:sz w:val="28"/>
          <w:szCs w:val="28"/>
        </w:rPr>
        <w:t xml:space="preserve"> </w:t>
      </w:r>
    </w:p>
    <w:p w:rsidR="009A5619" w:rsidRDefault="009A5619" w:rsidP="006B2346">
      <w:pPr>
        <w:jc w:val="both"/>
        <w:rPr>
          <w:rFonts w:ascii="Times New Roman" w:hAnsi="Times New Roman" w:cs="Times New Roman"/>
          <w:sz w:val="28"/>
          <w:szCs w:val="28"/>
        </w:rPr>
      </w:pPr>
      <w:r>
        <w:rPr>
          <w:noProof/>
          <w:lang w:eastAsia="en-GB"/>
        </w:rPr>
        <w:drawing>
          <wp:inline distT="0" distB="0" distL="0" distR="0" wp14:anchorId="1DD6DA54" wp14:editId="6A484980">
            <wp:extent cx="45720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A5619" w:rsidRDefault="009A5619" w:rsidP="00847676">
      <w:pPr>
        <w:jc w:val="both"/>
        <w:rPr>
          <w:rFonts w:ascii="Times New Roman" w:hAnsi="Times New Roman" w:cs="Times New Roman"/>
          <w:sz w:val="28"/>
          <w:szCs w:val="28"/>
        </w:rPr>
      </w:pPr>
      <w:r>
        <w:rPr>
          <w:noProof/>
          <w:lang w:eastAsia="en-GB"/>
        </w:rPr>
        <w:lastRenderedPageBreak/>
        <w:drawing>
          <wp:inline distT="0" distB="0" distL="0" distR="0" wp14:anchorId="43BE2127" wp14:editId="679D38C2">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C3DCA" w:rsidRDefault="00AC3DCA" w:rsidP="00AC3DCA">
      <w:pPr>
        <w:jc w:val="both"/>
        <w:rPr>
          <w:rFonts w:ascii="Times New Roman" w:hAnsi="Times New Roman" w:cs="Times New Roman"/>
          <w:sz w:val="28"/>
          <w:szCs w:val="28"/>
        </w:rPr>
      </w:pPr>
      <w:r>
        <w:rPr>
          <w:rFonts w:ascii="Times New Roman" w:hAnsi="Times New Roman" w:cs="Times New Roman"/>
          <w:sz w:val="28"/>
          <w:szCs w:val="28"/>
        </w:rPr>
        <w:t>which suggests that teacher pay has increased but at a slower rate than GDP per capita. It is particularly noticeable that pay levels of primary school teachers are strongly clustered in countries with GDP per capita of less than $4000 (in constant 2020 PPP</w:t>
      </w:r>
      <w:r w:rsidR="006747A8">
        <w:rPr>
          <w:rFonts w:ascii="Times New Roman" w:hAnsi="Times New Roman" w:cs="Times New Roman"/>
          <w:sz w:val="28"/>
          <w:szCs w:val="28"/>
        </w:rPr>
        <w:t>)</w:t>
      </w:r>
      <w:r>
        <w:rPr>
          <w:rFonts w:ascii="Times New Roman" w:hAnsi="Times New Roman" w:cs="Times New Roman"/>
          <w:sz w:val="28"/>
          <w:szCs w:val="28"/>
        </w:rPr>
        <w:t xml:space="preserve">. In short, while the poorest countries typically have the highest teacher PCGDP pay ratios, the absolute pay of these teachers is generally lower than teachers in the higher income countries in SSA. Regardless of GDP per capita, the pay of primary school teachers in SSA is heavily clustered in the range of US$2,000-8,000 per annum. Given that this level of income does not meet even the basic livelihood needs of these teachers and their families (see section 5) coupled with the fact that most teachers in Western Europe and North America earn between $40-60,000 per annum (in 2020 PPP) (see OECD, 2021), Sandefur’s contention that these teachers are ‘relatively rich’ is difficult to sustain.  </w:t>
      </w:r>
    </w:p>
    <w:p w:rsidR="001472A2" w:rsidRDefault="001472A2" w:rsidP="006B2346">
      <w:pPr>
        <w:jc w:val="both"/>
        <w:rPr>
          <w:rFonts w:ascii="Times New Roman" w:hAnsi="Times New Roman" w:cs="Times New Roman"/>
          <w:sz w:val="28"/>
          <w:szCs w:val="28"/>
        </w:rPr>
      </w:pPr>
      <w:r>
        <w:rPr>
          <w:rFonts w:ascii="Times New Roman" w:hAnsi="Times New Roman" w:cs="Times New Roman"/>
          <w:sz w:val="28"/>
          <w:szCs w:val="28"/>
        </w:rPr>
        <w:t>The other major</w:t>
      </w:r>
      <w:r w:rsidR="00847676">
        <w:rPr>
          <w:rFonts w:ascii="Times New Roman" w:hAnsi="Times New Roman" w:cs="Times New Roman"/>
          <w:sz w:val="28"/>
          <w:szCs w:val="28"/>
        </w:rPr>
        <w:t xml:space="preserve"> </w:t>
      </w:r>
      <w:r>
        <w:rPr>
          <w:rFonts w:ascii="Times New Roman" w:hAnsi="Times New Roman" w:cs="Times New Roman"/>
          <w:sz w:val="28"/>
          <w:szCs w:val="28"/>
        </w:rPr>
        <w:t xml:space="preserve">reason that teacher pay GDP ratios have declined is due to the </w:t>
      </w:r>
      <w:r w:rsidR="00D26EA4">
        <w:rPr>
          <w:rFonts w:ascii="Times New Roman" w:hAnsi="Times New Roman" w:cs="Times New Roman"/>
          <w:sz w:val="28"/>
          <w:szCs w:val="28"/>
        </w:rPr>
        <w:t>‘</w:t>
      </w:r>
      <w:r>
        <w:rPr>
          <w:rFonts w:ascii="Times New Roman" w:hAnsi="Times New Roman" w:cs="Times New Roman"/>
          <w:sz w:val="28"/>
          <w:szCs w:val="28"/>
        </w:rPr>
        <w:t>salary adjustment</w:t>
      </w:r>
      <w:r w:rsidR="00D26EA4">
        <w:rPr>
          <w:rFonts w:ascii="Times New Roman" w:hAnsi="Times New Roman" w:cs="Times New Roman"/>
          <w:sz w:val="28"/>
          <w:szCs w:val="28"/>
        </w:rPr>
        <w:t>’</w:t>
      </w:r>
      <w:r>
        <w:rPr>
          <w:rFonts w:ascii="Times New Roman" w:hAnsi="Times New Roman" w:cs="Times New Roman"/>
          <w:sz w:val="28"/>
          <w:szCs w:val="28"/>
        </w:rPr>
        <w:t xml:space="preserve"> policies which were adopted mainly in Francophone countries in Central and West Africa from the </w:t>
      </w:r>
      <w:r w:rsidR="00D26EA4">
        <w:rPr>
          <w:rFonts w:ascii="Times New Roman" w:hAnsi="Times New Roman" w:cs="Times New Roman"/>
          <w:sz w:val="28"/>
          <w:szCs w:val="28"/>
        </w:rPr>
        <w:t xml:space="preserve">mid-late </w:t>
      </w:r>
      <w:r>
        <w:rPr>
          <w:rFonts w:ascii="Times New Roman" w:hAnsi="Times New Roman" w:cs="Times New Roman"/>
          <w:sz w:val="28"/>
          <w:szCs w:val="28"/>
        </w:rPr>
        <w:t>1990 onwards. In particular, governments began to recruit large numbers of ‘contract’ teachers who were typically paid at least half of permanent civil servant (</w:t>
      </w:r>
      <w:r w:rsidR="00D26EA4">
        <w:rPr>
          <w:rFonts w:ascii="Times New Roman" w:hAnsi="Times New Roman" w:cs="Times New Roman"/>
          <w:sz w:val="28"/>
          <w:szCs w:val="28"/>
        </w:rPr>
        <w:t>‘</w:t>
      </w:r>
      <w:r>
        <w:rPr>
          <w:rFonts w:ascii="Times New Roman" w:hAnsi="Times New Roman" w:cs="Times New Roman"/>
          <w:sz w:val="28"/>
          <w:szCs w:val="28"/>
        </w:rPr>
        <w:t>fonctionnaire</w:t>
      </w:r>
      <w:r w:rsidR="00D26EA4">
        <w:rPr>
          <w:rFonts w:ascii="Times New Roman" w:hAnsi="Times New Roman" w:cs="Times New Roman"/>
          <w:sz w:val="28"/>
          <w:szCs w:val="28"/>
        </w:rPr>
        <w:t>’</w:t>
      </w:r>
      <w:r>
        <w:rPr>
          <w:rFonts w:ascii="Times New Roman" w:hAnsi="Times New Roman" w:cs="Times New Roman"/>
          <w:sz w:val="28"/>
          <w:szCs w:val="28"/>
        </w:rPr>
        <w:t xml:space="preserve">) teachers. </w:t>
      </w:r>
      <w:r w:rsidR="001E1112">
        <w:rPr>
          <w:rFonts w:ascii="Times New Roman" w:hAnsi="Times New Roman" w:cs="Times New Roman"/>
          <w:sz w:val="28"/>
          <w:szCs w:val="28"/>
        </w:rPr>
        <w:t>T</w:t>
      </w:r>
      <w:r>
        <w:rPr>
          <w:rFonts w:ascii="Times New Roman" w:hAnsi="Times New Roman" w:cs="Times New Roman"/>
          <w:sz w:val="28"/>
          <w:szCs w:val="28"/>
        </w:rPr>
        <w:t xml:space="preserve">here </w:t>
      </w:r>
      <w:r w:rsidR="00D26EA4">
        <w:rPr>
          <w:rFonts w:ascii="Times New Roman" w:hAnsi="Times New Roman" w:cs="Times New Roman"/>
          <w:sz w:val="28"/>
          <w:szCs w:val="28"/>
        </w:rPr>
        <w:t xml:space="preserve">was also </w:t>
      </w:r>
      <w:r>
        <w:rPr>
          <w:rFonts w:ascii="Times New Roman" w:hAnsi="Times New Roman" w:cs="Times New Roman"/>
          <w:sz w:val="28"/>
          <w:szCs w:val="28"/>
        </w:rPr>
        <w:t xml:space="preserve">a growing reliance on </w:t>
      </w:r>
      <w:r w:rsidR="00661CBE">
        <w:rPr>
          <w:rFonts w:ascii="Times New Roman" w:hAnsi="Times New Roman" w:cs="Times New Roman"/>
          <w:sz w:val="28"/>
          <w:szCs w:val="28"/>
        </w:rPr>
        <w:t xml:space="preserve">largely untrained </w:t>
      </w:r>
      <w:r w:rsidR="00D26EA4">
        <w:rPr>
          <w:rFonts w:ascii="Times New Roman" w:hAnsi="Times New Roman" w:cs="Times New Roman"/>
          <w:sz w:val="28"/>
          <w:szCs w:val="28"/>
        </w:rPr>
        <w:t>‘</w:t>
      </w:r>
      <w:r>
        <w:rPr>
          <w:rFonts w:ascii="Times New Roman" w:hAnsi="Times New Roman" w:cs="Times New Roman"/>
          <w:sz w:val="28"/>
          <w:szCs w:val="28"/>
        </w:rPr>
        <w:t>voluntary</w:t>
      </w:r>
      <w:r w:rsidR="00D26EA4">
        <w:rPr>
          <w:rFonts w:ascii="Times New Roman" w:hAnsi="Times New Roman" w:cs="Times New Roman"/>
          <w:sz w:val="28"/>
          <w:szCs w:val="28"/>
        </w:rPr>
        <w:t>’</w:t>
      </w:r>
      <w:r>
        <w:rPr>
          <w:rFonts w:ascii="Times New Roman" w:hAnsi="Times New Roman" w:cs="Times New Roman"/>
          <w:sz w:val="28"/>
          <w:szCs w:val="28"/>
        </w:rPr>
        <w:t>, teacher</w:t>
      </w:r>
      <w:r w:rsidR="00D26EA4">
        <w:rPr>
          <w:rFonts w:ascii="Times New Roman" w:hAnsi="Times New Roman" w:cs="Times New Roman"/>
          <w:sz w:val="28"/>
          <w:szCs w:val="28"/>
        </w:rPr>
        <w:t>-parent (maitre-parent)</w:t>
      </w:r>
      <w:r>
        <w:rPr>
          <w:rFonts w:ascii="Times New Roman" w:hAnsi="Times New Roman" w:cs="Times New Roman"/>
          <w:sz w:val="28"/>
          <w:szCs w:val="28"/>
        </w:rPr>
        <w:t xml:space="preserve"> </w:t>
      </w:r>
      <w:r w:rsidR="00D26EA4">
        <w:rPr>
          <w:rFonts w:ascii="Times New Roman" w:hAnsi="Times New Roman" w:cs="Times New Roman"/>
          <w:sz w:val="28"/>
          <w:szCs w:val="28"/>
        </w:rPr>
        <w:t xml:space="preserve">teachers </w:t>
      </w:r>
      <w:r>
        <w:rPr>
          <w:rFonts w:ascii="Times New Roman" w:hAnsi="Times New Roman" w:cs="Times New Roman"/>
          <w:sz w:val="28"/>
          <w:szCs w:val="28"/>
        </w:rPr>
        <w:t xml:space="preserve">most of whom </w:t>
      </w:r>
      <w:r w:rsidR="00D26EA4">
        <w:rPr>
          <w:rFonts w:ascii="Times New Roman" w:hAnsi="Times New Roman" w:cs="Times New Roman"/>
          <w:sz w:val="28"/>
          <w:szCs w:val="28"/>
        </w:rPr>
        <w:t xml:space="preserve">were </w:t>
      </w:r>
      <w:r>
        <w:rPr>
          <w:rFonts w:ascii="Times New Roman" w:hAnsi="Times New Roman" w:cs="Times New Roman"/>
          <w:sz w:val="28"/>
          <w:szCs w:val="28"/>
        </w:rPr>
        <w:t xml:space="preserve">paid by </w:t>
      </w:r>
      <w:r w:rsidR="001E1112">
        <w:rPr>
          <w:rFonts w:ascii="Times New Roman" w:hAnsi="Times New Roman" w:cs="Times New Roman"/>
          <w:sz w:val="28"/>
          <w:szCs w:val="28"/>
        </w:rPr>
        <w:t xml:space="preserve">parents and the local community and who </w:t>
      </w:r>
      <w:r w:rsidR="00D26EA4">
        <w:rPr>
          <w:rFonts w:ascii="Times New Roman" w:hAnsi="Times New Roman" w:cs="Times New Roman"/>
          <w:sz w:val="28"/>
          <w:szCs w:val="28"/>
        </w:rPr>
        <w:t xml:space="preserve">were </w:t>
      </w:r>
      <w:r w:rsidR="001E1112">
        <w:rPr>
          <w:rFonts w:ascii="Times New Roman" w:hAnsi="Times New Roman" w:cs="Times New Roman"/>
          <w:sz w:val="28"/>
          <w:szCs w:val="28"/>
        </w:rPr>
        <w:t xml:space="preserve">heavily concentrated in hard-to-staff schools in rural areas where the most disadvantaged children </w:t>
      </w:r>
      <w:r w:rsidR="00661CBE">
        <w:rPr>
          <w:rFonts w:ascii="Times New Roman" w:hAnsi="Times New Roman" w:cs="Times New Roman"/>
          <w:sz w:val="28"/>
          <w:szCs w:val="28"/>
        </w:rPr>
        <w:t>reside</w:t>
      </w:r>
      <w:r w:rsidR="001E1112">
        <w:rPr>
          <w:rFonts w:ascii="Times New Roman" w:hAnsi="Times New Roman" w:cs="Times New Roman"/>
          <w:sz w:val="28"/>
          <w:szCs w:val="28"/>
        </w:rPr>
        <w:t xml:space="preserve"> (see below).</w:t>
      </w:r>
    </w:p>
    <w:p w:rsidR="00154846" w:rsidRDefault="00A07157" w:rsidP="00AC3DCA">
      <w:pPr>
        <w:jc w:val="both"/>
        <w:rPr>
          <w:rFonts w:ascii="Times New Roman" w:hAnsi="Times New Roman" w:cs="Times New Roman"/>
          <w:b/>
          <w:i/>
          <w:sz w:val="28"/>
          <w:szCs w:val="28"/>
        </w:rPr>
      </w:pPr>
      <w:r>
        <w:rPr>
          <w:rFonts w:ascii="Times New Roman" w:hAnsi="Times New Roman" w:cs="Times New Roman"/>
          <w:sz w:val="28"/>
          <w:szCs w:val="28"/>
        </w:rPr>
        <w:t xml:space="preserve">With over 90% of </w:t>
      </w:r>
      <w:r w:rsidR="00D26EA4">
        <w:rPr>
          <w:rFonts w:ascii="Times New Roman" w:hAnsi="Times New Roman" w:cs="Times New Roman"/>
          <w:sz w:val="28"/>
          <w:szCs w:val="28"/>
        </w:rPr>
        <w:t xml:space="preserve">government </w:t>
      </w:r>
      <w:r>
        <w:rPr>
          <w:rFonts w:ascii="Times New Roman" w:hAnsi="Times New Roman" w:cs="Times New Roman"/>
          <w:sz w:val="28"/>
          <w:szCs w:val="28"/>
        </w:rPr>
        <w:t xml:space="preserve">primary school teachers in countries </w:t>
      </w:r>
      <w:r w:rsidR="003727AE">
        <w:rPr>
          <w:rFonts w:ascii="Times New Roman" w:hAnsi="Times New Roman" w:cs="Times New Roman"/>
          <w:sz w:val="28"/>
          <w:szCs w:val="28"/>
        </w:rPr>
        <w:t xml:space="preserve">in SSA </w:t>
      </w:r>
      <w:r>
        <w:rPr>
          <w:rFonts w:ascii="Times New Roman" w:hAnsi="Times New Roman" w:cs="Times New Roman"/>
          <w:sz w:val="28"/>
          <w:szCs w:val="28"/>
        </w:rPr>
        <w:t>with PCGDP pay ratios of less than 3.5</w:t>
      </w:r>
      <w:r w:rsidR="003727AE">
        <w:rPr>
          <w:rFonts w:ascii="Times New Roman" w:hAnsi="Times New Roman" w:cs="Times New Roman"/>
          <w:sz w:val="28"/>
          <w:szCs w:val="28"/>
        </w:rPr>
        <w:t>, the</w:t>
      </w:r>
      <w:r>
        <w:rPr>
          <w:rFonts w:ascii="Times New Roman" w:hAnsi="Times New Roman" w:cs="Times New Roman"/>
          <w:sz w:val="28"/>
          <w:szCs w:val="28"/>
        </w:rPr>
        <w:t xml:space="preserve"> continued reliance on this indicator would mean that most of these teachers </w:t>
      </w:r>
      <w:r w:rsidR="003727AE">
        <w:rPr>
          <w:rFonts w:ascii="Times New Roman" w:hAnsi="Times New Roman" w:cs="Times New Roman"/>
          <w:sz w:val="28"/>
          <w:szCs w:val="28"/>
        </w:rPr>
        <w:t xml:space="preserve">would </w:t>
      </w:r>
      <w:r>
        <w:rPr>
          <w:rFonts w:ascii="Times New Roman" w:hAnsi="Times New Roman" w:cs="Times New Roman"/>
          <w:sz w:val="28"/>
          <w:szCs w:val="28"/>
        </w:rPr>
        <w:t>now</w:t>
      </w:r>
      <w:r w:rsidR="003727AE">
        <w:rPr>
          <w:rFonts w:ascii="Times New Roman" w:hAnsi="Times New Roman" w:cs="Times New Roman"/>
          <w:sz w:val="28"/>
          <w:szCs w:val="28"/>
        </w:rPr>
        <w:t xml:space="preserve"> have to be classified as being </w:t>
      </w:r>
      <w:r w:rsidR="004A586A">
        <w:rPr>
          <w:rFonts w:ascii="Times New Roman" w:hAnsi="Times New Roman" w:cs="Times New Roman"/>
          <w:sz w:val="28"/>
          <w:szCs w:val="28"/>
        </w:rPr>
        <w:t xml:space="preserve">relatively </w:t>
      </w:r>
      <w:r>
        <w:rPr>
          <w:rFonts w:ascii="Times New Roman" w:hAnsi="Times New Roman" w:cs="Times New Roman"/>
          <w:sz w:val="28"/>
          <w:szCs w:val="28"/>
        </w:rPr>
        <w:t>‘low paid’.</w:t>
      </w:r>
      <w:r w:rsidR="003727AE">
        <w:rPr>
          <w:rFonts w:ascii="Times New Roman" w:hAnsi="Times New Roman" w:cs="Times New Roman"/>
          <w:sz w:val="28"/>
          <w:szCs w:val="28"/>
        </w:rPr>
        <w:t xml:space="preserve"> The reluctance of the World Bank and other major </w:t>
      </w:r>
      <w:r w:rsidR="003727AE">
        <w:rPr>
          <w:rFonts w:ascii="Times New Roman" w:hAnsi="Times New Roman" w:cs="Times New Roman"/>
          <w:sz w:val="28"/>
          <w:szCs w:val="28"/>
        </w:rPr>
        <w:lastRenderedPageBreak/>
        <w:t xml:space="preserve">multilateral and bilateral </w:t>
      </w:r>
      <w:r w:rsidR="00D26EA4">
        <w:rPr>
          <w:rFonts w:ascii="Times New Roman" w:hAnsi="Times New Roman" w:cs="Times New Roman"/>
          <w:sz w:val="28"/>
          <w:szCs w:val="28"/>
        </w:rPr>
        <w:t xml:space="preserve">donors </w:t>
      </w:r>
      <w:r w:rsidR="003727AE">
        <w:rPr>
          <w:rFonts w:ascii="Times New Roman" w:hAnsi="Times New Roman" w:cs="Times New Roman"/>
          <w:sz w:val="28"/>
          <w:szCs w:val="28"/>
        </w:rPr>
        <w:t xml:space="preserve">to </w:t>
      </w:r>
      <w:r w:rsidR="00D26EA4">
        <w:rPr>
          <w:rFonts w:ascii="Times New Roman" w:hAnsi="Times New Roman" w:cs="Times New Roman"/>
          <w:sz w:val="28"/>
          <w:szCs w:val="28"/>
        </w:rPr>
        <w:t>endorse si</w:t>
      </w:r>
      <w:r w:rsidR="00154846">
        <w:rPr>
          <w:rFonts w:ascii="Times New Roman" w:hAnsi="Times New Roman" w:cs="Times New Roman"/>
          <w:sz w:val="28"/>
          <w:szCs w:val="28"/>
        </w:rPr>
        <w:t xml:space="preserve">zeable </w:t>
      </w:r>
      <w:r w:rsidR="00D26EA4">
        <w:rPr>
          <w:rFonts w:ascii="Times New Roman" w:hAnsi="Times New Roman" w:cs="Times New Roman"/>
          <w:sz w:val="28"/>
          <w:szCs w:val="28"/>
        </w:rPr>
        <w:t xml:space="preserve">teacher </w:t>
      </w:r>
      <w:r w:rsidR="003727AE">
        <w:rPr>
          <w:rFonts w:ascii="Times New Roman" w:hAnsi="Times New Roman" w:cs="Times New Roman"/>
          <w:sz w:val="28"/>
          <w:szCs w:val="28"/>
        </w:rPr>
        <w:t>pay increases at a time of acute post-Covid fiscal stringency</w:t>
      </w:r>
      <w:r w:rsidR="007A6E6A">
        <w:rPr>
          <w:rFonts w:ascii="Times New Roman" w:hAnsi="Times New Roman" w:cs="Times New Roman"/>
          <w:sz w:val="28"/>
          <w:szCs w:val="28"/>
        </w:rPr>
        <w:t xml:space="preserve"> is </w:t>
      </w:r>
      <w:r w:rsidR="00EC4625">
        <w:rPr>
          <w:rFonts w:ascii="Times New Roman" w:hAnsi="Times New Roman" w:cs="Times New Roman"/>
          <w:sz w:val="28"/>
          <w:szCs w:val="28"/>
        </w:rPr>
        <w:t xml:space="preserve">hardly </w:t>
      </w:r>
      <w:r w:rsidR="007A6E6A">
        <w:rPr>
          <w:rFonts w:ascii="Times New Roman" w:hAnsi="Times New Roman" w:cs="Times New Roman"/>
          <w:sz w:val="28"/>
          <w:szCs w:val="28"/>
        </w:rPr>
        <w:t>surprising.</w:t>
      </w:r>
      <w:r>
        <w:rPr>
          <w:rFonts w:ascii="Times New Roman" w:hAnsi="Times New Roman" w:cs="Times New Roman"/>
          <w:sz w:val="28"/>
          <w:szCs w:val="28"/>
        </w:rPr>
        <w:t xml:space="preserve"> </w:t>
      </w:r>
    </w:p>
    <w:p w:rsidR="0093718A" w:rsidRPr="00F335FB" w:rsidRDefault="00AC2058" w:rsidP="00B461C6">
      <w:pPr>
        <w:jc w:val="both"/>
        <w:rPr>
          <w:rFonts w:ascii="Times New Roman" w:hAnsi="Times New Roman" w:cs="Times New Roman"/>
          <w:b/>
          <w:i/>
          <w:sz w:val="28"/>
          <w:szCs w:val="28"/>
        </w:rPr>
      </w:pPr>
      <w:r w:rsidRPr="00F335FB">
        <w:rPr>
          <w:rFonts w:ascii="Times New Roman" w:hAnsi="Times New Roman" w:cs="Times New Roman"/>
          <w:b/>
          <w:i/>
          <w:sz w:val="28"/>
          <w:szCs w:val="28"/>
        </w:rPr>
        <w:t xml:space="preserve">4. </w:t>
      </w:r>
      <w:r w:rsidR="00F335FB" w:rsidRPr="00F335FB">
        <w:rPr>
          <w:rFonts w:ascii="Times New Roman" w:hAnsi="Times New Roman" w:cs="Times New Roman"/>
          <w:b/>
          <w:i/>
          <w:sz w:val="28"/>
          <w:szCs w:val="28"/>
        </w:rPr>
        <w:t>P</w:t>
      </w:r>
      <w:r w:rsidR="0093718A" w:rsidRPr="00F335FB">
        <w:rPr>
          <w:rFonts w:ascii="Times New Roman" w:hAnsi="Times New Roman" w:cs="Times New Roman"/>
          <w:b/>
          <w:i/>
          <w:sz w:val="28"/>
          <w:szCs w:val="28"/>
        </w:rPr>
        <w:t>ay</w:t>
      </w:r>
      <w:r w:rsidR="00944F61">
        <w:rPr>
          <w:rFonts w:ascii="Times New Roman" w:hAnsi="Times New Roman" w:cs="Times New Roman"/>
          <w:b/>
          <w:i/>
          <w:sz w:val="28"/>
          <w:szCs w:val="28"/>
        </w:rPr>
        <w:t xml:space="preserve"> </w:t>
      </w:r>
      <w:r w:rsidR="0093718A" w:rsidRPr="00F335FB">
        <w:rPr>
          <w:rFonts w:ascii="Times New Roman" w:hAnsi="Times New Roman" w:cs="Times New Roman"/>
          <w:b/>
          <w:i/>
          <w:sz w:val="28"/>
          <w:szCs w:val="28"/>
        </w:rPr>
        <w:t>comparisons</w:t>
      </w:r>
    </w:p>
    <w:p w:rsidR="00F335FB" w:rsidRDefault="00D26EA4" w:rsidP="00B461C6">
      <w:pPr>
        <w:jc w:val="both"/>
        <w:rPr>
          <w:rFonts w:ascii="Times New Roman" w:hAnsi="Times New Roman" w:cs="Times New Roman"/>
          <w:sz w:val="28"/>
          <w:szCs w:val="28"/>
        </w:rPr>
      </w:pPr>
      <w:r>
        <w:rPr>
          <w:rFonts w:ascii="Times New Roman" w:hAnsi="Times New Roman" w:cs="Times New Roman"/>
          <w:sz w:val="28"/>
          <w:szCs w:val="28"/>
        </w:rPr>
        <w:t xml:space="preserve">More recently, </w:t>
      </w:r>
      <w:r w:rsidR="00F86B9E">
        <w:rPr>
          <w:rFonts w:ascii="Times New Roman" w:hAnsi="Times New Roman" w:cs="Times New Roman"/>
          <w:sz w:val="28"/>
          <w:szCs w:val="28"/>
        </w:rPr>
        <w:t>t</w:t>
      </w:r>
      <w:r w:rsidR="0093718A">
        <w:rPr>
          <w:rFonts w:ascii="Times New Roman" w:hAnsi="Times New Roman" w:cs="Times New Roman"/>
          <w:sz w:val="28"/>
          <w:szCs w:val="28"/>
        </w:rPr>
        <w:t>he focus of a</w:t>
      </w:r>
      <w:r w:rsidR="00F335FB">
        <w:rPr>
          <w:rFonts w:ascii="Times New Roman" w:hAnsi="Times New Roman" w:cs="Times New Roman"/>
          <w:sz w:val="28"/>
          <w:szCs w:val="28"/>
        </w:rPr>
        <w:t xml:space="preserve">ttention </w:t>
      </w:r>
      <w:r w:rsidR="0093718A">
        <w:rPr>
          <w:rFonts w:ascii="Times New Roman" w:hAnsi="Times New Roman" w:cs="Times New Roman"/>
          <w:sz w:val="28"/>
          <w:szCs w:val="28"/>
        </w:rPr>
        <w:t xml:space="preserve">has shifted away from the </w:t>
      </w:r>
      <w:r w:rsidR="00430F8F">
        <w:rPr>
          <w:rFonts w:ascii="Times New Roman" w:hAnsi="Times New Roman" w:cs="Times New Roman"/>
          <w:sz w:val="28"/>
          <w:szCs w:val="28"/>
        </w:rPr>
        <w:t>PC</w:t>
      </w:r>
      <w:r w:rsidR="0093718A">
        <w:rPr>
          <w:rFonts w:ascii="Times New Roman" w:hAnsi="Times New Roman" w:cs="Times New Roman"/>
          <w:sz w:val="28"/>
          <w:szCs w:val="28"/>
        </w:rPr>
        <w:t xml:space="preserve">GDP </w:t>
      </w:r>
      <w:r w:rsidR="00154846">
        <w:rPr>
          <w:rFonts w:ascii="Times New Roman" w:hAnsi="Times New Roman" w:cs="Times New Roman"/>
          <w:sz w:val="28"/>
          <w:szCs w:val="28"/>
        </w:rPr>
        <w:t xml:space="preserve">teacher </w:t>
      </w:r>
      <w:r w:rsidR="00F86B9E">
        <w:rPr>
          <w:rFonts w:ascii="Times New Roman" w:hAnsi="Times New Roman" w:cs="Times New Roman"/>
          <w:sz w:val="28"/>
          <w:szCs w:val="28"/>
        </w:rPr>
        <w:t xml:space="preserve">pay </w:t>
      </w:r>
      <w:r w:rsidR="0093718A">
        <w:rPr>
          <w:rFonts w:ascii="Times New Roman" w:hAnsi="Times New Roman" w:cs="Times New Roman"/>
          <w:sz w:val="28"/>
          <w:szCs w:val="28"/>
        </w:rPr>
        <w:t xml:space="preserve">ratio to </w:t>
      </w:r>
      <w:r w:rsidR="00F335FB">
        <w:rPr>
          <w:rFonts w:ascii="Times New Roman" w:hAnsi="Times New Roman" w:cs="Times New Roman"/>
          <w:sz w:val="28"/>
          <w:szCs w:val="28"/>
        </w:rPr>
        <w:t xml:space="preserve">analysing </w:t>
      </w:r>
      <w:r w:rsidR="0093718A">
        <w:rPr>
          <w:rFonts w:ascii="Times New Roman" w:hAnsi="Times New Roman" w:cs="Times New Roman"/>
          <w:sz w:val="28"/>
          <w:szCs w:val="28"/>
        </w:rPr>
        <w:t>income differentials between teachers and equivalent occupational groups</w:t>
      </w:r>
      <w:r w:rsidR="00F335FB">
        <w:rPr>
          <w:rFonts w:ascii="Times New Roman" w:hAnsi="Times New Roman" w:cs="Times New Roman"/>
          <w:sz w:val="28"/>
          <w:szCs w:val="28"/>
        </w:rPr>
        <w:t xml:space="preserve"> and </w:t>
      </w:r>
      <w:r>
        <w:rPr>
          <w:rFonts w:ascii="Times New Roman" w:hAnsi="Times New Roman" w:cs="Times New Roman"/>
          <w:sz w:val="28"/>
          <w:szCs w:val="28"/>
        </w:rPr>
        <w:t xml:space="preserve">also </w:t>
      </w:r>
      <w:r w:rsidR="00F335FB">
        <w:rPr>
          <w:rFonts w:ascii="Times New Roman" w:hAnsi="Times New Roman" w:cs="Times New Roman"/>
          <w:sz w:val="28"/>
          <w:szCs w:val="28"/>
        </w:rPr>
        <w:t>among teachers themselves</w:t>
      </w:r>
      <w:r w:rsidR="0093718A">
        <w:rPr>
          <w:rFonts w:ascii="Times New Roman" w:hAnsi="Times New Roman" w:cs="Times New Roman"/>
          <w:sz w:val="28"/>
          <w:szCs w:val="28"/>
        </w:rPr>
        <w:t xml:space="preserve">. </w:t>
      </w:r>
      <w:r w:rsidR="00F335FB">
        <w:rPr>
          <w:rFonts w:ascii="Times New Roman" w:hAnsi="Times New Roman" w:cs="Times New Roman"/>
          <w:sz w:val="28"/>
          <w:szCs w:val="28"/>
        </w:rPr>
        <w:t>The following section reviews the evidence presented for each of these types of incom</w:t>
      </w:r>
      <w:r w:rsidR="00A30469">
        <w:rPr>
          <w:rFonts w:ascii="Times New Roman" w:hAnsi="Times New Roman" w:cs="Times New Roman"/>
          <w:sz w:val="28"/>
          <w:szCs w:val="28"/>
        </w:rPr>
        <w:t xml:space="preserve">e comparisons by </w:t>
      </w:r>
      <w:r w:rsidR="00154846">
        <w:rPr>
          <w:rFonts w:ascii="Times New Roman" w:hAnsi="Times New Roman" w:cs="Times New Roman"/>
          <w:sz w:val="28"/>
          <w:szCs w:val="28"/>
        </w:rPr>
        <w:t xml:space="preserve">the </w:t>
      </w:r>
      <w:r w:rsidR="00A30469">
        <w:rPr>
          <w:rFonts w:ascii="Times New Roman" w:hAnsi="Times New Roman" w:cs="Times New Roman"/>
          <w:sz w:val="28"/>
          <w:szCs w:val="28"/>
        </w:rPr>
        <w:t xml:space="preserve">two </w:t>
      </w:r>
      <w:r w:rsidR="00154846">
        <w:rPr>
          <w:rFonts w:ascii="Times New Roman" w:hAnsi="Times New Roman" w:cs="Times New Roman"/>
          <w:sz w:val="28"/>
          <w:szCs w:val="28"/>
        </w:rPr>
        <w:t xml:space="preserve">most important </w:t>
      </w:r>
      <w:r w:rsidR="00F335FB">
        <w:rPr>
          <w:rFonts w:ascii="Times New Roman" w:hAnsi="Times New Roman" w:cs="Times New Roman"/>
          <w:sz w:val="28"/>
          <w:szCs w:val="28"/>
        </w:rPr>
        <w:t>publications</w:t>
      </w:r>
      <w:r w:rsidR="00154846">
        <w:rPr>
          <w:rFonts w:ascii="Times New Roman" w:hAnsi="Times New Roman" w:cs="Times New Roman"/>
          <w:sz w:val="28"/>
          <w:szCs w:val="28"/>
        </w:rPr>
        <w:t xml:space="preserve"> in this area</w:t>
      </w:r>
      <w:r w:rsidR="00F335FB">
        <w:rPr>
          <w:rFonts w:ascii="Times New Roman" w:hAnsi="Times New Roman" w:cs="Times New Roman"/>
          <w:sz w:val="28"/>
          <w:szCs w:val="28"/>
        </w:rPr>
        <w:t xml:space="preserve">. </w:t>
      </w:r>
    </w:p>
    <w:p w:rsidR="00F335FB" w:rsidRPr="00F335FB" w:rsidRDefault="00F335FB" w:rsidP="00B461C6">
      <w:pPr>
        <w:jc w:val="both"/>
        <w:rPr>
          <w:rFonts w:ascii="Times New Roman" w:hAnsi="Times New Roman" w:cs="Times New Roman"/>
          <w:i/>
          <w:sz w:val="28"/>
          <w:szCs w:val="28"/>
        </w:rPr>
      </w:pPr>
      <w:r w:rsidRPr="00F335FB">
        <w:rPr>
          <w:rFonts w:ascii="Times New Roman" w:hAnsi="Times New Roman" w:cs="Times New Roman"/>
          <w:i/>
          <w:sz w:val="28"/>
          <w:szCs w:val="28"/>
        </w:rPr>
        <w:t>4.1 Occupational income differentials</w:t>
      </w:r>
    </w:p>
    <w:p w:rsidR="008A3F18" w:rsidRDefault="00A30469" w:rsidP="00B461C6">
      <w:pPr>
        <w:jc w:val="both"/>
        <w:rPr>
          <w:rFonts w:ascii="Times New Roman" w:hAnsi="Times New Roman" w:cs="Times New Roman"/>
          <w:sz w:val="28"/>
          <w:szCs w:val="28"/>
        </w:rPr>
      </w:pPr>
      <w:r>
        <w:rPr>
          <w:rFonts w:ascii="Times New Roman" w:hAnsi="Times New Roman" w:cs="Times New Roman"/>
          <w:sz w:val="28"/>
          <w:szCs w:val="28"/>
        </w:rPr>
        <w:t xml:space="preserve">A </w:t>
      </w:r>
      <w:r w:rsidR="00154846">
        <w:rPr>
          <w:rFonts w:ascii="Times New Roman" w:hAnsi="Times New Roman" w:cs="Times New Roman"/>
          <w:sz w:val="28"/>
          <w:szCs w:val="28"/>
        </w:rPr>
        <w:t xml:space="preserve">2020 </w:t>
      </w:r>
      <w:r>
        <w:rPr>
          <w:rFonts w:ascii="Times New Roman" w:hAnsi="Times New Roman" w:cs="Times New Roman"/>
          <w:sz w:val="28"/>
          <w:szCs w:val="28"/>
        </w:rPr>
        <w:t xml:space="preserve">World Bank </w:t>
      </w:r>
      <w:r w:rsidR="00735CE6">
        <w:rPr>
          <w:rFonts w:ascii="Times New Roman" w:hAnsi="Times New Roman" w:cs="Times New Roman"/>
          <w:sz w:val="28"/>
          <w:szCs w:val="28"/>
        </w:rPr>
        <w:t xml:space="preserve">policy </w:t>
      </w:r>
      <w:r>
        <w:rPr>
          <w:rFonts w:ascii="Times New Roman" w:hAnsi="Times New Roman" w:cs="Times New Roman"/>
          <w:sz w:val="28"/>
          <w:szCs w:val="28"/>
        </w:rPr>
        <w:t xml:space="preserve">research working paper by </w:t>
      </w:r>
      <w:r w:rsidR="004E2913">
        <w:rPr>
          <w:rFonts w:ascii="Times New Roman" w:hAnsi="Times New Roman" w:cs="Times New Roman"/>
          <w:sz w:val="28"/>
          <w:szCs w:val="28"/>
        </w:rPr>
        <w:t>Evans</w:t>
      </w:r>
      <w:r w:rsidR="002B3930">
        <w:rPr>
          <w:rFonts w:ascii="Times New Roman" w:hAnsi="Times New Roman" w:cs="Times New Roman"/>
          <w:sz w:val="28"/>
          <w:szCs w:val="28"/>
        </w:rPr>
        <w:t xml:space="preserve">, </w:t>
      </w:r>
      <w:r w:rsidR="00430F8F">
        <w:rPr>
          <w:rFonts w:ascii="Times New Roman" w:hAnsi="Times New Roman" w:cs="Times New Roman"/>
          <w:sz w:val="28"/>
          <w:szCs w:val="28"/>
        </w:rPr>
        <w:t xml:space="preserve">Yuan </w:t>
      </w:r>
      <w:r w:rsidR="0059027C">
        <w:rPr>
          <w:rFonts w:ascii="Times New Roman" w:hAnsi="Times New Roman" w:cs="Times New Roman"/>
          <w:sz w:val="28"/>
          <w:szCs w:val="28"/>
        </w:rPr>
        <w:t xml:space="preserve">and </w:t>
      </w:r>
      <w:r w:rsidR="00430F8F">
        <w:rPr>
          <w:rFonts w:ascii="Times New Roman" w:hAnsi="Times New Roman" w:cs="Times New Roman"/>
          <w:sz w:val="28"/>
          <w:szCs w:val="28"/>
        </w:rPr>
        <w:t xml:space="preserve">Filmer </w:t>
      </w:r>
      <w:r w:rsidR="00F90A68">
        <w:rPr>
          <w:rFonts w:ascii="Times New Roman" w:hAnsi="Times New Roman" w:cs="Times New Roman"/>
          <w:sz w:val="28"/>
          <w:szCs w:val="28"/>
        </w:rPr>
        <w:t xml:space="preserve"> </w:t>
      </w:r>
      <w:r w:rsidR="005E59D4">
        <w:rPr>
          <w:rFonts w:ascii="Times New Roman" w:hAnsi="Times New Roman" w:cs="Times New Roman"/>
          <w:sz w:val="28"/>
          <w:szCs w:val="28"/>
        </w:rPr>
        <w:t>assess</w:t>
      </w:r>
      <w:r w:rsidR="006B2346">
        <w:rPr>
          <w:rFonts w:ascii="Times New Roman" w:hAnsi="Times New Roman" w:cs="Times New Roman"/>
          <w:sz w:val="28"/>
          <w:szCs w:val="28"/>
        </w:rPr>
        <w:t>es</w:t>
      </w:r>
      <w:r w:rsidR="005E59D4">
        <w:rPr>
          <w:rFonts w:ascii="Times New Roman" w:hAnsi="Times New Roman" w:cs="Times New Roman"/>
          <w:sz w:val="28"/>
          <w:szCs w:val="28"/>
        </w:rPr>
        <w:t xml:space="preserve"> income differentials between teachers and other ‘comparable wage workers’</w:t>
      </w:r>
      <w:r w:rsidR="0059027C">
        <w:rPr>
          <w:rFonts w:ascii="Times New Roman" w:hAnsi="Times New Roman" w:cs="Times New Roman"/>
          <w:sz w:val="28"/>
          <w:szCs w:val="28"/>
        </w:rPr>
        <w:t xml:space="preserve"> in 15 ‘representative’ countries in SSA</w:t>
      </w:r>
      <w:r w:rsidR="00430F8F">
        <w:rPr>
          <w:rFonts w:ascii="Times New Roman" w:hAnsi="Times New Roman" w:cs="Times New Roman"/>
          <w:sz w:val="28"/>
          <w:szCs w:val="28"/>
        </w:rPr>
        <w:t xml:space="preserve"> by utilising </w:t>
      </w:r>
      <w:r w:rsidR="0059027C">
        <w:rPr>
          <w:rFonts w:ascii="Times New Roman" w:hAnsi="Times New Roman" w:cs="Times New Roman"/>
          <w:sz w:val="28"/>
          <w:szCs w:val="28"/>
        </w:rPr>
        <w:t xml:space="preserve">data from labour force and household surveys </w:t>
      </w:r>
      <w:r w:rsidR="00430F8F">
        <w:rPr>
          <w:rFonts w:ascii="Times New Roman" w:hAnsi="Times New Roman" w:cs="Times New Roman"/>
          <w:sz w:val="28"/>
          <w:szCs w:val="28"/>
        </w:rPr>
        <w:t xml:space="preserve">all but one of </w:t>
      </w:r>
      <w:r w:rsidR="0059027C">
        <w:rPr>
          <w:rFonts w:ascii="Times New Roman" w:hAnsi="Times New Roman" w:cs="Times New Roman"/>
          <w:sz w:val="28"/>
          <w:szCs w:val="28"/>
        </w:rPr>
        <w:t>which were conducted between 2010 and 201</w:t>
      </w:r>
      <w:r w:rsidR="00430F8F">
        <w:rPr>
          <w:rFonts w:ascii="Times New Roman" w:hAnsi="Times New Roman" w:cs="Times New Roman"/>
          <w:sz w:val="28"/>
          <w:szCs w:val="28"/>
        </w:rPr>
        <w:t>4</w:t>
      </w:r>
      <w:r w:rsidR="0059027C">
        <w:rPr>
          <w:rFonts w:ascii="Times New Roman" w:hAnsi="Times New Roman" w:cs="Times New Roman"/>
          <w:sz w:val="28"/>
          <w:szCs w:val="28"/>
        </w:rPr>
        <w:t xml:space="preserve">. This enables average median rather than mean </w:t>
      </w:r>
      <w:r w:rsidR="005E59D4">
        <w:rPr>
          <w:rFonts w:ascii="Times New Roman" w:hAnsi="Times New Roman" w:cs="Times New Roman"/>
          <w:sz w:val="28"/>
          <w:szCs w:val="28"/>
        </w:rPr>
        <w:t xml:space="preserve">teacher salaries </w:t>
      </w:r>
      <w:r w:rsidR="0059027C">
        <w:rPr>
          <w:rFonts w:ascii="Times New Roman" w:hAnsi="Times New Roman" w:cs="Times New Roman"/>
          <w:sz w:val="28"/>
          <w:szCs w:val="28"/>
        </w:rPr>
        <w:t xml:space="preserve">to be calculated. </w:t>
      </w:r>
      <w:r w:rsidR="00924781">
        <w:rPr>
          <w:rFonts w:ascii="Times New Roman" w:hAnsi="Times New Roman" w:cs="Times New Roman"/>
          <w:sz w:val="28"/>
          <w:szCs w:val="28"/>
        </w:rPr>
        <w:t xml:space="preserve"> </w:t>
      </w:r>
    </w:p>
    <w:p w:rsidR="0059027C" w:rsidRDefault="006A648D" w:rsidP="0059027C">
      <w:pPr>
        <w:jc w:val="both"/>
        <w:rPr>
          <w:rFonts w:ascii="Times New Roman" w:hAnsi="Times New Roman" w:cs="Times New Roman"/>
          <w:sz w:val="28"/>
          <w:szCs w:val="28"/>
        </w:rPr>
      </w:pPr>
      <w:r>
        <w:rPr>
          <w:rFonts w:ascii="Times New Roman" w:hAnsi="Times New Roman" w:cs="Times New Roman"/>
          <w:sz w:val="28"/>
          <w:szCs w:val="28"/>
        </w:rPr>
        <w:t xml:space="preserve">The </w:t>
      </w:r>
      <w:r w:rsidR="0033379B">
        <w:rPr>
          <w:rFonts w:ascii="Times New Roman" w:hAnsi="Times New Roman" w:cs="Times New Roman"/>
          <w:sz w:val="28"/>
          <w:szCs w:val="28"/>
        </w:rPr>
        <w:t xml:space="preserve">report </w:t>
      </w:r>
      <w:r>
        <w:rPr>
          <w:rFonts w:ascii="Times New Roman" w:hAnsi="Times New Roman" w:cs="Times New Roman"/>
          <w:sz w:val="28"/>
          <w:szCs w:val="28"/>
        </w:rPr>
        <w:t>presents the following three sets of descriptive statistics which clearly indicate that teachers in the 15 countries in the SSA sample are relatively well paid compared to ‘other</w:t>
      </w:r>
      <w:r w:rsidR="003831CE">
        <w:rPr>
          <w:rFonts w:ascii="Times New Roman" w:hAnsi="Times New Roman" w:cs="Times New Roman"/>
          <w:sz w:val="28"/>
          <w:szCs w:val="28"/>
        </w:rPr>
        <w:t>s</w:t>
      </w:r>
      <w:r>
        <w:rPr>
          <w:rFonts w:ascii="Times New Roman" w:hAnsi="Times New Roman" w:cs="Times New Roman"/>
          <w:sz w:val="28"/>
          <w:szCs w:val="28"/>
        </w:rPr>
        <w:t xml:space="preserve"> workers’. (i)</w:t>
      </w:r>
      <w:r w:rsidR="003831CE">
        <w:rPr>
          <w:rFonts w:ascii="Times New Roman" w:hAnsi="Times New Roman" w:cs="Times New Roman"/>
          <w:sz w:val="28"/>
          <w:szCs w:val="28"/>
        </w:rPr>
        <w:t xml:space="preserve"> </w:t>
      </w:r>
      <w:r>
        <w:rPr>
          <w:rFonts w:ascii="Times New Roman" w:hAnsi="Times New Roman" w:cs="Times New Roman"/>
          <w:sz w:val="28"/>
          <w:szCs w:val="28"/>
        </w:rPr>
        <w:t xml:space="preserve">Teachers’ monthly median </w:t>
      </w:r>
      <w:r w:rsidR="0059027C">
        <w:rPr>
          <w:rFonts w:ascii="Times New Roman" w:hAnsi="Times New Roman" w:cs="Times New Roman"/>
          <w:sz w:val="28"/>
          <w:szCs w:val="28"/>
        </w:rPr>
        <w:t xml:space="preserve">earnings </w:t>
      </w:r>
      <w:r>
        <w:rPr>
          <w:rFonts w:ascii="Times New Roman" w:hAnsi="Times New Roman" w:cs="Times New Roman"/>
          <w:sz w:val="28"/>
          <w:szCs w:val="28"/>
        </w:rPr>
        <w:t xml:space="preserve">are higher </w:t>
      </w:r>
      <w:r w:rsidR="0059027C">
        <w:rPr>
          <w:rFonts w:ascii="Times New Roman" w:hAnsi="Times New Roman" w:cs="Times New Roman"/>
          <w:sz w:val="28"/>
          <w:szCs w:val="28"/>
        </w:rPr>
        <w:t xml:space="preserve">than </w:t>
      </w:r>
      <w:r w:rsidR="0033379B">
        <w:rPr>
          <w:rFonts w:ascii="Times New Roman" w:hAnsi="Times New Roman" w:cs="Times New Roman"/>
          <w:sz w:val="28"/>
          <w:szCs w:val="28"/>
        </w:rPr>
        <w:t xml:space="preserve">waged </w:t>
      </w:r>
      <w:r w:rsidR="0059027C">
        <w:rPr>
          <w:rFonts w:ascii="Times New Roman" w:hAnsi="Times New Roman" w:cs="Times New Roman"/>
          <w:sz w:val="28"/>
          <w:szCs w:val="28"/>
        </w:rPr>
        <w:t xml:space="preserve">workers with </w:t>
      </w:r>
      <w:r>
        <w:rPr>
          <w:rFonts w:ascii="Times New Roman" w:hAnsi="Times New Roman" w:cs="Times New Roman"/>
          <w:sz w:val="28"/>
          <w:szCs w:val="28"/>
        </w:rPr>
        <w:t>‘</w:t>
      </w:r>
      <w:r w:rsidR="0059027C">
        <w:rPr>
          <w:rFonts w:ascii="Times New Roman" w:hAnsi="Times New Roman" w:cs="Times New Roman"/>
          <w:sz w:val="28"/>
          <w:szCs w:val="28"/>
        </w:rPr>
        <w:t>similar education</w:t>
      </w:r>
      <w:r>
        <w:rPr>
          <w:rFonts w:ascii="Times New Roman" w:hAnsi="Times New Roman" w:cs="Times New Roman"/>
          <w:sz w:val="28"/>
          <w:szCs w:val="28"/>
        </w:rPr>
        <w:t>al backgrounds’ in ten countries</w:t>
      </w:r>
      <w:r w:rsidR="0033379B">
        <w:rPr>
          <w:rFonts w:ascii="Times New Roman" w:hAnsi="Times New Roman" w:cs="Times New Roman"/>
          <w:sz w:val="28"/>
          <w:szCs w:val="28"/>
        </w:rPr>
        <w:t xml:space="preserve">. There are </w:t>
      </w:r>
      <w:r w:rsidR="00735CE6">
        <w:rPr>
          <w:rFonts w:ascii="Times New Roman" w:hAnsi="Times New Roman" w:cs="Times New Roman"/>
          <w:sz w:val="28"/>
          <w:szCs w:val="28"/>
        </w:rPr>
        <w:t xml:space="preserve">only </w:t>
      </w:r>
      <w:r w:rsidR="0033379B">
        <w:rPr>
          <w:rFonts w:ascii="Times New Roman" w:hAnsi="Times New Roman" w:cs="Times New Roman"/>
          <w:sz w:val="28"/>
          <w:szCs w:val="28"/>
        </w:rPr>
        <w:t>two countries (Liberia</w:t>
      </w:r>
      <w:r w:rsidR="004F0538">
        <w:rPr>
          <w:rFonts w:ascii="Times New Roman" w:hAnsi="Times New Roman" w:cs="Times New Roman"/>
          <w:sz w:val="28"/>
          <w:szCs w:val="28"/>
        </w:rPr>
        <w:t xml:space="preserve"> and Niger) where teachers earn less than 10% of other workers</w:t>
      </w:r>
      <w:r>
        <w:rPr>
          <w:rFonts w:ascii="Times New Roman" w:hAnsi="Times New Roman" w:cs="Times New Roman"/>
          <w:sz w:val="28"/>
          <w:szCs w:val="28"/>
        </w:rPr>
        <w:t>; (ii</w:t>
      </w:r>
      <w:r w:rsidR="0033379B">
        <w:rPr>
          <w:rFonts w:ascii="Times New Roman" w:hAnsi="Times New Roman" w:cs="Times New Roman"/>
          <w:sz w:val="28"/>
          <w:szCs w:val="28"/>
        </w:rPr>
        <w:t>) ‘A</w:t>
      </w:r>
      <w:r w:rsidR="0059027C">
        <w:rPr>
          <w:rFonts w:ascii="Times New Roman" w:hAnsi="Times New Roman" w:cs="Times New Roman"/>
          <w:sz w:val="28"/>
          <w:szCs w:val="28"/>
        </w:rPr>
        <w:t xml:space="preserve">mong wage workers with post-secondary education, there are just four </w:t>
      </w:r>
      <w:r w:rsidR="0033379B">
        <w:rPr>
          <w:rFonts w:ascii="Times New Roman" w:hAnsi="Times New Roman" w:cs="Times New Roman"/>
          <w:sz w:val="28"/>
          <w:szCs w:val="28"/>
        </w:rPr>
        <w:t xml:space="preserve">(occupational) </w:t>
      </w:r>
      <w:r w:rsidR="0059027C">
        <w:rPr>
          <w:rFonts w:ascii="Times New Roman" w:hAnsi="Times New Roman" w:cs="Times New Roman"/>
          <w:sz w:val="28"/>
          <w:szCs w:val="28"/>
        </w:rPr>
        <w:t>groups that earn more than teachers: managers, professionals, technicians and ski</w:t>
      </w:r>
      <w:r w:rsidR="003831CE">
        <w:rPr>
          <w:rFonts w:ascii="Times New Roman" w:hAnsi="Times New Roman" w:cs="Times New Roman"/>
          <w:sz w:val="28"/>
          <w:szCs w:val="28"/>
        </w:rPr>
        <w:t xml:space="preserve">lled agricultural workers’ </w:t>
      </w:r>
      <w:r w:rsidR="0033379B">
        <w:rPr>
          <w:rFonts w:ascii="Times New Roman" w:hAnsi="Times New Roman" w:cs="Times New Roman"/>
          <w:sz w:val="28"/>
          <w:szCs w:val="28"/>
        </w:rPr>
        <w:t>(</w:t>
      </w:r>
      <w:r w:rsidR="003831CE">
        <w:rPr>
          <w:rFonts w:ascii="Times New Roman" w:hAnsi="Times New Roman" w:cs="Times New Roman"/>
          <w:sz w:val="28"/>
          <w:szCs w:val="28"/>
        </w:rPr>
        <w:t>p.13</w:t>
      </w:r>
      <w:r w:rsidR="0033379B">
        <w:rPr>
          <w:rFonts w:ascii="Times New Roman" w:hAnsi="Times New Roman" w:cs="Times New Roman"/>
          <w:sz w:val="28"/>
          <w:szCs w:val="28"/>
        </w:rPr>
        <w:t>); and (iii) t</w:t>
      </w:r>
      <w:r w:rsidR="003831CE">
        <w:rPr>
          <w:rFonts w:ascii="Times New Roman" w:hAnsi="Times New Roman" w:cs="Times New Roman"/>
          <w:sz w:val="28"/>
          <w:szCs w:val="28"/>
        </w:rPr>
        <w:t>he hourly earnings of teachers are higher than other comparable occupation</w:t>
      </w:r>
      <w:r w:rsidR="0033379B">
        <w:rPr>
          <w:rFonts w:ascii="Times New Roman" w:hAnsi="Times New Roman" w:cs="Times New Roman"/>
          <w:sz w:val="28"/>
          <w:szCs w:val="28"/>
        </w:rPr>
        <w:t xml:space="preserve">s in all but </w:t>
      </w:r>
      <w:r w:rsidR="003831CE">
        <w:rPr>
          <w:rFonts w:ascii="Times New Roman" w:hAnsi="Times New Roman" w:cs="Times New Roman"/>
          <w:sz w:val="28"/>
          <w:szCs w:val="28"/>
        </w:rPr>
        <w:t xml:space="preserve">two of </w:t>
      </w:r>
      <w:r w:rsidR="0033379B">
        <w:rPr>
          <w:rFonts w:ascii="Times New Roman" w:hAnsi="Times New Roman" w:cs="Times New Roman"/>
          <w:sz w:val="28"/>
          <w:szCs w:val="28"/>
        </w:rPr>
        <w:t xml:space="preserve">the 14 countries </w:t>
      </w:r>
      <w:r w:rsidR="004F0538">
        <w:rPr>
          <w:rFonts w:ascii="Times New Roman" w:hAnsi="Times New Roman" w:cs="Times New Roman"/>
          <w:sz w:val="28"/>
          <w:szCs w:val="28"/>
        </w:rPr>
        <w:t>where this can</w:t>
      </w:r>
      <w:r w:rsidR="0033379B">
        <w:rPr>
          <w:rFonts w:ascii="Times New Roman" w:hAnsi="Times New Roman" w:cs="Times New Roman"/>
          <w:sz w:val="28"/>
          <w:szCs w:val="28"/>
        </w:rPr>
        <w:t xml:space="preserve"> be computed</w:t>
      </w:r>
      <w:r w:rsidR="003831CE">
        <w:rPr>
          <w:rFonts w:ascii="Times New Roman" w:hAnsi="Times New Roman" w:cs="Times New Roman"/>
          <w:sz w:val="28"/>
          <w:szCs w:val="28"/>
        </w:rPr>
        <w:t>.</w:t>
      </w:r>
      <w:r w:rsidR="00735CE6">
        <w:rPr>
          <w:rFonts w:ascii="Times New Roman" w:hAnsi="Times New Roman" w:cs="Times New Roman"/>
          <w:sz w:val="28"/>
          <w:szCs w:val="28"/>
        </w:rPr>
        <w:t xml:space="preserve"> </w:t>
      </w:r>
    </w:p>
    <w:p w:rsidR="008C014D" w:rsidRPr="0010040C" w:rsidRDefault="00E42179" w:rsidP="00E42179">
      <w:pPr>
        <w:jc w:val="both"/>
        <w:rPr>
          <w:rFonts w:ascii="Times New Roman" w:hAnsi="Times New Roman" w:cs="Times New Roman"/>
          <w:i/>
          <w:sz w:val="28"/>
          <w:szCs w:val="28"/>
        </w:rPr>
      </w:pPr>
      <w:r w:rsidRPr="0010040C">
        <w:rPr>
          <w:rFonts w:ascii="Times New Roman" w:hAnsi="Times New Roman" w:cs="Times New Roman"/>
          <w:i/>
          <w:sz w:val="28"/>
          <w:szCs w:val="28"/>
        </w:rPr>
        <w:t xml:space="preserve">Key </w:t>
      </w:r>
      <w:r w:rsidR="008C014D" w:rsidRPr="0010040C">
        <w:rPr>
          <w:rFonts w:ascii="Times New Roman" w:hAnsi="Times New Roman" w:cs="Times New Roman"/>
          <w:i/>
          <w:sz w:val="28"/>
          <w:szCs w:val="28"/>
        </w:rPr>
        <w:t>shortcomings</w:t>
      </w:r>
    </w:p>
    <w:p w:rsidR="00095D64" w:rsidRDefault="00DE2D05" w:rsidP="00E42179">
      <w:pPr>
        <w:jc w:val="both"/>
        <w:rPr>
          <w:rFonts w:ascii="Times New Roman" w:hAnsi="Times New Roman" w:cs="Times New Roman"/>
          <w:sz w:val="28"/>
          <w:szCs w:val="28"/>
        </w:rPr>
      </w:pPr>
      <w:r>
        <w:rPr>
          <w:rFonts w:ascii="Times New Roman" w:hAnsi="Times New Roman" w:cs="Times New Roman"/>
          <w:sz w:val="28"/>
          <w:szCs w:val="28"/>
        </w:rPr>
        <w:t xml:space="preserve">This paper </w:t>
      </w:r>
      <w:r w:rsidR="00735CE6">
        <w:rPr>
          <w:rFonts w:ascii="Times New Roman" w:hAnsi="Times New Roman" w:cs="Times New Roman"/>
          <w:sz w:val="28"/>
          <w:szCs w:val="28"/>
        </w:rPr>
        <w:t xml:space="preserve">is an impressive effort to analyse large </w:t>
      </w:r>
      <w:r w:rsidR="00154846">
        <w:rPr>
          <w:rFonts w:ascii="Times New Roman" w:hAnsi="Times New Roman" w:cs="Times New Roman"/>
          <w:sz w:val="28"/>
          <w:szCs w:val="28"/>
        </w:rPr>
        <w:t xml:space="preserve">national </w:t>
      </w:r>
      <w:r w:rsidR="00735CE6">
        <w:rPr>
          <w:rFonts w:ascii="Times New Roman" w:hAnsi="Times New Roman" w:cs="Times New Roman"/>
          <w:sz w:val="28"/>
          <w:szCs w:val="28"/>
        </w:rPr>
        <w:t xml:space="preserve">surveys across a relatively large number of countries. However, it </w:t>
      </w:r>
      <w:r>
        <w:rPr>
          <w:rFonts w:ascii="Times New Roman" w:hAnsi="Times New Roman" w:cs="Times New Roman"/>
          <w:sz w:val="28"/>
          <w:szCs w:val="28"/>
        </w:rPr>
        <w:t>has a number of shortcomings with respect to both the data and analysis. Firstly, t</w:t>
      </w:r>
      <w:r w:rsidR="004B2E9C">
        <w:rPr>
          <w:rFonts w:ascii="Times New Roman" w:hAnsi="Times New Roman" w:cs="Times New Roman"/>
          <w:sz w:val="28"/>
          <w:szCs w:val="28"/>
        </w:rPr>
        <w:t xml:space="preserve">he </w:t>
      </w:r>
      <w:r w:rsidR="003D6657">
        <w:rPr>
          <w:rFonts w:ascii="Times New Roman" w:hAnsi="Times New Roman" w:cs="Times New Roman"/>
          <w:sz w:val="28"/>
          <w:szCs w:val="28"/>
        </w:rPr>
        <w:t xml:space="preserve">median earnings data presented in the report </w:t>
      </w:r>
      <w:r w:rsidR="004B2E9C">
        <w:rPr>
          <w:rFonts w:ascii="Times New Roman" w:hAnsi="Times New Roman" w:cs="Times New Roman"/>
          <w:sz w:val="28"/>
          <w:szCs w:val="28"/>
        </w:rPr>
        <w:t>shares man</w:t>
      </w:r>
      <w:r w:rsidR="008C014D">
        <w:rPr>
          <w:rFonts w:ascii="Times New Roman" w:hAnsi="Times New Roman" w:cs="Times New Roman"/>
          <w:sz w:val="28"/>
          <w:szCs w:val="28"/>
        </w:rPr>
        <w:t>y of the same limitation</w:t>
      </w:r>
      <w:r w:rsidR="003D6657">
        <w:rPr>
          <w:rFonts w:ascii="Times New Roman" w:hAnsi="Times New Roman" w:cs="Times New Roman"/>
          <w:sz w:val="28"/>
          <w:szCs w:val="28"/>
        </w:rPr>
        <w:t>s as the PCGDP</w:t>
      </w:r>
      <w:r w:rsidR="008C014D">
        <w:rPr>
          <w:rFonts w:ascii="Times New Roman" w:hAnsi="Times New Roman" w:cs="Times New Roman"/>
          <w:sz w:val="28"/>
          <w:szCs w:val="28"/>
        </w:rPr>
        <w:t xml:space="preserve"> </w:t>
      </w:r>
      <w:r w:rsidR="003D6657">
        <w:rPr>
          <w:rFonts w:ascii="Times New Roman" w:hAnsi="Times New Roman" w:cs="Times New Roman"/>
          <w:sz w:val="28"/>
          <w:szCs w:val="28"/>
        </w:rPr>
        <w:t xml:space="preserve">mean pay </w:t>
      </w:r>
      <w:r w:rsidR="00154846">
        <w:rPr>
          <w:rFonts w:ascii="Times New Roman" w:hAnsi="Times New Roman" w:cs="Times New Roman"/>
          <w:sz w:val="28"/>
          <w:szCs w:val="28"/>
        </w:rPr>
        <w:t>ratio</w:t>
      </w:r>
      <w:r w:rsidR="00EC4625">
        <w:rPr>
          <w:rFonts w:ascii="Times New Roman" w:hAnsi="Times New Roman" w:cs="Times New Roman"/>
          <w:sz w:val="28"/>
          <w:szCs w:val="28"/>
        </w:rPr>
        <w:t xml:space="preserve"> and </w:t>
      </w:r>
      <w:r w:rsidR="00381895">
        <w:rPr>
          <w:rFonts w:ascii="Times New Roman" w:hAnsi="Times New Roman" w:cs="Times New Roman"/>
          <w:sz w:val="28"/>
          <w:szCs w:val="28"/>
        </w:rPr>
        <w:t xml:space="preserve">it </w:t>
      </w:r>
      <w:r w:rsidR="00EC4625">
        <w:rPr>
          <w:rFonts w:ascii="Times New Roman" w:hAnsi="Times New Roman" w:cs="Times New Roman"/>
          <w:sz w:val="28"/>
          <w:szCs w:val="28"/>
        </w:rPr>
        <w:t>is also quite dated</w:t>
      </w:r>
      <w:r w:rsidR="008C014D">
        <w:rPr>
          <w:rFonts w:ascii="Times New Roman" w:hAnsi="Times New Roman" w:cs="Times New Roman"/>
          <w:sz w:val="28"/>
          <w:szCs w:val="28"/>
        </w:rPr>
        <w:t xml:space="preserve">. In fact, the level of aggregation is even higher since it also </w:t>
      </w:r>
      <w:r w:rsidR="003D6657">
        <w:rPr>
          <w:rFonts w:ascii="Times New Roman" w:hAnsi="Times New Roman" w:cs="Times New Roman"/>
          <w:sz w:val="28"/>
          <w:szCs w:val="28"/>
        </w:rPr>
        <w:t xml:space="preserve">includes </w:t>
      </w:r>
      <w:r w:rsidR="00E42179">
        <w:rPr>
          <w:rFonts w:ascii="Times New Roman" w:hAnsi="Times New Roman" w:cs="Times New Roman"/>
          <w:sz w:val="28"/>
          <w:szCs w:val="28"/>
        </w:rPr>
        <w:t>teachers by schooling level (primary an</w:t>
      </w:r>
      <w:r w:rsidR="008C014D">
        <w:rPr>
          <w:rFonts w:ascii="Times New Roman" w:hAnsi="Times New Roman" w:cs="Times New Roman"/>
          <w:sz w:val="28"/>
          <w:szCs w:val="28"/>
        </w:rPr>
        <w:t xml:space="preserve">d secondary), </w:t>
      </w:r>
      <w:r w:rsidR="00E42179">
        <w:rPr>
          <w:rFonts w:ascii="Times New Roman" w:hAnsi="Times New Roman" w:cs="Times New Roman"/>
          <w:sz w:val="28"/>
          <w:szCs w:val="28"/>
        </w:rPr>
        <w:t>employment status (permanent, co</w:t>
      </w:r>
      <w:r w:rsidR="008C014D">
        <w:rPr>
          <w:rFonts w:ascii="Times New Roman" w:hAnsi="Times New Roman" w:cs="Times New Roman"/>
          <w:sz w:val="28"/>
          <w:szCs w:val="28"/>
        </w:rPr>
        <w:t>ntract, ‘volunteer’, expatriate</w:t>
      </w:r>
      <w:r w:rsidR="00735CE6">
        <w:rPr>
          <w:rFonts w:ascii="Times New Roman" w:hAnsi="Times New Roman" w:cs="Times New Roman"/>
          <w:sz w:val="28"/>
          <w:szCs w:val="28"/>
        </w:rPr>
        <w:t>)</w:t>
      </w:r>
      <w:r w:rsidR="008C014D">
        <w:rPr>
          <w:rFonts w:ascii="Times New Roman" w:hAnsi="Times New Roman" w:cs="Times New Roman"/>
          <w:sz w:val="28"/>
          <w:szCs w:val="28"/>
        </w:rPr>
        <w:t xml:space="preserve"> and o</w:t>
      </w:r>
      <w:r w:rsidR="00E42179">
        <w:rPr>
          <w:rFonts w:ascii="Times New Roman" w:hAnsi="Times New Roman" w:cs="Times New Roman"/>
          <w:sz w:val="28"/>
          <w:szCs w:val="28"/>
        </w:rPr>
        <w:t>wnership (government, private</w:t>
      </w:r>
      <w:r w:rsidR="008C014D">
        <w:rPr>
          <w:rFonts w:ascii="Times New Roman" w:hAnsi="Times New Roman" w:cs="Times New Roman"/>
          <w:sz w:val="28"/>
          <w:szCs w:val="28"/>
        </w:rPr>
        <w:t xml:space="preserve"> not-for profit and for-profit</w:t>
      </w:r>
      <w:r w:rsidR="00E42179">
        <w:rPr>
          <w:rFonts w:ascii="Times New Roman" w:hAnsi="Times New Roman" w:cs="Times New Roman"/>
          <w:sz w:val="28"/>
          <w:szCs w:val="28"/>
        </w:rPr>
        <w:t>).</w:t>
      </w:r>
      <w:r w:rsidR="008C014D">
        <w:rPr>
          <w:rFonts w:ascii="Times New Roman" w:hAnsi="Times New Roman" w:cs="Times New Roman"/>
          <w:sz w:val="28"/>
          <w:szCs w:val="28"/>
        </w:rPr>
        <w:t xml:space="preserve"> The reported very high ranges in inter-quartile median earnings within countries and the </w:t>
      </w:r>
      <w:r w:rsidR="00154846">
        <w:rPr>
          <w:rFonts w:ascii="Times New Roman" w:hAnsi="Times New Roman" w:cs="Times New Roman"/>
          <w:sz w:val="28"/>
          <w:szCs w:val="28"/>
        </w:rPr>
        <w:t xml:space="preserve">large </w:t>
      </w:r>
      <w:r w:rsidR="008C014D">
        <w:rPr>
          <w:rFonts w:ascii="Times New Roman" w:hAnsi="Times New Roman" w:cs="Times New Roman"/>
          <w:sz w:val="28"/>
          <w:szCs w:val="28"/>
        </w:rPr>
        <w:t>differences in median earning</w:t>
      </w:r>
      <w:r w:rsidR="00735CE6">
        <w:rPr>
          <w:rFonts w:ascii="Times New Roman" w:hAnsi="Times New Roman" w:cs="Times New Roman"/>
          <w:sz w:val="28"/>
          <w:szCs w:val="28"/>
        </w:rPr>
        <w:t>s</w:t>
      </w:r>
      <w:r w:rsidR="008C014D">
        <w:rPr>
          <w:rFonts w:ascii="Times New Roman" w:hAnsi="Times New Roman" w:cs="Times New Roman"/>
          <w:sz w:val="28"/>
          <w:szCs w:val="28"/>
        </w:rPr>
        <w:t xml:space="preserve"> between countries </w:t>
      </w:r>
      <w:r w:rsidR="00735CE6">
        <w:rPr>
          <w:rFonts w:ascii="Times New Roman" w:hAnsi="Times New Roman" w:cs="Times New Roman"/>
          <w:sz w:val="28"/>
          <w:szCs w:val="28"/>
        </w:rPr>
        <w:t xml:space="preserve">is indicative of </w:t>
      </w:r>
      <w:r w:rsidR="008C014D">
        <w:rPr>
          <w:rFonts w:ascii="Times New Roman" w:hAnsi="Times New Roman" w:cs="Times New Roman"/>
          <w:sz w:val="28"/>
          <w:szCs w:val="28"/>
        </w:rPr>
        <w:t>th</w:t>
      </w:r>
      <w:r w:rsidR="003D6657">
        <w:rPr>
          <w:rFonts w:ascii="Times New Roman" w:hAnsi="Times New Roman" w:cs="Times New Roman"/>
          <w:sz w:val="28"/>
          <w:szCs w:val="28"/>
        </w:rPr>
        <w:t xml:space="preserve">e </w:t>
      </w:r>
      <w:r w:rsidR="00E42179">
        <w:rPr>
          <w:rFonts w:ascii="Times New Roman" w:hAnsi="Times New Roman" w:cs="Times New Roman"/>
          <w:sz w:val="28"/>
          <w:szCs w:val="28"/>
        </w:rPr>
        <w:t xml:space="preserve">heterogeneity of the sampled teachers. </w:t>
      </w:r>
      <w:r w:rsidR="008C014D">
        <w:rPr>
          <w:rFonts w:ascii="Times New Roman" w:hAnsi="Times New Roman" w:cs="Times New Roman"/>
          <w:sz w:val="28"/>
          <w:szCs w:val="28"/>
        </w:rPr>
        <w:t xml:space="preserve">For example, countries such as Cote d’Ivoire where over half </w:t>
      </w:r>
      <w:r w:rsidR="008C014D">
        <w:rPr>
          <w:rFonts w:ascii="Times New Roman" w:hAnsi="Times New Roman" w:cs="Times New Roman"/>
          <w:sz w:val="28"/>
          <w:szCs w:val="28"/>
        </w:rPr>
        <w:lastRenderedPageBreak/>
        <w:t xml:space="preserve">of primary school teachers have university education are likely to have </w:t>
      </w:r>
      <w:r w:rsidR="004B2E9C">
        <w:rPr>
          <w:rFonts w:ascii="Times New Roman" w:hAnsi="Times New Roman" w:cs="Times New Roman"/>
          <w:sz w:val="28"/>
          <w:szCs w:val="28"/>
        </w:rPr>
        <w:t xml:space="preserve">markedly different </w:t>
      </w:r>
      <w:r w:rsidR="008C014D">
        <w:rPr>
          <w:rFonts w:ascii="Times New Roman" w:hAnsi="Times New Roman" w:cs="Times New Roman"/>
          <w:sz w:val="28"/>
          <w:szCs w:val="28"/>
        </w:rPr>
        <w:t xml:space="preserve">levels and patterns of inter-occupational income differentials compared to countries such as Malawi and </w:t>
      </w:r>
      <w:r w:rsidR="00735CE6">
        <w:rPr>
          <w:rFonts w:ascii="Times New Roman" w:hAnsi="Times New Roman" w:cs="Times New Roman"/>
          <w:sz w:val="28"/>
          <w:szCs w:val="28"/>
        </w:rPr>
        <w:t xml:space="preserve">Nigeria </w:t>
      </w:r>
      <w:r w:rsidR="008C014D">
        <w:rPr>
          <w:rFonts w:ascii="Times New Roman" w:hAnsi="Times New Roman" w:cs="Times New Roman"/>
          <w:sz w:val="28"/>
          <w:szCs w:val="28"/>
        </w:rPr>
        <w:t xml:space="preserve">where </w:t>
      </w:r>
      <w:r w:rsidR="004B2E9C">
        <w:rPr>
          <w:rFonts w:ascii="Times New Roman" w:hAnsi="Times New Roman" w:cs="Times New Roman"/>
          <w:sz w:val="28"/>
          <w:szCs w:val="28"/>
        </w:rPr>
        <w:t xml:space="preserve">relatively very few </w:t>
      </w:r>
      <w:r w:rsidR="008C014D">
        <w:rPr>
          <w:rFonts w:ascii="Times New Roman" w:hAnsi="Times New Roman" w:cs="Times New Roman"/>
          <w:sz w:val="28"/>
          <w:szCs w:val="28"/>
        </w:rPr>
        <w:t xml:space="preserve">university graduates </w:t>
      </w:r>
      <w:r w:rsidR="004B2E9C">
        <w:rPr>
          <w:rFonts w:ascii="Times New Roman" w:hAnsi="Times New Roman" w:cs="Times New Roman"/>
          <w:sz w:val="28"/>
          <w:szCs w:val="28"/>
        </w:rPr>
        <w:t xml:space="preserve">teach </w:t>
      </w:r>
      <w:r w:rsidR="008C014D">
        <w:rPr>
          <w:rFonts w:ascii="Times New Roman" w:hAnsi="Times New Roman" w:cs="Times New Roman"/>
          <w:sz w:val="28"/>
          <w:szCs w:val="28"/>
        </w:rPr>
        <w:t xml:space="preserve">in primary schools.  Similarly, </w:t>
      </w:r>
      <w:r w:rsidR="00BA2257">
        <w:rPr>
          <w:rFonts w:ascii="Times New Roman" w:hAnsi="Times New Roman" w:cs="Times New Roman"/>
          <w:sz w:val="28"/>
          <w:szCs w:val="28"/>
        </w:rPr>
        <w:t xml:space="preserve">the education and qualification profiles of primary and </w:t>
      </w:r>
      <w:r w:rsidR="00735CE6">
        <w:rPr>
          <w:rFonts w:ascii="Times New Roman" w:hAnsi="Times New Roman" w:cs="Times New Roman"/>
          <w:sz w:val="28"/>
          <w:szCs w:val="28"/>
        </w:rPr>
        <w:t xml:space="preserve">secondary </w:t>
      </w:r>
      <w:r w:rsidR="00BA2257">
        <w:rPr>
          <w:rFonts w:ascii="Times New Roman" w:hAnsi="Times New Roman" w:cs="Times New Roman"/>
          <w:sz w:val="28"/>
          <w:szCs w:val="28"/>
        </w:rPr>
        <w:t xml:space="preserve">school teachers are markedly different in most countries with the result that the mean earnings of secondary teachers are </w:t>
      </w:r>
      <w:r w:rsidR="00154846">
        <w:rPr>
          <w:rFonts w:ascii="Times New Roman" w:hAnsi="Times New Roman" w:cs="Times New Roman"/>
          <w:sz w:val="28"/>
          <w:szCs w:val="28"/>
        </w:rPr>
        <w:t xml:space="preserve">typically more than 25-50% higher </w:t>
      </w:r>
      <w:r w:rsidR="00BA2257">
        <w:rPr>
          <w:rFonts w:ascii="Times New Roman" w:hAnsi="Times New Roman" w:cs="Times New Roman"/>
          <w:sz w:val="28"/>
          <w:szCs w:val="28"/>
        </w:rPr>
        <w:t>than primary teachers</w:t>
      </w:r>
      <w:r w:rsidR="00154846">
        <w:rPr>
          <w:rFonts w:ascii="Times New Roman" w:hAnsi="Times New Roman" w:cs="Times New Roman"/>
          <w:sz w:val="28"/>
          <w:szCs w:val="28"/>
        </w:rPr>
        <w:t xml:space="preserve"> in most countries</w:t>
      </w:r>
      <w:r w:rsidR="008C014D">
        <w:rPr>
          <w:rFonts w:ascii="Times New Roman" w:hAnsi="Times New Roman" w:cs="Times New Roman"/>
          <w:sz w:val="28"/>
          <w:szCs w:val="28"/>
        </w:rPr>
        <w:t>.</w:t>
      </w:r>
      <w:r w:rsidR="00BA2257">
        <w:rPr>
          <w:rFonts w:ascii="Times New Roman" w:hAnsi="Times New Roman" w:cs="Times New Roman"/>
          <w:sz w:val="28"/>
          <w:szCs w:val="28"/>
        </w:rPr>
        <w:t xml:space="preserve"> The varying proportions of these two groups of teachers across countries further compounds </w:t>
      </w:r>
      <w:r w:rsidR="00C016ED">
        <w:rPr>
          <w:rFonts w:ascii="Times New Roman" w:hAnsi="Times New Roman" w:cs="Times New Roman"/>
          <w:sz w:val="28"/>
          <w:szCs w:val="28"/>
        </w:rPr>
        <w:t>this problem.</w:t>
      </w:r>
      <w:r>
        <w:rPr>
          <w:rFonts w:ascii="Times New Roman" w:hAnsi="Times New Roman" w:cs="Times New Roman"/>
          <w:sz w:val="28"/>
          <w:szCs w:val="28"/>
        </w:rPr>
        <w:t xml:space="preserve"> The mean pay of private school teachers is </w:t>
      </w:r>
      <w:r w:rsidR="00735CE6">
        <w:rPr>
          <w:rFonts w:ascii="Times New Roman" w:hAnsi="Times New Roman" w:cs="Times New Roman"/>
          <w:sz w:val="28"/>
          <w:szCs w:val="28"/>
        </w:rPr>
        <w:t xml:space="preserve">also </w:t>
      </w:r>
      <w:r w:rsidR="00154846">
        <w:rPr>
          <w:rFonts w:ascii="Times New Roman" w:hAnsi="Times New Roman" w:cs="Times New Roman"/>
          <w:sz w:val="28"/>
          <w:szCs w:val="28"/>
        </w:rPr>
        <w:t xml:space="preserve">significantly </w:t>
      </w:r>
      <w:r>
        <w:rPr>
          <w:rFonts w:ascii="Times New Roman" w:hAnsi="Times New Roman" w:cs="Times New Roman"/>
          <w:sz w:val="28"/>
          <w:szCs w:val="28"/>
        </w:rPr>
        <w:t xml:space="preserve">lower </w:t>
      </w:r>
      <w:r w:rsidR="00154846">
        <w:rPr>
          <w:rFonts w:ascii="Times New Roman" w:hAnsi="Times New Roman" w:cs="Times New Roman"/>
          <w:sz w:val="28"/>
          <w:szCs w:val="28"/>
        </w:rPr>
        <w:t>than government teachers in many</w:t>
      </w:r>
      <w:r>
        <w:rPr>
          <w:rFonts w:ascii="Times New Roman" w:hAnsi="Times New Roman" w:cs="Times New Roman"/>
          <w:sz w:val="28"/>
          <w:szCs w:val="28"/>
        </w:rPr>
        <w:t xml:space="preserve"> countries. </w:t>
      </w:r>
    </w:p>
    <w:p w:rsidR="00095D64" w:rsidRDefault="00735CE6" w:rsidP="00E42179">
      <w:pPr>
        <w:jc w:val="both"/>
        <w:rPr>
          <w:rFonts w:ascii="Times New Roman" w:hAnsi="Times New Roman" w:cs="Times New Roman"/>
          <w:sz w:val="28"/>
          <w:szCs w:val="28"/>
        </w:rPr>
      </w:pPr>
      <w:r>
        <w:rPr>
          <w:rFonts w:ascii="Times New Roman" w:hAnsi="Times New Roman" w:cs="Times New Roman"/>
          <w:sz w:val="28"/>
          <w:szCs w:val="28"/>
        </w:rPr>
        <w:t>The paper</w:t>
      </w:r>
      <w:r w:rsidR="00095D64">
        <w:rPr>
          <w:rFonts w:ascii="Times New Roman" w:hAnsi="Times New Roman" w:cs="Times New Roman"/>
          <w:sz w:val="28"/>
          <w:szCs w:val="28"/>
        </w:rPr>
        <w:t xml:space="preserve"> does not present separate descriptive statistics </w:t>
      </w:r>
      <w:r w:rsidR="00154846">
        <w:rPr>
          <w:rFonts w:ascii="Times New Roman" w:hAnsi="Times New Roman" w:cs="Times New Roman"/>
          <w:sz w:val="28"/>
          <w:szCs w:val="28"/>
        </w:rPr>
        <w:t>for primary school teachers</w:t>
      </w:r>
      <w:r w:rsidR="00095D64">
        <w:rPr>
          <w:rFonts w:ascii="Times New Roman" w:hAnsi="Times New Roman" w:cs="Times New Roman"/>
          <w:sz w:val="28"/>
          <w:szCs w:val="28"/>
        </w:rPr>
        <w:t>, but where their salaries are appreciably lower and also where relatively large number</w:t>
      </w:r>
      <w:r w:rsidR="00E12294">
        <w:rPr>
          <w:rFonts w:ascii="Times New Roman" w:hAnsi="Times New Roman" w:cs="Times New Roman"/>
          <w:sz w:val="28"/>
          <w:szCs w:val="28"/>
        </w:rPr>
        <w:t>s</w:t>
      </w:r>
      <w:r w:rsidR="00095D64">
        <w:rPr>
          <w:rFonts w:ascii="Times New Roman" w:hAnsi="Times New Roman" w:cs="Times New Roman"/>
          <w:sz w:val="28"/>
          <w:szCs w:val="28"/>
        </w:rPr>
        <w:t xml:space="preserve"> of secondary teachers are employed, this is likely to change significantly the overall </w:t>
      </w:r>
      <w:r w:rsidR="00DE2D05">
        <w:rPr>
          <w:rFonts w:ascii="Times New Roman" w:hAnsi="Times New Roman" w:cs="Times New Roman"/>
          <w:sz w:val="28"/>
          <w:szCs w:val="28"/>
        </w:rPr>
        <w:t xml:space="preserve">size and </w:t>
      </w:r>
      <w:r w:rsidR="00095D64">
        <w:rPr>
          <w:rFonts w:ascii="Times New Roman" w:hAnsi="Times New Roman" w:cs="Times New Roman"/>
          <w:sz w:val="28"/>
          <w:szCs w:val="28"/>
        </w:rPr>
        <w:t>pattern</w:t>
      </w:r>
      <w:r w:rsidR="00DE2D05">
        <w:rPr>
          <w:rFonts w:ascii="Times New Roman" w:hAnsi="Times New Roman" w:cs="Times New Roman"/>
          <w:sz w:val="28"/>
          <w:szCs w:val="28"/>
        </w:rPr>
        <w:t xml:space="preserve"> of income differentials between sampled teachers and other comparable workers. The report </w:t>
      </w:r>
      <w:r w:rsidR="0080004A">
        <w:rPr>
          <w:rFonts w:ascii="Times New Roman" w:hAnsi="Times New Roman" w:cs="Times New Roman"/>
          <w:sz w:val="28"/>
          <w:szCs w:val="28"/>
        </w:rPr>
        <w:t xml:space="preserve">itself </w:t>
      </w:r>
      <w:r w:rsidR="00DE2D05">
        <w:rPr>
          <w:rFonts w:ascii="Times New Roman" w:hAnsi="Times New Roman" w:cs="Times New Roman"/>
          <w:sz w:val="28"/>
          <w:szCs w:val="28"/>
        </w:rPr>
        <w:t xml:space="preserve">presents the results of </w:t>
      </w:r>
      <w:r w:rsidR="0080004A">
        <w:rPr>
          <w:rFonts w:ascii="Times New Roman" w:hAnsi="Times New Roman" w:cs="Times New Roman"/>
          <w:sz w:val="28"/>
          <w:szCs w:val="28"/>
        </w:rPr>
        <w:t xml:space="preserve">OLS </w:t>
      </w:r>
      <w:r w:rsidR="00DE2D05">
        <w:rPr>
          <w:rFonts w:ascii="Times New Roman" w:hAnsi="Times New Roman" w:cs="Times New Roman"/>
          <w:sz w:val="28"/>
          <w:szCs w:val="28"/>
        </w:rPr>
        <w:t xml:space="preserve">multivariate analysis which shows that </w:t>
      </w:r>
      <w:r w:rsidR="0080004A">
        <w:rPr>
          <w:rFonts w:ascii="Times New Roman" w:hAnsi="Times New Roman" w:cs="Times New Roman"/>
          <w:sz w:val="28"/>
          <w:szCs w:val="28"/>
        </w:rPr>
        <w:t xml:space="preserve">in seven out of 11 </w:t>
      </w:r>
      <w:r w:rsidR="00DE2D05">
        <w:rPr>
          <w:rFonts w:ascii="Times New Roman" w:hAnsi="Times New Roman" w:cs="Times New Roman"/>
          <w:sz w:val="28"/>
          <w:szCs w:val="28"/>
        </w:rPr>
        <w:t>countries where a statistical</w:t>
      </w:r>
      <w:r w:rsidR="0080004A">
        <w:rPr>
          <w:rFonts w:ascii="Times New Roman" w:hAnsi="Times New Roman" w:cs="Times New Roman"/>
          <w:sz w:val="28"/>
          <w:szCs w:val="28"/>
        </w:rPr>
        <w:t>ly</w:t>
      </w:r>
      <w:r w:rsidR="00DE2D05">
        <w:rPr>
          <w:rFonts w:ascii="Times New Roman" w:hAnsi="Times New Roman" w:cs="Times New Roman"/>
          <w:sz w:val="28"/>
          <w:szCs w:val="28"/>
        </w:rPr>
        <w:t xml:space="preserve"> robus</w:t>
      </w:r>
      <w:r w:rsidR="0080004A">
        <w:rPr>
          <w:rFonts w:ascii="Times New Roman" w:hAnsi="Times New Roman" w:cs="Times New Roman"/>
          <w:sz w:val="28"/>
          <w:szCs w:val="28"/>
        </w:rPr>
        <w:t>t</w:t>
      </w:r>
      <w:r w:rsidR="00DE2D05">
        <w:rPr>
          <w:rFonts w:ascii="Times New Roman" w:hAnsi="Times New Roman" w:cs="Times New Roman"/>
          <w:sz w:val="28"/>
          <w:szCs w:val="28"/>
        </w:rPr>
        <w:t xml:space="preserve"> relationship exists, </w:t>
      </w:r>
      <w:r w:rsidR="0080004A">
        <w:rPr>
          <w:rFonts w:ascii="Times New Roman" w:hAnsi="Times New Roman" w:cs="Times New Roman"/>
          <w:sz w:val="28"/>
          <w:szCs w:val="28"/>
        </w:rPr>
        <w:t>primary school teacher earnings are appreciably lower than other comparable wage workers</w:t>
      </w:r>
      <w:r w:rsidR="00E12294">
        <w:rPr>
          <w:rStyle w:val="FootnoteReference"/>
          <w:rFonts w:ascii="Times New Roman" w:hAnsi="Times New Roman" w:cs="Times New Roman"/>
          <w:sz w:val="28"/>
          <w:szCs w:val="28"/>
        </w:rPr>
        <w:footnoteReference w:id="7"/>
      </w:r>
      <w:r w:rsidR="0080004A">
        <w:rPr>
          <w:rFonts w:ascii="Times New Roman" w:hAnsi="Times New Roman" w:cs="Times New Roman"/>
          <w:sz w:val="28"/>
          <w:szCs w:val="28"/>
        </w:rPr>
        <w:t>.</w:t>
      </w:r>
      <w:r w:rsidR="00DE2D05">
        <w:rPr>
          <w:rFonts w:ascii="Times New Roman" w:hAnsi="Times New Roman" w:cs="Times New Roman"/>
          <w:sz w:val="28"/>
          <w:szCs w:val="28"/>
        </w:rPr>
        <w:t xml:space="preserve">   </w:t>
      </w:r>
      <w:r w:rsidR="00095D64">
        <w:rPr>
          <w:rFonts w:ascii="Times New Roman" w:hAnsi="Times New Roman" w:cs="Times New Roman"/>
          <w:sz w:val="28"/>
          <w:szCs w:val="28"/>
        </w:rPr>
        <w:t xml:space="preserve">   </w:t>
      </w:r>
    </w:p>
    <w:p w:rsidR="005A781F" w:rsidRDefault="00D0721F" w:rsidP="005A781F">
      <w:pPr>
        <w:jc w:val="both"/>
        <w:rPr>
          <w:rFonts w:ascii="Times New Roman" w:hAnsi="Times New Roman" w:cs="Times New Roman"/>
          <w:sz w:val="28"/>
          <w:szCs w:val="28"/>
        </w:rPr>
      </w:pPr>
      <w:r>
        <w:rPr>
          <w:rFonts w:ascii="Times New Roman" w:hAnsi="Times New Roman" w:cs="Times New Roman"/>
          <w:sz w:val="28"/>
          <w:szCs w:val="28"/>
        </w:rPr>
        <w:t xml:space="preserve">An </w:t>
      </w:r>
      <w:r w:rsidR="005A781F">
        <w:rPr>
          <w:rFonts w:ascii="Times New Roman" w:hAnsi="Times New Roman" w:cs="Times New Roman"/>
          <w:sz w:val="28"/>
          <w:szCs w:val="28"/>
        </w:rPr>
        <w:t>overriding problem is that the sample sizes of teachers and other occupations are too small in most of the 15 countries</w:t>
      </w:r>
      <w:r w:rsidR="005A781F">
        <w:rPr>
          <w:rStyle w:val="FootnoteReference"/>
          <w:rFonts w:ascii="Times New Roman" w:hAnsi="Times New Roman" w:cs="Times New Roman"/>
          <w:sz w:val="28"/>
          <w:szCs w:val="28"/>
        </w:rPr>
        <w:footnoteReference w:id="8"/>
      </w:r>
      <w:r w:rsidR="005A781F">
        <w:rPr>
          <w:rFonts w:ascii="Times New Roman" w:hAnsi="Times New Roman" w:cs="Times New Roman"/>
          <w:sz w:val="28"/>
          <w:szCs w:val="28"/>
        </w:rPr>
        <w:t xml:space="preserve"> to be able to undertake statistically robust analysis of income differentials between these groups. </w:t>
      </w:r>
      <w:r w:rsidR="00075481">
        <w:rPr>
          <w:rFonts w:ascii="Times New Roman" w:hAnsi="Times New Roman" w:cs="Times New Roman"/>
          <w:sz w:val="28"/>
          <w:szCs w:val="28"/>
        </w:rPr>
        <w:t xml:space="preserve">At the very least, sample sizes have to be large enough for primary and secondary teacher income to be separately analysed according </w:t>
      </w:r>
      <w:r w:rsidR="004A586A">
        <w:rPr>
          <w:rFonts w:ascii="Times New Roman" w:hAnsi="Times New Roman" w:cs="Times New Roman"/>
          <w:sz w:val="28"/>
          <w:szCs w:val="28"/>
        </w:rPr>
        <w:t xml:space="preserve">to </w:t>
      </w:r>
      <w:r w:rsidR="00075481">
        <w:rPr>
          <w:rFonts w:ascii="Times New Roman" w:hAnsi="Times New Roman" w:cs="Times New Roman"/>
          <w:sz w:val="28"/>
          <w:szCs w:val="28"/>
        </w:rPr>
        <w:t>school ownership (public and private) and q</w:t>
      </w:r>
      <w:r w:rsidR="005A781F">
        <w:rPr>
          <w:rFonts w:ascii="Times New Roman" w:hAnsi="Times New Roman" w:cs="Times New Roman"/>
          <w:sz w:val="28"/>
          <w:szCs w:val="28"/>
        </w:rPr>
        <w:t>ualification level</w:t>
      </w:r>
      <w:r w:rsidR="00075481">
        <w:rPr>
          <w:rFonts w:ascii="Times New Roman" w:hAnsi="Times New Roman" w:cs="Times New Roman"/>
          <w:sz w:val="28"/>
          <w:szCs w:val="28"/>
        </w:rPr>
        <w:t xml:space="preserve"> (</w:t>
      </w:r>
      <w:r w:rsidR="005A781F">
        <w:rPr>
          <w:rFonts w:ascii="Times New Roman" w:hAnsi="Times New Roman" w:cs="Times New Roman"/>
          <w:sz w:val="28"/>
          <w:szCs w:val="28"/>
        </w:rPr>
        <w:t>no professional qualification, certificate, diploma and university degree</w:t>
      </w:r>
      <w:r w:rsidR="00075481">
        <w:rPr>
          <w:rFonts w:ascii="Times New Roman" w:hAnsi="Times New Roman" w:cs="Times New Roman"/>
          <w:sz w:val="28"/>
          <w:szCs w:val="28"/>
        </w:rPr>
        <w:t>)</w:t>
      </w:r>
      <w:r w:rsidR="005A781F">
        <w:rPr>
          <w:rFonts w:ascii="Times New Roman" w:hAnsi="Times New Roman" w:cs="Times New Roman"/>
          <w:sz w:val="28"/>
          <w:szCs w:val="28"/>
        </w:rPr>
        <w:t>.</w:t>
      </w:r>
      <w:r w:rsidR="00075481">
        <w:rPr>
          <w:rFonts w:ascii="Times New Roman" w:hAnsi="Times New Roman" w:cs="Times New Roman"/>
          <w:sz w:val="28"/>
          <w:szCs w:val="28"/>
        </w:rPr>
        <w:t xml:space="preserve"> Without this level of disaggregation, </w:t>
      </w:r>
      <w:r>
        <w:rPr>
          <w:rFonts w:ascii="Times New Roman" w:hAnsi="Times New Roman" w:cs="Times New Roman"/>
          <w:sz w:val="28"/>
          <w:szCs w:val="28"/>
        </w:rPr>
        <w:t xml:space="preserve">only very approximate </w:t>
      </w:r>
      <w:r w:rsidR="00075481">
        <w:rPr>
          <w:rFonts w:ascii="Times New Roman" w:hAnsi="Times New Roman" w:cs="Times New Roman"/>
          <w:sz w:val="28"/>
          <w:szCs w:val="28"/>
        </w:rPr>
        <w:t xml:space="preserve">inter-occupation and cross-country comparisons </w:t>
      </w:r>
      <w:r>
        <w:rPr>
          <w:rFonts w:ascii="Times New Roman" w:hAnsi="Times New Roman" w:cs="Times New Roman"/>
          <w:sz w:val="28"/>
          <w:szCs w:val="28"/>
        </w:rPr>
        <w:t>can be made</w:t>
      </w:r>
      <w:r w:rsidR="00075481">
        <w:rPr>
          <w:rFonts w:ascii="Times New Roman" w:hAnsi="Times New Roman" w:cs="Times New Roman"/>
          <w:sz w:val="28"/>
          <w:szCs w:val="28"/>
        </w:rPr>
        <w:t xml:space="preserve">.  </w:t>
      </w:r>
      <w:r w:rsidR="005A781F">
        <w:rPr>
          <w:rFonts w:ascii="Times New Roman" w:hAnsi="Times New Roman" w:cs="Times New Roman"/>
          <w:sz w:val="28"/>
          <w:szCs w:val="28"/>
        </w:rPr>
        <w:t xml:space="preserve">  </w:t>
      </w:r>
    </w:p>
    <w:p w:rsidR="003D2202" w:rsidRDefault="00075481" w:rsidP="003D2202">
      <w:pPr>
        <w:jc w:val="both"/>
        <w:rPr>
          <w:rFonts w:ascii="Times New Roman" w:hAnsi="Times New Roman" w:cs="Times New Roman"/>
          <w:sz w:val="28"/>
          <w:szCs w:val="28"/>
        </w:rPr>
      </w:pPr>
      <w:r>
        <w:rPr>
          <w:rFonts w:ascii="Times New Roman" w:hAnsi="Times New Roman" w:cs="Times New Roman"/>
          <w:sz w:val="28"/>
          <w:szCs w:val="28"/>
        </w:rPr>
        <w:t xml:space="preserve">Secondly, regardless of the level of disaggregation, more analysis is needed of the overall </w:t>
      </w:r>
      <w:r w:rsidR="003D2202">
        <w:rPr>
          <w:rFonts w:ascii="Times New Roman" w:hAnsi="Times New Roman" w:cs="Times New Roman"/>
          <w:sz w:val="28"/>
          <w:szCs w:val="28"/>
        </w:rPr>
        <w:t xml:space="preserve">percentile </w:t>
      </w:r>
      <w:r>
        <w:rPr>
          <w:rFonts w:ascii="Times New Roman" w:hAnsi="Times New Roman" w:cs="Times New Roman"/>
          <w:sz w:val="28"/>
          <w:szCs w:val="28"/>
        </w:rPr>
        <w:t>distribution of earnings among teachers and other occupational groups</w:t>
      </w:r>
      <w:r w:rsidR="003D2202">
        <w:rPr>
          <w:rFonts w:ascii="Times New Roman" w:hAnsi="Times New Roman" w:cs="Times New Roman"/>
          <w:sz w:val="28"/>
          <w:szCs w:val="28"/>
        </w:rPr>
        <w:t xml:space="preserve"> which is a core feature of </w:t>
      </w:r>
      <w:r w:rsidR="00D0721F">
        <w:rPr>
          <w:rFonts w:ascii="Times New Roman" w:hAnsi="Times New Roman" w:cs="Times New Roman"/>
          <w:sz w:val="28"/>
          <w:szCs w:val="28"/>
        </w:rPr>
        <w:t xml:space="preserve">standard </w:t>
      </w:r>
      <w:r w:rsidR="003D2202">
        <w:rPr>
          <w:rFonts w:ascii="Times New Roman" w:hAnsi="Times New Roman" w:cs="Times New Roman"/>
          <w:sz w:val="28"/>
          <w:szCs w:val="28"/>
        </w:rPr>
        <w:t xml:space="preserve">pay and salary surveys. </w:t>
      </w:r>
      <w:r w:rsidR="00D0721F">
        <w:rPr>
          <w:rFonts w:ascii="Times New Roman" w:hAnsi="Times New Roman" w:cs="Times New Roman"/>
          <w:sz w:val="28"/>
          <w:szCs w:val="28"/>
        </w:rPr>
        <w:t>As noted earlier, t</w:t>
      </w:r>
      <w:r w:rsidR="003D2202">
        <w:rPr>
          <w:rFonts w:ascii="Times New Roman" w:hAnsi="Times New Roman" w:cs="Times New Roman"/>
          <w:sz w:val="28"/>
          <w:szCs w:val="28"/>
        </w:rPr>
        <w:t xml:space="preserve">his is especially important in order to establish what proportions of teachers </w:t>
      </w:r>
      <w:r w:rsidR="004A586A">
        <w:rPr>
          <w:rFonts w:ascii="Times New Roman" w:hAnsi="Times New Roman" w:cs="Times New Roman"/>
          <w:sz w:val="28"/>
          <w:szCs w:val="28"/>
        </w:rPr>
        <w:t>a</w:t>
      </w:r>
      <w:r w:rsidR="003D2202">
        <w:rPr>
          <w:rFonts w:ascii="Times New Roman" w:hAnsi="Times New Roman" w:cs="Times New Roman"/>
          <w:sz w:val="28"/>
          <w:szCs w:val="28"/>
        </w:rPr>
        <w:t>re paid below poverty datum lines and other living standard measures (minimum wage, ‘family living wage’).</w:t>
      </w:r>
    </w:p>
    <w:p w:rsidR="0080004A" w:rsidRDefault="003D2202" w:rsidP="004B2E9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Thirdly, </w:t>
      </w:r>
      <w:r w:rsidR="0080004A">
        <w:rPr>
          <w:rFonts w:ascii="Times New Roman" w:hAnsi="Times New Roman" w:cs="Times New Roman"/>
          <w:sz w:val="28"/>
          <w:szCs w:val="28"/>
        </w:rPr>
        <w:t xml:space="preserve">both the descriptive and multivariate </w:t>
      </w:r>
      <w:r>
        <w:rPr>
          <w:rFonts w:ascii="Times New Roman" w:hAnsi="Times New Roman" w:cs="Times New Roman"/>
          <w:sz w:val="28"/>
          <w:szCs w:val="28"/>
        </w:rPr>
        <w:t xml:space="preserve">analysis in the report is based </w:t>
      </w:r>
      <w:r w:rsidR="0080004A">
        <w:rPr>
          <w:rFonts w:ascii="Times New Roman" w:hAnsi="Times New Roman" w:cs="Times New Roman"/>
          <w:sz w:val="28"/>
          <w:szCs w:val="28"/>
        </w:rPr>
        <w:t xml:space="preserve">on the reported total </w:t>
      </w:r>
      <w:r w:rsidR="0080004A" w:rsidRPr="0010040C">
        <w:rPr>
          <w:rFonts w:ascii="Times New Roman" w:hAnsi="Times New Roman" w:cs="Times New Roman"/>
          <w:i/>
          <w:sz w:val="28"/>
          <w:szCs w:val="28"/>
        </w:rPr>
        <w:t>earnings</w:t>
      </w:r>
      <w:r w:rsidR="0080004A">
        <w:rPr>
          <w:rFonts w:ascii="Times New Roman" w:hAnsi="Times New Roman" w:cs="Times New Roman"/>
          <w:sz w:val="28"/>
          <w:szCs w:val="28"/>
        </w:rPr>
        <w:t xml:space="preserve"> of each respondent. This includes both wage income from their main </w:t>
      </w:r>
      <w:r w:rsidR="00C6336C">
        <w:rPr>
          <w:rFonts w:ascii="Times New Roman" w:hAnsi="Times New Roman" w:cs="Times New Roman"/>
          <w:sz w:val="28"/>
          <w:szCs w:val="28"/>
        </w:rPr>
        <w:t xml:space="preserve">job </w:t>
      </w:r>
      <w:r>
        <w:rPr>
          <w:rFonts w:ascii="Times New Roman" w:hAnsi="Times New Roman" w:cs="Times New Roman"/>
          <w:sz w:val="28"/>
          <w:szCs w:val="28"/>
        </w:rPr>
        <w:t xml:space="preserve">and </w:t>
      </w:r>
      <w:r w:rsidR="0080004A">
        <w:rPr>
          <w:rFonts w:ascii="Times New Roman" w:hAnsi="Times New Roman" w:cs="Times New Roman"/>
          <w:sz w:val="28"/>
          <w:szCs w:val="28"/>
        </w:rPr>
        <w:t xml:space="preserve">income from other </w:t>
      </w:r>
      <w:r w:rsidR="00C6336C">
        <w:rPr>
          <w:rFonts w:ascii="Times New Roman" w:hAnsi="Times New Roman" w:cs="Times New Roman"/>
          <w:sz w:val="28"/>
          <w:szCs w:val="28"/>
        </w:rPr>
        <w:t xml:space="preserve">activities (both part-time jobs </w:t>
      </w:r>
      <w:r w:rsidR="0080004A">
        <w:rPr>
          <w:rFonts w:ascii="Times New Roman" w:hAnsi="Times New Roman" w:cs="Times New Roman"/>
          <w:sz w:val="28"/>
          <w:szCs w:val="28"/>
        </w:rPr>
        <w:t xml:space="preserve">and </w:t>
      </w:r>
      <w:r w:rsidR="00C6336C">
        <w:rPr>
          <w:rFonts w:ascii="Times New Roman" w:hAnsi="Times New Roman" w:cs="Times New Roman"/>
          <w:sz w:val="28"/>
          <w:szCs w:val="28"/>
        </w:rPr>
        <w:t>self-employment). As the report indicates, this secondary income is particularly important for teachers which means that</w:t>
      </w:r>
      <w:r w:rsidR="00D0721F">
        <w:rPr>
          <w:rFonts w:ascii="Times New Roman" w:hAnsi="Times New Roman" w:cs="Times New Roman"/>
          <w:sz w:val="28"/>
          <w:szCs w:val="28"/>
        </w:rPr>
        <w:t>,</w:t>
      </w:r>
      <w:r w:rsidR="00C6336C">
        <w:rPr>
          <w:rFonts w:ascii="Times New Roman" w:hAnsi="Times New Roman" w:cs="Times New Roman"/>
          <w:sz w:val="28"/>
          <w:szCs w:val="28"/>
        </w:rPr>
        <w:t xml:space="preserve"> unless it is excluded from the analysis, the reported income differentials between teachers and other workers are likely to be strongly biased upwards. </w:t>
      </w:r>
      <w:r w:rsidR="0080004A">
        <w:rPr>
          <w:rFonts w:ascii="Times New Roman" w:hAnsi="Times New Roman" w:cs="Times New Roman"/>
          <w:sz w:val="28"/>
          <w:szCs w:val="28"/>
        </w:rPr>
        <w:t xml:space="preserve">   </w:t>
      </w:r>
      <w:r w:rsidR="00C016ED">
        <w:rPr>
          <w:rFonts w:ascii="Times New Roman" w:hAnsi="Times New Roman" w:cs="Times New Roman"/>
          <w:sz w:val="28"/>
          <w:szCs w:val="28"/>
        </w:rPr>
        <w:t xml:space="preserve"> </w:t>
      </w:r>
    </w:p>
    <w:p w:rsidR="0037227E" w:rsidRDefault="003D2202" w:rsidP="00B461C6">
      <w:pPr>
        <w:jc w:val="both"/>
        <w:rPr>
          <w:rFonts w:ascii="Times New Roman" w:hAnsi="Times New Roman" w:cs="Times New Roman"/>
          <w:sz w:val="28"/>
          <w:szCs w:val="28"/>
        </w:rPr>
      </w:pPr>
      <w:r>
        <w:rPr>
          <w:rFonts w:ascii="Times New Roman" w:hAnsi="Times New Roman" w:cs="Times New Roman"/>
          <w:sz w:val="28"/>
          <w:szCs w:val="28"/>
        </w:rPr>
        <w:t>Fourthly,</w:t>
      </w:r>
      <w:r w:rsidR="0037227E">
        <w:rPr>
          <w:rFonts w:ascii="Times New Roman" w:hAnsi="Times New Roman" w:cs="Times New Roman"/>
          <w:sz w:val="28"/>
          <w:szCs w:val="28"/>
        </w:rPr>
        <w:t xml:space="preserve"> just because teacher pay is higher than </w:t>
      </w:r>
      <w:r w:rsidR="0049797A">
        <w:rPr>
          <w:rFonts w:ascii="Times New Roman" w:hAnsi="Times New Roman" w:cs="Times New Roman"/>
          <w:sz w:val="28"/>
          <w:szCs w:val="28"/>
        </w:rPr>
        <w:t>‘</w:t>
      </w:r>
      <w:r w:rsidR="0037227E">
        <w:rPr>
          <w:rFonts w:ascii="Times New Roman" w:hAnsi="Times New Roman" w:cs="Times New Roman"/>
          <w:sz w:val="28"/>
          <w:szCs w:val="28"/>
        </w:rPr>
        <w:t>equivalent</w:t>
      </w:r>
      <w:r w:rsidR="0049797A">
        <w:rPr>
          <w:rFonts w:ascii="Times New Roman" w:hAnsi="Times New Roman" w:cs="Times New Roman"/>
          <w:sz w:val="28"/>
          <w:szCs w:val="28"/>
        </w:rPr>
        <w:t>’</w:t>
      </w:r>
      <w:r w:rsidR="0037227E">
        <w:rPr>
          <w:rFonts w:ascii="Times New Roman" w:hAnsi="Times New Roman" w:cs="Times New Roman"/>
          <w:sz w:val="28"/>
          <w:szCs w:val="28"/>
        </w:rPr>
        <w:t xml:space="preserve"> occupations </w:t>
      </w:r>
      <w:r w:rsidR="0049797A">
        <w:rPr>
          <w:rFonts w:ascii="Times New Roman" w:hAnsi="Times New Roman" w:cs="Times New Roman"/>
          <w:sz w:val="28"/>
          <w:szCs w:val="28"/>
        </w:rPr>
        <w:t>(</w:t>
      </w:r>
      <w:r w:rsidR="0037227E">
        <w:rPr>
          <w:rFonts w:ascii="Times New Roman" w:hAnsi="Times New Roman" w:cs="Times New Roman"/>
          <w:sz w:val="28"/>
          <w:szCs w:val="28"/>
        </w:rPr>
        <w:t>based</w:t>
      </w:r>
      <w:r w:rsidR="0049797A">
        <w:rPr>
          <w:rFonts w:ascii="Times New Roman" w:hAnsi="Times New Roman" w:cs="Times New Roman"/>
          <w:sz w:val="28"/>
          <w:szCs w:val="28"/>
        </w:rPr>
        <w:t xml:space="preserve"> mainly</w:t>
      </w:r>
      <w:r w:rsidR="0037227E">
        <w:rPr>
          <w:rFonts w:ascii="Times New Roman" w:hAnsi="Times New Roman" w:cs="Times New Roman"/>
          <w:sz w:val="28"/>
          <w:szCs w:val="28"/>
        </w:rPr>
        <w:t xml:space="preserve"> on educational level</w:t>
      </w:r>
      <w:r w:rsidR="0049797A">
        <w:rPr>
          <w:rFonts w:ascii="Times New Roman" w:hAnsi="Times New Roman" w:cs="Times New Roman"/>
          <w:sz w:val="28"/>
          <w:szCs w:val="28"/>
        </w:rPr>
        <w:t>)</w:t>
      </w:r>
      <w:r w:rsidR="0037227E">
        <w:rPr>
          <w:rFonts w:ascii="Times New Roman" w:hAnsi="Times New Roman" w:cs="Times New Roman"/>
          <w:sz w:val="28"/>
          <w:szCs w:val="28"/>
        </w:rPr>
        <w:t xml:space="preserve">, this does not necessarily signify that they benefit from any ‘wage premia’ as is suggested by the report.  </w:t>
      </w:r>
      <w:r w:rsidR="00995A1C">
        <w:rPr>
          <w:rFonts w:ascii="Times New Roman" w:hAnsi="Times New Roman" w:cs="Times New Roman"/>
          <w:sz w:val="28"/>
          <w:szCs w:val="28"/>
        </w:rPr>
        <w:t>This is because e</w:t>
      </w:r>
      <w:r w:rsidR="0037227E">
        <w:rPr>
          <w:rFonts w:ascii="Times New Roman" w:hAnsi="Times New Roman" w:cs="Times New Roman"/>
          <w:sz w:val="28"/>
          <w:szCs w:val="28"/>
        </w:rPr>
        <w:t>ach occupation has its own distinct labour market with very specific sets of demand and supply factors</w:t>
      </w:r>
      <w:r w:rsidR="00995A1C">
        <w:rPr>
          <w:rFonts w:ascii="Times New Roman" w:hAnsi="Times New Roman" w:cs="Times New Roman"/>
          <w:sz w:val="28"/>
          <w:szCs w:val="28"/>
        </w:rPr>
        <w:t>,</w:t>
      </w:r>
      <w:r w:rsidR="0037227E">
        <w:rPr>
          <w:rFonts w:ascii="Times New Roman" w:hAnsi="Times New Roman" w:cs="Times New Roman"/>
          <w:sz w:val="28"/>
          <w:szCs w:val="28"/>
        </w:rPr>
        <w:t xml:space="preserve"> the complex interplay of which determine pay levels at any one time.</w:t>
      </w:r>
      <w:r w:rsidR="00995A1C">
        <w:rPr>
          <w:rFonts w:ascii="Times New Roman" w:hAnsi="Times New Roman" w:cs="Times New Roman"/>
          <w:sz w:val="28"/>
          <w:szCs w:val="28"/>
        </w:rPr>
        <w:t xml:space="preserve"> Wage premia only arise when a well-defined occupational group, for example, secondary school teachers with professional (university level) qualifications</w:t>
      </w:r>
      <w:r w:rsidR="004A586A">
        <w:rPr>
          <w:rFonts w:ascii="Times New Roman" w:hAnsi="Times New Roman" w:cs="Times New Roman"/>
          <w:sz w:val="28"/>
          <w:szCs w:val="28"/>
        </w:rPr>
        <w:t>,</w:t>
      </w:r>
      <w:r w:rsidR="00995A1C">
        <w:rPr>
          <w:rFonts w:ascii="Times New Roman" w:hAnsi="Times New Roman" w:cs="Times New Roman"/>
          <w:sz w:val="28"/>
          <w:szCs w:val="28"/>
        </w:rPr>
        <w:t xml:space="preserve"> earn appreciably higher salaries in the public than the private sector (i.e. at government schools than private schools). Even when like-for-like comparisons of this kind are attempted, major theoretical and empirical challenges have to be </w:t>
      </w:r>
      <w:r w:rsidR="00804EA9">
        <w:rPr>
          <w:rFonts w:ascii="Times New Roman" w:hAnsi="Times New Roman" w:cs="Times New Roman"/>
          <w:sz w:val="28"/>
          <w:szCs w:val="28"/>
        </w:rPr>
        <w:t>resolved in order to be able to reach robust conclusions (see below).</w:t>
      </w:r>
      <w:r w:rsidR="00995A1C">
        <w:rPr>
          <w:rFonts w:ascii="Times New Roman" w:hAnsi="Times New Roman" w:cs="Times New Roman"/>
          <w:sz w:val="28"/>
          <w:szCs w:val="28"/>
        </w:rPr>
        <w:t xml:space="preserve">   </w:t>
      </w:r>
      <w:r w:rsidR="0037227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04EA9" w:rsidRDefault="00804EA9" w:rsidP="00804EA9">
      <w:pPr>
        <w:jc w:val="both"/>
        <w:rPr>
          <w:rFonts w:ascii="Times New Roman" w:hAnsi="Times New Roman" w:cs="Times New Roman"/>
          <w:sz w:val="28"/>
          <w:szCs w:val="28"/>
        </w:rPr>
      </w:pPr>
      <w:r>
        <w:rPr>
          <w:rFonts w:ascii="Times New Roman" w:hAnsi="Times New Roman" w:cs="Times New Roman"/>
          <w:sz w:val="28"/>
          <w:szCs w:val="28"/>
        </w:rPr>
        <w:t>Fifthly, t</w:t>
      </w:r>
      <w:r w:rsidR="00DF2CBF">
        <w:rPr>
          <w:rFonts w:ascii="Times New Roman" w:hAnsi="Times New Roman" w:cs="Times New Roman"/>
          <w:sz w:val="28"/>
          <w:szCs w:val="28"/>
        </w:rPr>
        <w:t xml:space="preserve">he analysis of </w:t>
      </w:r>
      <w:r>
        <w:rPr>
          <w:rFonts w:ascii="Times New Roman" w:hAnsi="Times New Roman" w:cs="Times New Roman"/>
          <w:sz w:val="28"/>
          <w:szCs w:val="28"/>
        </w:rPr>
        <w:t xml:space="preserve">both educational and occupation income </w:t>
      </w:r>
      <w:r w:rsidR="00DF2CBF">
        <w:rPr>
          <w:rFonts w:ascii="Times New Roman" w:hAnsi="Times New Roman" w:cs="Times New Roman"/>
          <w:sz w:val="28"/>
          <w:szCs w:val="28"/>
        </w:rPr>
        <w:t xml:space="preserve">differentials </w:t>
      </w:r>
      <w:r w:rsidR="003D2202">
        <w:rPr>
          <w:rFonts w:ascii="Times New Roman" w:hAnsi="Times New Roman" w:cs="Times New Roman"/>
          <w:sz w:val="28"/>
          <w:szCs w:val="28"/>
        </w:rPr>
        <w:t xml:space="preserve">between teachers and other workers </w:t>
      </w:r>
      <w:r w:rsidR="00DF2CBF">
        <w:rPr>
          <w:rFonts w:ascii="Times New Roman" w:hAnsi="Times New Roman" w:cs="Times New Roman"/>
          <w:sz w:val="28"/>
          <w:szCs w:val="28"/>
        </w:rPr>
        <w:t xml:space="preserve">is </w:t>
      </w:r>
      <w:r w:rsidR="00D0721F">
        <w:rPr>
          <w:rFonts w:ascii="Times New Roman" w:hAnsi="Times New Roman" w:cs="Times New Roman"/>
          <w:sz w:val="28"/>
          <w:szCs w:val="28"/>
        </w:rPr>
        <w:t>problematic</w:t>
      </w:r>
      <w:r w:rsidR="00DF2CBF">
        <w:rPr>
          <w:rFonts w:ascii="Times New Roman" w:hAnsi="Times New Roman" w:cs="Times New Roman"/>
          <w:sz w:val="28"/>
          <w:szCs w:val="28"/>
        </w:rPr>
        <w:t>.</w:t>
      </w:r>
      <w:r>
        <w:rPr>
          <w:rFonts w:ascii="Times New Roman" w:hAnsi="Times New Roman" w:cs="Times New Roman"/>
          <w:sz w:val="28"/>
          <w:szCs w:val="28"/>
        </w:rPr>
        <w:t xml:space="preserve"> The overriding issue is which groups should be included as ‘comparable wage workers’? With regard to education comparability, the </w:t>
      </w:r>
      <w:r w:rsidR="00D0721F">
        <w:rPr>
          <w:rFonts w:ascii="Times New Roman" w:hAnsi="Times New Roman" w:cs="Times New Roman"/>
          <w:sz w:val="28"/>
          <w:szCs w:val="28"/>
        </w:rPr>
        <w:t>paper</w:t>
      </w:r>
      <w:r>
        <w:rPr>
          <w:rFonts w:ascii="Times New Roman" w:hAnsi="Times New Roman" w:cs="Times New Roman"/>
          <w:sz w:val="28"/>
          <w:szCs w:val="28"/>
        </w:rPr>
        <w:t xml:space="preserve"> compares teachers with all ‘other wage workers’ who have some secondary education and who are in work. However, the education and qualification profile of teachers, even in those countries with </w:t>
      </w:r>
      <w:r w:rsidR="00D0721F">
        <w:rPr>
          <w:rFonts w:ascii="Times New Roman" w:hAnsi="Times New Roman" w:cs="Times New Roman"/>
          <w:sz w:val="28"/>
          <w:szCs w:val="28"/>
        </w:rPr>
        <w:t xml:space="preserve">high </w:t>
      </w:r>
      <w:r>
        <w:rPr>
          <w:rFonts w:ascii="Times New Roman" w:hAnsi="Times New Roman" w:cs="Times New Roman"/>
          <w:sz w:val="28"/>
          <w:szCs w:val="28"/>
        </w:rPr>
        <w:t xml:space="preserve">proportions of unqualified teachers, are much higher and thus hardly comparable. </w:t>
      </w:r>
      <w:r w:rsidR="006A08C4">
        <w:rPr>
          <w:rFonts w:ascii="Times New Roman" w:hAnsi="Times New Roman" w:cs="Times New Roman"/>
          <w:sz w:val="28"/>
          <w:szCs w:val="28"/>
        </w:rPr>
        <w:t xml:space="preserve">Typically, between </w:t>
      </w:r>
      <w:r w:rsidR="00D50C81">
        <w:rPr>
          <w:rFonts w:ascii="Times New Roman" w:hAnsi="Times New Roman" w:cs="Times New Roman"/>
          <w:sz w:val="28"/>
          <w:szCs w:val="28"/>
        </w:rPr>
        <w:t>50% and 8</w:t>
      </w:r>
      <w:r>
        <w:rPr>
          <w:rFonts w:ascii="Times New Roman" w:hAnsi="Times New Roman" w:cs="Times New Roman"/>
          <w:sz w:val="28"/>
          <w:szCs w:val="28"/>
        </w:rPr>
        <w:t xml:space="preserve">0% of teachers </w:t>
      </w:r>
      <w:r w:rsidR="006A08C4">
        <w:rPr>
          <w:rFonts w:ascii="Times New Roman" w:hAnsi="Times New Roman" w:cs="Times New Roman"/>
          <w:sz w:val="28"/>
          <w:szCs w:val="28"/>
        </w:rPr>
        <w:t xml:space="preserve">in SSA </w:t>
      </w:r>
      <w:r>
        <w:rPr>
          <w:rFonts w:ascii="Times New Roman" w:hAnsi="Times New Roman" w:cs="Times New Roman"/>
          <w:sz w:val="28"/>
          <w:szCs w:val="28"/>
        </w:rPr>
        <w:t xml:space="preserve">have post-secondary education compared with less than </w:t>
      </w:r>
      <w:r w:rsidR="00D0721F">
        <w:rPr>
          <w:rFonts w:ascii="Times New Roman" w:hAnsi="Times New Roman" w:cs="Times New Roman"/>
          <w:sz w:val="28"/>
          <w:szCs w:val="28"/>
        </w:rPr>
        <w:t>10-</w:t>
      </w:r>
      <w:r>
        <w:rPr>
          <w:rFonts w:ascii="Times New Roman" w:hAnsi="Times New Roman" w:cs="Times New Roman"/>
          <w:sz w:val="28"/>
          <w:szCs w:val="28"/>
        </w:rPr>
        <w:t xml:space="preserve">20% of the population </w:t>
      </w:r>
      <w:r w:rsidR="006A08C4">
        <w:rPr>
          <w:rFonts w:ascii="Times New Roman" w:hAnsi="Times New Roman" w:cs="Times New Roman"/>
          <w:sz w:val="28"/>
          <w:szCs w:val="28"/>
        </w:rPr>
        <w:t xml:space="preserve">as a whole who have </w:t>
      </w:r>
      <w:r>
        <w:rPr>
          <w:rFonts w:ascii="Times New Roman" w:hAnsi="Times New Roman" w:cs="Times New Roman"/>
          <w:sz w:val="28"/>
          <w:szCs w:val="28"/>
        </w:rPr>
        <w:t xml:space="preserve">some secondary education.  </w:t>
      </w:r>
    </w:p>
    <w:p w:rsidR="00847676" w:rsidRDefault="00D50C81" w:rsidP="00847676">
      <w:pPr>
        <w:jc w:val="both"/>
        <w:rPr>
          <w:rFonts w:ascii="Times New Roman" w:hAnsi="Times New Roman" w:cs="Times New Roman"/>
          <w:sz w:val="28"/>
          <w:szCs w:val="28"/>
        </w:rPr>
      </w:pPr>
      <w:r>
        <w:rPr>
          <w:rFonts w:ascii="Times New Roman" w:hAnsi="Times New Roman" w:cs="Times New Roman"/>
          <w:sz w:val="28"/>
          <w:szCs w:val="28"/>
        </w:rPr>
        <w:t xml:space="preserve">Similarly, the </w:t>
      </w:r>
      <w:r w:rsidR="0049797A">
        <w:rPr>
          <w:rFonts w:ascii="Times New Roman" w:hAnsi="Times New Roman" w:cs="Times New Roman"/>
          <w:sz w:val="28"/>
          <w:szCs w:val="28"/>
        </w:rPr>
        <w:t xml:space="preserve">report’s </w:t>
      </w:r>
      <w:r w:rsidR="006A08C4">
        <w:rPr>
          <w:rFonts w:ascii="Times New Roman" w:hAnsi="Times New Roman" w:cs="Times New Roman"/>
          <w:sz w:val="28"/>
          <w:szCs w:val="28"/>
        </w:rPr>
        <w:t xml:space="preserve">conclusion that teacher earnings are generally higher than other comparable occupation groups is </w:t>
      </w:r>
      <w:r>
        <w:rPr>
          <w:rFonts w:ascii="Times New Roman" w:hAnsi="Times New Roman" w:cs="Times New Roman"/>
          <w:sz w:val="28"/>
          <w:szCs w:val="28"/>
        </w:rPr>
        <w:t>not substantiated by the empirical data presented in the report itself</w:t>
      </w:r>
      <w:r w:rsidR="00A6534B">
        <w:rPr>
          <w:rFonts w:ascii="Times New Roman" w:hAnsi="Times New Roman" w:cs="Times New Roman"/>
          <w:sz w:val="28"/>
          <w:szCs w:val="28"/>
        </w:rPr>
        <w:t xml:space="preserve">. </w:t>
      </w:r>
      <w:r w:rsidR="00CA2B95">
        <w:rPr>
          <w:rFonts w:ascii="Times New Roman" w:hAnsi="Times New Roman" w:cs="Times New Roman"/>
          <w:sz w:val="28"/>
          <w:szCs w:val="28"/>
        </w:rPr>
        <w:t>The main numerically predominant</w:t>
      </w:r>
      <w:r w:rsidR="00CB7E43">
        <w:rPr>
          <w:rFonts w:ascii="Times New Roman" w:hAnsi="Times New Roman" w:cs="Times New Roman"/>
          <w:sz w:val="28"/>
          <w:szCs w:val="28"/>
        </w:rPr>
        <w:t>,</w:t>
      </w:r>
      <w:r w:rsidR="00CA2B95">
        <w:rPr>
          <w:rFonts w:ascii="Times New Roman" w:hAnsi="Times New Roman" w:cs="Times New Roman"/>
          <w:sz w:val="28"/>
          <w:szCs w:val="28"/>
        </w:rPr>
        <w:t xml:space="preserve"> occupational groups </w:t>
      </w:r>
      <w:r w:rsidR="00CB7E43">
        <w:rPr>
          <w:rFonts w:ascii="Times New Roman" w:hAnsi="Times New Roman" w:cs="Times New Roman"/>
          <w:sz w:val="28"/>
          <w:szCs w:val="28"/>
        </w:rPr>
        <w:t>with whom teacher incomes are usually compared are managers and professionals and</w:t>
      </w:r>
      <w:r w:rsidR="00A6534B">
        <w:rPr>
          <w:rFonts w:ascii="Times New Roman" w:hAnsi="Times New Roman" w:cs="Times New Roman"/>
          <w:sz w:val="28"/>
          <w:szCs w:val="28"/>
        </w:rPr>
        <w:t>,</w:t>
      </w:r>
      <w:r w:rsidR="00CB7E43">
        <w:rPr>
          <w:rFonts w:ascii="Times New Roman" w:hAnsi="Times New Roman" w:cs="Times New Roman"/>
          <w:sz w:val="28"/>
          <w:szCs w:val="28"/>
        </w:rPr>
        <w:t xml:space="preserve"> to a lesser extent</w:t>
      </w:r>
      <w:r w:rsidR="00A6534B">
        <w:rPr>
          <w:rFonts w:ascii="Times New Roman" w:hAnsi="Times New Roman" w:cs="Times New Roman"/>
          <w:sz w:val="28"/>
          <w:szCs w:val="28"/>
        </w:rPr>
        <w:t>,</w:t>
      </w:r>
      <w:r w:rsidR="00CB7E43">
        <w:rPr>
          <w:rFonts w:ascii="Times New Roman" w:hAnsi="Times New Roman" w:cs="Times New Roman"/>
          <w:sz w:val="28"/>
          <w:szCs w:val="28"/>
        </w:rPr>
        <w:t xml:space="preserve"> </w:t>
      </w:r>
      <w:r w:rsidR="00CA2B95">
        <w:rPr>
          <w:rFonts w:ascii="Times New Roman" w:hAnsi="Times New Roman" w:cs="Times New Roman"/>
          <w:sz w:val="28"/>
          <w:szCs w:val="28"/>
        </w:rPr>
        <w:t>technicians and clerks.</w:t>
      </w:r>
      <w:r w:rsidR="00847676">
        <w:rPr>
          <w:rFonts w:ascii="Times New Roman" w:hAnsi="Times New Roman" w:cs="Times New Roman"/>
          <w:sz w:val="28"/>
          <w:szCs w:val="28"/>
        </w:rPr>
        <w:t xml:space="preserve"> In only one country (Cote d’Ivoire) are the median teacher incomes higher for both managers and professionals and the median income differential is well over 50% in most countries (see table 1).</w:t>
      </w:r>
      <w:r>
        <w:rPr>
          <w:rFonts w:ascii="Times New Roman" w:hAnsi="Times New Roman" w:cs="Times New Roman"/>
          <w:sz w:val="28"/>
          <w:szCs w:val="28"/>
        </w:rPr>
        <w:t xml:space="preserve"> </w:t>
      </w:r>
      <w:r w:rsidR="00847676">
        <w:rPr>
          <w:rFonts w:ascii="Times New Roman" w:hAnsi="Times New Roman" w:cs="Times New Roman"/>
          <w:sz w:val="28"/>
          <w:szCs w:val="28"/>
        </w:rPr>
        <w:t xml:space="preserve">For technicians, median teacher salaries are only appreciably higher (more than 10%) in four countries (Burkina Faso, Cote </w:t>
      </w:r>
      <w:r w:rsidR="00847676">
        <w:rPr>
          <w:rFonts w:ascii="Times New Roman" w:hAnsi="Times New Roman" w:cs="Times New Roman"/>
          <w:sz w:val="28"/>
          <w:szCs w:val="28"/>
        </w:rPr>
        <w:lastRenderedPageBreak/>
        <w:t>d’Ivoire, Namibia and Zambia) and, for clerks, seven countries. The number of surveyed post-secondary educated ‘craft workers’ is likely to be tiny but, even for this ‘low-middle’ level occupational group, teachers are paid less in seven out of 15 countries. In DRC, Nigeria, Tanzania and Uganda, which between them account for 75% of the combined population of these 15 countries, nearly all of the nine occupational groups delineated in the report have higher pay than teachers.</w:t>
      </w:r>
    </w:p>
    <w:p w:rsidR="00847676" w:rsidRDefault="00847676" w:rsidP="00847676">
      <w:pPr>
        <w:jc w:val="both"/>
        <w:rPr>
          <w:rFonts w:ascii="Times New Roman" w:hAnsi="Times New Roman" w:cs="Times New Roman"/>
          <w:sz w:val="28"/>
          <w:szCs w:val="28"/>
        </w:rPr>
      </w:pPr>
      <w:r>
        <w:rPr>
          <w:rFonts w:ascii="Times New Roman" w:hAnsi="Times New Roman" w:cs="Times New Roman"/>
          <w:sz w:val="28"/>
          <w:szCs w:val="28"/>
        </w:rPr>
        <w:t xml:space="preserve">Sixthly, the use of earnings per hour as the basis for assessing the size of income differentials between salaried employees is </w:t>
      </w:r>
      <w:r w:rsidR="00D50C81">
        <w:rPr>
          <w:rFonts w:ascii="Times New Roman" w:hAnsi="Times New Roman" w:cs="Times New Roman"/>
          <w:sz w:val="28"/>
          <w:szCs w:val="28"/>
        </w:rPr>
        <w:t>highly questionable</w:t>
      </w:r>
      <w:r>
        <w:rPr>
          <w:rFonts w:ascii="Times New Roman" w:hAnsi="Times New Roman" w:cs="Times New Roman"/>
          <w:sz w:val="28"/>
          <w:szCs w:val="28"/>
        </w:rPr>
        <w:t xml:space="preserve">. The self-reported ‘hours worked weekly’ for teachers are, as expected, the normal working hours of civil service workers in SSA and elsewhere. By contrast, the hours worked weekly for ‘other workers’ are between 25-40% higher. On the basis of this information, the average earnings per hour for teachers is higher than ‘other workers’ in all but two of the 15 countries. However, the only legitimate comparison is with the total contractual incomes of occupations which, in the formal sector and certainly in the public sector, are based on a 35-40 hour week. The </w:t>
      </w:r>
      <w:r w:rsidR="00D50C81">
        <w:rPr>
          <w:rFonts w:ascii="Times New Roman" w:hAnsi="Times New Roman" w:cs="Times New Roman"/>
          <w:sz w:val="28"/>
          <w:szCs w:val="28"/>
        </w:rPr>
        <w:t xml:space="preserve">paper </w:t>
      </w:r>
      <w:r>
        <w:rPr>
          <w:rFonts w:ascii="Times New Roman" w:hAnsi="Times New Roman" w:cs="Times New Roman"/>
          <w:sz w:val="28"/>
          <w:szCs w:val="28"/>
        </w:rPr>
        <w:t>provides no explanation why other occupational respondents report working so many more hours than teachers. One possible reason is they include relatively large numbers of secondary school educated wage workers in both the formal and informal sectors who are obliged to work longer hours in order to earn survival incomes.</w:t>
      </w:r>
    </w:p>
    <w:tbl>
      <w:tblPr>
        <w:tblW w:w="8306" w:type="dxa"/>
        <w:tblLook w:val="04A0" w:firstRow="1" w:lastRow="0" w:firstColumn="1" w:lastColumn="0" w:noHBand="0" w:noVBand="1"/>
      </w:tblPr>
      <w:tblGrid>
        <w:gridCol w:w="1898"/>
        <w:gridCol w:w="1421"/>
        <w:gridCol w:w="1917"/>
        <w:gridCol w:w="1705"/>
        <w:gridCol w:w="921"/>
        <w:gridCol w:w="222"/>
        <w:gridCol w:w="222"/>
      </w:tblGrid>
      <w:tr w:rsidR="001641B5" w:rsidRPr="00797A20" w:rsidTr="00847676">
        <w:trPr>
          <w:trHeight w:val="264"/>
        </w:trPr>
        <w:tc>
          <w:tcPr>
            <w:tcW w:w="8306" w:type="dxa"/>
            <w:gridSpan w:val="7"/>
            <w:tcBorders>
              <w:top w:val="nil"/>
              <w:left w:val="nil"/>
              <w:bottom w:val="nil"/>
              <w:right w:val="nil"/>
            </w:tcBorders>
            <w:shd w:val="clear" w:color="auto" w:fill="auto"/>
            <w:noWrap/>
            <w:vAlign w:val="bottom"/>
            <w:hideMark/>
          </w:tcPr>
          <w:p w:rsidR="001641B5" w:rsidRPr="00797A20" w:rsidRDefault="001641B5" w:rsidP="001641B5">
            <w:pPr>
              <w:spacing w:after="0" w:line="240" w:lineRule="auto"/>
              <w:rPr>
                <w:rFonts w:ascii="Times New Roman" w:eastAsia="Times New Roman" w:hAnsi="Times New Roman" w:cs="Times New Roman"/>
                <w:sz w:val="20"/>
                <w:szCs w:val="20"/>
                <w:lang w:eastAsia="en-GB"/>
              </w:rPr>
            </w:pPr>
          </w:p>
        </w:tc>
      </w:tr>
      <w:tr w:rsidR="00847676" w:rsidRPr="00797A20" w:rsidTr="00847676">
        <w:trPr>
          <w:trHeight w:val="264"/>
        </w:trPr>
        <w:tc>
          <w:tcPr>
            <w:tcW w:w="8306" w:type="dxa"/>
            <w:gridSpan w:val="7"/>
            <w:tcBorders>
              <w:top w:val="nil"/>
              <w:left w:val="nil"/>
              <w:bottom w:val="nil"/>
              <w:right w:val="nil"/>
            </w:tcBorders>
            <w:shd w:val="clear" w:color="auto" w:fill="auto"/>
            <w:noWrap/>
            <w:vAlign w:val="bottom"/>
          </w:tcPr>
          <w:p w:rsidR="00847676" w:rsidRPr="00797A20" w:rsidRDefault="00847676" w:rsidP="001641B5">
            <w:pPr>
              <w:spacing w:after="0" w:line="240" w:lineRule="auto"/>
              <w:rPr>
                <w:rFonts w:ascii="Times New Roman" w:eastAsia="Times New Roman" w:hAnsi="Times New Roman" w:cs="Times New Roman"/>
                <w:sz w:val="20"/>
                <w:szCs w:val="20"/>
                <w:lang w:eastAsia="en-GB"/>
              </w:rPr>
            </w:pPr>
          </w:p>
        </w:tc>
      </w:tr>
      <w:tr w:rsidR="001641B5" w:rsidRPr="00797A20" w:rsidTr="00847676">
        <w:trPr>
          <w:trHeight w:val="276"/>
        </w:trPr>
        <w:tc>
          <w:tcPr>
            <w:tcW w:w="8084" w:type="dxa"/>
            <w:gridSpan w:val="6"/>
            <w:tcBorders>
              <w:top w:val="nil"/>
              <w:left w:val="nil"/>
              <w:bottom w:val="nil"/>
              <w:right w:val="nil"/>
            </w:tcBorders>
            <w:shd w:val="clear" w:color="auto" w:fill="auto"/>
            <w:noWrap/>
            <w:vAlign w:val="bottom"/>
            <w:hideMark/>
          </w:tcPr>
          <w:p w:rsidR="001641B5" w:rsidRPr="00797A20" w:rsidRDefault="001E4BAF" w:rsidP="001641B5">
            <w:pPr>
              <w:spacing w:after="0" w:line="240" w:lineRule="auto"/>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 xml:space="preserve">Table 1: Income differentials between the median monthly earnings of teachers and </w:t>
            </w:r>
            <w:r w:rsidR="001641B5" w:rsidRPr="00797A20">
              <w:rPr>
                <w:rFonts w:ascii="Times New Roman" w:eastAsia="Times New Roman" w:hAnsi="Times New Roman" w:cs="Times New Roman"/>
                <w:sz w:val="20"/>
                <w:szCs w:val="20"/>
                <w:lang w:eastAsia="en-GB"/>
              </w:rPr>
              <w:t>managers, professionals, technicians and clerks in selected countries in SSA</w:t>
            </w:r>
          </w:p>
        </w:tc>
        <w:tc>
          <w:tcPr>
            <w:tcW w:w="222" w:type="dxa"/>
            <w:tcBorders>
              <w:top w:val="nil"/>
              <w:left w:val="nil"/>
              <w:bottom w:val="nil"/>
              <w:right w:val="nil"/>
            </w:tcBorders>
            <w:shd w:val="clear" w:color="auto" w:fill="auto"/>
            <w:noWrap/>
            <w:vAlign w:val="bottom"/>
            <w:hideMark/>
          </w:tcPr>
          <w:p w:rsidR="001641B5" w:rsidRPr="00797A20" w:rsidRDefault="001641B5" w:rsidP="001641B5">
            <w:pPr>
              <w:spacing w:after="0" w:line="240" w:lineRule="auto"/>
              <w:rPr>
                <w:rFonts w:ascii="Times New Roman" w:eastAsia="Times New Roman" w:hAnsi="Times New Roman" w:cs="Times New Roman"/>
                <w:sz w:val="20"/>
                <w:szCs w:val="20"/>
                <w:lang w:eastAsia="en-GB"/>
              </w:rPr>
            </w:pPr>
          </w:p>
        </w:tc>
      </w:tr>
      <w:tr w:rsidR="001641B5" w:rsidRPr="00797A20" w:rsidTr="00847676">
        <w:trPr>
          <w:trHeight w:val="264"/>
        </w:trPr>
        <w:tc>
          <w:tcPr>
            <w:tcW w:w="1898" w:type="dxa"/>
            <w:tcBorders>
              <w:top w:val="single" w:sz="8" w:space="0" w:color="auto"/>
              <w:left w:val="single" w:sz="8" w:space="0" w:color="auto"/>
              <w:bottom w:val="single" w:sz="4" w:space="0" w:color="auto"/>
              <w:right w:val="nil"/>
            </w:tcBorders>
            <w:shd w:val="clear" w:color="000000" w:fill="E7E6E6"/>
            <w:noWrap/>
            <w:vAlign w:val="bottom"/>
            <w:hideMark/>
          </w:tcPr>
          <w:p w:rsidR="001641B5" w:rsidRPr="00797A20" w:rsidRDefault="001641B5" w:rsidP="001641B5">
            <w:pPr>
              <w:spacing w:after="0" w:line="240" w:lineRule="auto"/>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Country</w:t>
            </w:r>
          </w:p>
        </w:tc>
        <w:tc>
          <w:tcPr>
            <w:tcW w:w="1421" w:type="dxa"/>
            <w:tcBorders>
              <w:top w:val="single" w:sz="8" w:space="0" w:color="auto"/>
              <w:left w:val="nil"/>
              <w:bottom w:val="single" w:sz="4" w:space="0" w:color="auto"/>
              <w:right w:val="nil"/>
            </w:tcBorders>
            <w:shd w:val="clear" w:color="000000" w:fill="E7E6E6"/>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Managers</w:t>
            </w:r>
          </w:p>
        </w:tc>
        <w:tc>
          <w:tcPr>
            <w:tcW w:w="1917" w:type="dxa"/>
            <w:tcBorders>
              <w:top w:val="single" w:sz="8" w:space="0" w:color="auto"/>
              <w:left w:val="nil"/>
              <w:bottom w:val="single" w:sz="4" w:space="0" w:color="auto"/>
              <w:right w:val="nil"/>
            </w:tcBorders>
            <w:shd w:val="clear" w:color="000000" w:fill="E7E6E6"/>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Professionals</w:t>
            </w:r>
          </w:p>
        </w:tc>
        <w:tc>
          <w:tcPr>
            <w:tcW w:w="1705" w:type="dxa"/>
            <w:tcBorders>
              <w:top w:val="single" w:sz="8" w:space="0" w:color="auto"/>
              <w:left w:val="nil"/>
              <w:bottom w:val="single" w:sz="4" w:space="0" w:color="auto"/>
              <w:right w:val="nil"/>
            </w:tcBorders>
            <w:shd w:val="clear" w:color="000000" w:fill="E7E6E6"/>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 xml:space="preserve">Technicians </w:t>
            </w:r>
          </w:p>
        </w:tc>
        <w:tc>
          <w:tcPr>
            <w:tcW w:w="921" w:type="dxa"/>
            <w:tcBorders>
              <w:top w:val="single" w:sz="8" w:space="0" w:color="auto"/>
              <w:left w:val="nil"/>
              <w:bottom w:val="single" w:sz="4" w:space="0" w:color="auto"/>
              <w:right w:val="single" w:sz="8" w:space="0" w:color="auto"/>
            </w:tcBorders>
            <w:shd w:val="clear" w:color="000000" w:fill="E7E6E6"/>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Clerks</w:t>
            </w:r>
          </w:p>
        </w:tc>
        <w:tc>
          <w:tcPr>
            <w:tcW w:w="222" w:type="dxa"/>
            <w:tcBorders>
              <w:top w:val="nil"/>
              <w:left w:val="nil"/>
              <w:bottom w:val="nil"/>
              <w:right w:val="nil"/>
            </w:tcBorders>
            <w:shd w:val="clear" w:color="auto" w:fill="auto"/>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rsidR="001641B5" w:rsidRPr="00797A20" w:rsidRDefault="001641B5" w:rsidP="001641B5">
            <w:pPr>
              <w:spacing w:after="0" w:line="240" w:lineRule="auto"/>
              <w:rPr>
                <w:rFonts w:ascii="Times New Roman" w:eastAsia="Times New Roman" w:hAnsi="Times New Roman" w:cs="Times New Roman"/>
                <w:sz w:val="20"/>
                <w:szCs w:val="20"/>
                <w:lang w:eastAsia="en-GB"/>
              </w:rPr>
            </w:pPr>
          </w:p>
        </w:tc>
      </w:tr>
      <w:tr w:rsidR="001641B5" w:rsidRPr="00797A20" w:rsidTr="00847676">
        <w:trPr>
          <w:trHeight w:val="264"/>
        </w:trPr>
        <w:tc>
          <w:tcPr>
            <w:tcW w:w="1898" w:type="dxa"/>
            <w:tcBorders>
              <w:top w:val="nil"/>
              <w:left w:val="single" w:sz="8" w:space="0" w:color="auto"/>
              <w:bottom w:val="nil"/>
              <w:right w:val="nil"/>
            </w:tcBorders>
            <w:shd w:val="clear" w:color="000000" w:fill="DDEBF7"/>
            <w:noWrap/>
            <w:vAlign w:val="bottom"/>
            <w:hideMark/>
          </w:tcPr>
          <w:p w:rsidR="001641B5" w:rsidRPr="00797A20" w:rsidRDefault="001641B5" w:rsidP="001641B5">
            <w:pPr>
              <w:spacing w:after="0" w:line="240" w:lineRule="auto"/>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Burkina Faso</w:t>
            </w:r>
          </w:p>
        </w:tc>
        <w:tc>
          <w:tcPr>
            <w:tcW w:w="1421" w:type="dxa"/>
            <w:tcBorders>
              <w:top w:val="nil"/>
              <w:left w:val="nil"/>
              <w:bottom w:val="nil"/>
              <w:right w:val="nil"/>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0</w:t>
            </w:r>
          </w:p>
        </w:tc>
        <w:tc>
          <w:tcPr>
            <w:tcW w:w="1917" w:type="dxa"/>
            <w:tcBorders>
              <w:top w:val="nil"/>
              <w:left w:val="nil"/>
              <w:bottom w:val="nil"/>
              <w:right w:val="nil"/>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-29</w:t>
            </w:r>
          </w:p>
        </w:tc>
        <w:tc>
          <w:tcPr>
            <w:tcW w:w="1705" w:type="dxa"/>
            <w:tcBorders>
              <w:top w:val="nil"/>
              <w:left w:val="nil"/>
              <w:bottom w:val="nil"/>
              <w:right w:val="nil"/>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23</w:t>
            </w:r>
          </w:p>
        </w:tc>
        <w:tc>
          <w:tcPr>
            <w:tcW w:w="921" w:type="dxa"/>
            <w:tcBorders>
              <w:top w:val="nil"/>
              <w:left w:val="nil"/>
              <w:bottom w:val="nil"/>
              <w:right w:val="single" w:sz="8" w:space="0" w:color="auto"/>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-40</w:t>
            </w:r>
          </w:p>
        </w:tc>
        <w:tc>
          <w:tcPr>
            <w:tcW w:w="222" w:type="dxa"/>
            <w:tcBorders>
              <w:top w:val="nil"/>
              <w:left w:val="nil"/>
              <w:bottom w:val="nil"/>
              <w:right w:val="nil"/>
            </w:tcBorders>
            <w:shd w:val="clear" w:color="auto" w:fill="auto"/>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rsidR="001641B5" w:rsidRPr="00797A20" w:rsidRDefault="001641B5" w:rsidP="001641B5">
            <w:pPr>
              <w:spacing w:after="0" w:line="240" w:lineRule="auto"/>
              <w:rPr>
                <w:rFonts w:ascii="Times New Roman" w:eastAsia="Times New Roman" w:hAnsi="Times New Roman" w:cs="Times New Roman"/>
                <w:sz w:val="20"/>
                <w:szCs w:val="20"/>
                <w:lang w:eastAsia="en-GB"/>
              </w:rPr>
            </w:pPr>
          </w:p>
        </w:tc>
      </w:tr>
      <w:tr w:rsidR="001641B5" w:rsidRPr="00797A20" w:rsidTr="00847676">
        <w:trPr>
          <w:trHeight w:val="264"/>
        </w:trPr>
        <w:tc>
          <w:tcPr>
            <w:tcW w:w="1898" w:type="dxa"/>
            <w:tcBorders>
              <w:top w:val="nil"/>
              <w:left w:val="single" w:sz="8" w:space="0" w:color="auto"/>
              <w:bottom w:val="nil"/>
              <w:right w:val="nil"/>
            </w:tcBorders>
            <w:shd w:val="clear" w:color="000000" w:fill="DDEBF7"/>
            <w:noWrap/>
            <w:vAlign w:val="bottom"/>
            <w:hideMark/>
          </w:tcPr>
          <w:p w:rsidR="001641B5" w:rsidRPr="00797A20" w:rsidRDefault="001641B5" w:rsidP="001641B5">
            <w:pPr>
              <w:spacing w:after="0" w:line="240" w:lineRule="auto"/>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Cote d'Ivoire</w:t>
            </w:r>
          </w:p>
        </w:tc>
        <w:tc>
          <w:tcPr>
            <w:tcW w:w="1421" w:type="dxa"/>
            <w:tcBorders>
              <w:top w:val="nil"/>
              <w:left w:val="nil"/>
              <w:bottom w:val="nil"/>
              <w:right w:val="nil"/>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49</w:t>
            </w:r>
          </w:p>
        </w:tc>
        <w:tc>
          <w:tcPr>
            <w:tcW w:w="1917" w:type="dxa"/>
            <w:tcBorders>
              <w:top w:val="nil"/>
              <w:left w:val="nil"/>
              <w:bottom w:val="nil"/>
              <w:right w:val="nil"/>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28</w:t>
            </w:r>
          </w:p>
        </w:tc>
        <w:tc>
          <w:tcPr>
            <w:tcW w:w="1705" w:type="dxa"/>
            <w:tcBorders>
              <w:top w:val="nil"/>
              <w:left w:val="nil"/>
              <w:bottom w:val="nil"/>
              <w:right w:val="nil"/>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13</w:t>
            </w:r>
          </w:p>
        </w:tc>
        <w:tc>
          <w:tcPr>
            <w:tcW w:w="921" w:type="dxa"/>
            <w:tcBorders>
              <w:top w:val="nil"/>
              <w:left w:val="nil"/>
              <w:bottom w:val="nil"/>
              <w:right w:val="single" w:sz="8" w:space="0" w:color="auto"/>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14</w:t>
            </w:r>
          </w:p>
        </w:tc>
        <w:tc>
          <w:tcPr>
            <w:tcW w:w="222" w:type="dxa"/>
            <w:tcBorders>
              <w:top w:val="nil"/>
              <w:left w:val="nil"/>
              <w:bottom w:val="nil"/>
              <w:right w:val="nil"/>
            </w:tcBorders>
            <w:shd w:val="clear" w:color="auto" w:fill="auto"/>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rsidR="001641B5" w:rsidRPr="00797A20" w:rsidRDefault="001641B5" w:rsidP="001641B5">
            <w:pPr>
              <w:spacing w:after="0" w:line="240" w:lineRule="auto"/>
              <w:rPr>
                <w:rFonts w:ascii="Times New Roman" w:eastAsia="Times New Roman" w:hAnsi="Times New Roman" w:cs="Times New Roman"/>
                <w:sz w:val="20"/>
                <w:szCs w:val="20"/>
                <w:lang w:eastAsia="en-GB"/>
              </w:rPr>
            </w:pPr>
          </w:p>
        </w:tc>
      </w:tr>
      <w:tr w:rsidR="001641B5" w:rsidRPr="00797A20" w:rsidTr="00847676">
        <w:trPr>
          <w:trHeight w:val="264"/>
        </w:trPr>
        <w:tc>
          <w:tcPr>
            <w:tcW w:w="1898" w:type="dxa"/>
            <w:tcBorders>
              <w:top w:val="nil"/>
              <w:left w:val="single" w:sz="8" w:space="0" w:color="auto"/>
              <w:bottom w:val="nil"/>
              <w:right w:val="nil"/>
            </w:tcBorders>
            <w:shd w:val="clear" w:color="000000" w:fill="DDEBF7"/>
            <w:noWrap/>
            <w:vAlign w:val="bottom"/>
            <w:hideMark/>
          </w:tcPr>
          <w:p w:rsidR="001641B5" w:rsidRPr="00797A20" w:rsidRDefault="001641B5" w:rsidP="001641B5">
            <w:pPr>
              <w:spacing w:after="0" w:line="240" w:lineRule="auto"/>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DR Congo</w:t>
            </w:r>
          </w:p>
        </w:tc>
        <w:tc>
          <w:tcPr>
            <w:tcW w:w="1421" w:type="dxa"/>
            <w:tcBorders>
              <w:top w:val="nil"/>
              <w:left w:val="nil"/>
              <w:bottom w:val="nil"/>
              <w:right w:val="nil"/>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-4</w:t>
            </w:r>
          </w:p>
        </w:tc>
        <w:tc>
          <w:tcPr>
            <w:tcW w:w="1917" w:type="dxa"/>
            <w:tcBorders>
              <w:top w:val="nil"/>
              <w:left w:val="nil"/>
              <w:bottom w:val="nil"/>
              <w:right w:val="nil"/>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5</w:t>
            </w:r>
          </w:p>
        </w:tc>
        <w:tc>
          <w:tcPr>
            <w:tcW w:w="1705" w:type="dxa"/>
            <w:tcBorders>
              <w:top w:val="nil"/>
              <w:left w:val="nil"/>
              <w:bottom w:val="nil"/>
              <w:right w:val="nil"/>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5</w:t>
            </w:r>
          </w:p>
        </w:tc>
        <w:tc>
          <w:tcPr>
            <w:tcW w:w="921" w:type="dxa"/>
            <w:tcBorders>
              <w:top w:val="nil"/>
              <w:left w:val="nil"/>
              <w:bottom w:val="nil"/>
              <w:right w:val="single" w:sz="8" w:space="0" w:color="auto"/>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-6</w:t>
            </w:r>
          </w:p>
        </w:tc>
        <w:tc>
          <w:tcPr>
            <w:tcW w:w="222" w:type="dxa"/>
            <w:tcBorders>
              <w:top w:val="nil"/>
              <w:left w:val="nil"/>
              <w:bottom w:val="nil"/>
              <w:right w:val="nil"/>
            </w:tcBorders>
            <w:shd w:val="clear" w:color="auto" w:fill="auto"/>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rsidR="001641B5" w:rsidRPr="00797A20" w:rsidRDefault="001641B5" w:rsidP="001641B5">
            <w:pPr>
              <w:spacing w:after="0" w:line="240" w:lineRule="auto"/>
              <w:rPr>
                <w:rFonts w:ascii="Times New Roman" w:eastAsia="Times New Roman" w:hAnsi="Times New Roman" w:cs="Times New Roman"/>
                <w:sz w:val="20"/>
                <w:szCs w:val="20"/>
                <w:lang w:eastAsia="en-GB"/>
              </w:rPr>
            </w:pPr>
          </w:p>
        </w:tc>
      </w:tr>
      <w:tr w:rsidR="001641B5" w:rsidRPr="00797A20" w:rsidTr="00847676">
        <w:trPr>
          <w:trHeight w:val="264"/>
        </w:trPr>
        <w:tc>
          <w:tcPr>
            <w:tcW w:w="1898" w:type="dxa"/>
            <w:tcBorders>
              <w:top w:val="nil"/>
              <w:left w:val="single" w:sz="8" w:space="0" w:color="auto"/>
              <w:bottom w:val="nil"/>
              <w:right w:val="nil"/>
            </w:tcBorders>
            <w:shd w:val="clear" w:color="000000" w:fill="DDEBF7"/>
            <w:noWrap/>
            <w:vAlign w:val="bottom"/>
            <w:hideMark/>
          </w:tcPr>
          <w:p w:rsidR="001641B5" w:rsidRPr="00797A20" w:rsidRDefault="001641B5" w:rsidP="001641B5">
            <w:pPr>
              <w:spacing w:after="0" w:line="240" w:lineRule="auto"/>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The Gambia</w:t>
            </w:r>
          </w:p>
        </w:tc>
        <w:tc>
          <w:tcPr>
            <w:tcW w:w="1421" w:type="dxa"/>
            <w:tcBorders>
              <w:top w:val="nil"/>
              <w:left w:val="nil"/>
              <w:bottom w:val="nil"/>
              <w:right w:val="nil"/>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-57</w:t>
            </w:r>
          </w:p>
        </w:tc>
        <w:tc>
          <w:tcPr>
            <w:tcW w:w="1917" w:type="dxa"/>
            <w:tcBorders>
              <w:top w:val="nil"/>
              <w:left w:val="nil"/>
              <w:bottom w:val="nil"/>
              <w:right w:val="nil"/>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-4</w:t>
            </w:r>
          </w:p>
        </w:tc>
        <w:tc>
          <w:tcPr>
            <w:tcW w:w="1705" w:type="dxa"/>
            <w:tcBorders>
              <w:top w:val="nil"/>
              <w:left w:val="nil"/>
              <w:bottom w:val="nil"/>
              <w:right w:val="nil"/>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-7</w:t>
            </w:r>
          </w:p>
        </w:tc>
        <w:tc>
          <w:tcPr>
            <w:tcW w:w="921" w:type="dxa"/>
            <w:tcBorders>
              <w:top w:val="nil"/>
              <w:left w:val="nil"/>
              <w:bottom w:val="nil"/>
              <w:right w:val="single" w:sz="8" w:space="0" w:color="auto"/>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7</w:t>
            </w:r>
          </w:p>
        </w:tc>
        <w:tc>
          <w:tcPr>
            <w:tcW w:w="222" w:type="dxa"/>
            <w:tcBorders>
              <w:top w:val="nil"/>
              <w:left w:val="nil"/>
              <w:bottom w:val="nil"/>
              <w:right w:val="nil"/>
            </w:tcBorders>
            <w:shd w:val="clear" w:color="auto" w:fill="auto"/>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rsidR="001641B5" w:rsidRPr="00797A20" w:rsidRDefault="001641B5" w:rsidP="001641B5">
            <w:pPr>
              <w:spacing w:after="0" w:line="240" w:lineRule="auto"/>
              <w:rPr>
                <w:rFonts w:ascii="Times New Roman" w:eastAsia="Times New Roman" w:hAnsi="Times New Roman" w:cs="Times New Roman"/>
                <w:sz w:val="20"/>
                <w:szCs w:val="20"/>
                <w:lang w:eastAsia="en-GB"/>
              </w:rPr>
            </w:pPr>
          </w:p>
        </w:tc>
      </w:tr>
      <w:tr w:rsidR="001641B5" w:rsidRPr="00797A20" w:rsidTr="00847676">
        <w:trPr>
          <w:trHeight w:val="264"/>
        </w:trPr>
        <w:tc>
          <w:tcPr>
            <w:tcW w:w="1898" w:type="dxa"/>
            <w:tcBorders>
              <w:top w:val="nil"/>
              <w:left w:val="single" w:sz="8" w:space="0" w:color="auto"/>
              <w:bottom w:val="nil"/>
              <w:right w:val="nil"/>
            </w:tcBorders>
            <w:shd w:val="clear" w:color="000000" w:fill="DDEBF7"/>
            <w:noWrap/>
            <w:vAlign w:val="bottom"/>
            <w:hideMark/>
          </w:tcPr>
          <w:p w:rsidR="001641B5" w:rsidRPr="00797A20" w:rsidRDefault="001641B5" w:rsidP="001641B5">
            <w:pPr>
              <w:spacing w:after="0" w:line="240" w:lineRule="auto"/>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Ghana</w:t>
            </w:r>
          </w:p>
        </w:tc>
        <w:tc>
          <w:tcPr>
            <w:tcW w:w="1421" w:type="dxa"/>
            <w:tcBorders>
              <w:top w:val="nil"/>
              <w:left w:val="nil"/>
              <w:bottom w:val="nil"/>
              <w:right w:val="nil"/>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-100</w:t>
            </w:r>
          </w:p>
        </w:tc>
        <w:tc>
          <w:tcPr>
            <w:tcW w:w="1917" w:type="dxa"/>
            <w:tcBorders>
              <w:top w:val="nil"/>
              <w:left w:val="nil"/>
              <w:bottom w:val="nil"/>
              <w:right w:val="nil"/>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-40</w:t>
            </w:r>
          </w:p>
        </w:tc>
        <w:tc>
          <w:tcPr>
            <w:tcW w:w="1705" w:type="dxa"/>
            <w:tcBorders>
              <w:top w:val="nil"/>
              <w:left w:val="nil"/>
              <w:bottom w:val="nil"/>
              <w:right w:val="nil"/>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-32</w:t>
            </w:r>
          </w:p>
        </w:tc>
        <w:tc>
          <w:tcPr>
            <w:tcW w:w="921" w:type="dxa"/>
            <w:tcBorders>
              <w:top w:val="nil"/>
              <w:left w:val="nil"/>
              <w:bottom w:val="nil"/>
              <w:right w:val="single" w:sz="8" w:space="0" w:color="auto"/>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-20</w:t>
            </w:r>
          </w:p>
        </w:tc>
        <w:tc>
          <w:tcPr>
            <w:tcW w:w="222" w:type="dxa"/>
            <w:tcBorders>
              <w:top w:val="nil"/>
              <w:left w:val="nil"/>
              <w:bottom w:val="nil"/>
              <w:right w:val="nil"/>
            </w:tcBorders>
            <w:shd w:val="clear" w:color="auto" w:fill="auto"/>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rsidR="001641B5" w:rsidRPr="00797A20" w:rsidRDefault="001641B5" w:rsidP="001641B5">
            <w:pPr>
              <w:spacing w:after="0" w:line="240" w:lineRule="auto"/>
              <w:rPr>
                <w:rFonts w:ascii="Times New Roman" w:eastAsia="Times New Roman" w:hAnsi="Times New Roman" w:cs="Times New Roman"/>
                <w:sz w:val="20"/>
                <w:szCs w:val="20"/>
                <w:lang w:eastAsia="en-GB"/>
              </w:rPr>
            </w:pPr>
          </w:p>
        </w:tc>
      </w:tr>
      <w:tr w:rsidR="001641B5" w:rsidRPr="00797A20" w:rsidTr="00847676">
        <w:trPr>
          <w:trHeight w:val="264"/>
        </w:trPr>
        <w:tc>
          <w:tcPr>
            <w:tcW w:w="1898" w:type="dxa"/>
            <w:tcBorders>
              <w:top w:val="nil"/>
              <w:left w:val="single" w:sz="8" w:space="0" w:color="auto"/>
              <w:bottom w:val="nil"/>
              <w:right w:val="nil"/>
            </w:tcBorders>
            <w:shd w:val="clear" w:color="000000" w:fill="DDEBF7"/>
            <w:noWrap/>
            <w:vAlign w:val="bottom"/>
            <w:hideMark/>
          </w:tcPr>
          <w:p w:rsidR="001641B5" w:rsidRPr="00797A20" w:rsidRDefault="001641B5" w:rsidP="001641B5">
            <w:pPr>
              <w:spacing w:after="0" w:line="240" w:lineRule="auto"/>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Liberia</w:t>
            </w:r>
          </w:p>
        </w:tc>
        <w:tc>
          <w:tcPr>
            <w:tcW w:w="1421" w:type="dxa"/>
            <w:tcBorders>
              <w:top w:val="nil"/>
              <w:left w:val="nil"/>
              <w:bottom w:val="nil"/>
              <w:right w:val="nil"/>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-108</w:t>
            </w:r>
          </w:p>
        </w:tc>
        <w:tc>
          <w:tcPr>
            <w:tcW w:w="1917" w:type="dxa"/>
            <w:tcBorders>
              <w:top w:val="nil"/>
              <w:left w:val="nil"/>
              <w:bottom w:val="nil"/>
              <w:right w:val="nil"/>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-14</w:t>
            </w:r>
          </w:p>
        </w:tc>
        <w:tc>
          <w:tcPr>
            <w:tcW w:w="1705" w:type="dxa"/>
            <w:tcBorders>
              <w:top w:val="nil"/>
              <w:left w:val="nil"/>
              <w:bottom w:val="nil"/>
              <w:right w:val="nil"/>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-35</w:t>
            </w:r>
          </w:p>
        </w:tc>
        <w:tc>
          <w:tcPr>
            <w:tcW w:w="921" w:type="dxa"/>
            <w:tcBorders>
              <w:top w:val="nil"/>
              <w:left w:val="nil"/>
              <w:bottom w:val="nil"/>
              <w:right w:val="single" w:sz="8" w:space="0" w:color="auto"/>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-48</w:t>
            </w:r>
          </w:p>
        </w:tc>
        <w:tc>
          <w:tcPr>
            <w:tcW w:w="222" w:type="dxa"/>
            <w:tcBorders>
              <w:top w:val="nil"/>
              <w:left w:val="nil"/>
              <w:bottom w:val="nil"/>
              <w:right w:val="nil"/>
            </w:tcBorders>
            <w:shd w:val="clear" w:color="auto" w:fill="auto"/>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rsidR="001641B5" w:rsidRPr="00797A20" w:rsidRDefault="001641B5" w:rsidP="001641B5">
            <w:pPr>
              <w:spacing w:after="0" w:line="240" w:lineRule="auto"/>
              <w:rPr>
                <w:rFonts w:ascii="Times New Roman" w:eastAsia="Times New Roman" w:hAnsi="Times New Roman" w:cs="Times New Roman"/>
                <w:sz w:val="20"/>
                <w:szCs w:val="20"/>
                <w:lang w:eastAsia="en-GB"/>
              </w:rPr>
            </w:pPr>
          </w:p>
        </w:tc>
      </w:tr>
      <w:tr w:rsidR="001641B5" w:rsidRPr="00797A20" w:rsidTr="00847676">
        <w:trPr>
          <w:trHeight w:val="264"/>
        </w:trPr>
        <w:tc>
          <w:tcPr>
            <w:tcW w:w="1898" w:type="dxa"/>
            <w:tcBorders>
              <w:top w:val="nil"/>
              <w:left w:val="single" w:sz="8" w:space="0" w:color="auto"/>
              <w:bottom w:val="nil"/>
              <w:right w:val="nil"/>
            </w:tcBorders>
            <w:shd w:val="clear" w:color="000000" w:fill="DDEBF7"/>
            <w:noWrap/>
            <w:vAlign w:val="bottom"/>
            <w:hideMark/>
          </w:tcPr>
          <w:p w:rsidR="001641B5" w:rsidRPr="00797A20" w:rsidRDefault="001641B5" w:rsidP="001641B5">
            <w:pPr>
              <w:spacing w:after="0" w:line="240" w:lineRule="auto"/>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Malawi</w:t>
            </w:r>
          </w:p>
        </w:tc>
        <w:tc>
          <w:tcPr>
            <w:tcW w:w="1421" w:type="dxa"/>
            <w:tcBorders>
              <w:top w:val="nil"/>
              <w:left w:val="nil"/>
              <w:bottom w:val="nil"/>
              <w:right w:val="nil"/>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-111</w:t>
            </w:r>
          </w:p>
        </w:tc>
        <w:tc>
          <w:tcPr>
            <w:tcW w:w="1917" w:type="dxa"/>
            <w:tcBorders>
              <w:top w:val="nil"/>
              <w:left w:val="nil"/>
              <w:bottom w:val="nil"/>
              <w:right w:val="nil"/>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6</w:t>
            </w:r>
          </w:p>
        </w:tc>
        <w:tc>
          <w:tcPr>
            <w:tcW w:w="1705" w:type="dxa"/>
            <w:tcBorders>
              <w:top w:val="nil"/>
              <w:left w:val="nil"/>
              <w:bottom w:val="nil"/>
              <w:right w:val="nil"/>
            </w:tcBorders>
            <w:shd w:val="clear" w:color="000000" w:fill="DDEBF7"/>
            <w:noWrap/>
            <w:vAlign w:val="bottom"/>
            <w:hideMark/>
          </w:tcPr>
          <w:p w:rsidR="001641B5" w:rsidRPr="00797A20" w:rsidRDefault="00E12294"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N</w:t>
            </w:r>
            <w:r w:rsidR="001641B5" w:rsidRPr="00797A20">
              <w:rPr>
                <w:rFonts w:ascii="Times New Roman" w:eastAsia="Times New Roman" w:hAnsi="Times New Roman" w:cs="Times New Roman"/>
                <w:sz w:val="20"/>
                <w:szCs w:val="20"/>
                <w:lang w:eastAsia="en-GB"/>
              </w:rPr>
              <w:t>a</w:t>
            </w:r>
          </w:p>
        </w:tc>
        <w:tc>
          <w:tcPr>
            <w:tcW w:w="921" w:type="dxa"/>
            <w:tcBorders>
              <w:top w:val="nil"/>
              <w:left w:val="nil"/>
              <w:bottom w:val="nil"/>
              <w:right w:val="single" w:sz="8" w:space="0" w:color="auto"/>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2</w:t>
            </w:r>
          </w:p>
        </w:tc>
        <w:tc>
          <w:tcPr>
            <w:tcW w:w="222" w:type="dxa"/>
            <w:tcBorders>
              <w:top w:val="nil"/>
              <w:left w:val="nil"/>
              <w:bottom w:val="nil"/>
              <w:right w:val="nil"/>
            </w:tcBorders>
            <w:shd w:val="clear" w:color="auto" w:fill="auto"/>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rsidR="001641B5" w:rsidRPr="00797A20" w:rsidRDefault="001641B5" w:rsidP="001641B5">
            <w:pPr>
              <w:spacing w:after="0" w:line="240" w:lineRule="auto"/>
              <w:rPr>
                <w:rFonts w:ascii="Times New Roman" w:eastAsia="Times New Roman" w:hAnsi="Times New Roman" w:cs="Times New Roman"/>
                <w:sz w:val="20"/>
                <w:szCs w:val="20"/>
                <w:lang w:eastAsia="en-GB"/>
              </w:rPr>
            </w:pPr>
          </w:p>
        </w:tc>
      </w:tr>
      <w:tr w:rsidR="001641B5" w:rsidRPr="00797A20" w:rsidTr="00847676">
        <w:trPr>
          <w:trHeight w:val="264"/>
        </w:trPr>
        <w:tc>
          <w:tcPr>
            <w:tcW w:w="1898" w:type="dxa"/>
            <w:tcBorders>
              <w:top w:val="nil"/>
              <w:left w:val="single" w:sz="8" w:space="0" w:color="auto"/>
              <w:bottom w:val="nil"/>
              <w:right w:val="nil"/>
            </w:tcBorders>
            <w:shd w:val="clear" w:color="000000" w:fill="DDEBF7"/>
            <w:noWrap/>
            <w:vAlign w:val="bottom"/>
            <w:hideMark/>
          </w:tcPr>
          <w:p w:rsidR="001641B5" w:rsidRPr="00797A20" w:rsidRDefault="001641B5" w:rsidP="001641B5">
            <w:pPr>
              <w:spacing w:after="0" w:line="240" w:lineRule="auto"/>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Namibia</w:t>
            </w:r>
          </w:p>
        </w:tc>
        <w:tc>
          <w:tcPr>
            <w:tcW w:w="1421" w:type="dxa"/>
            <w:tcBorders>
              <w:top w:val="nil"/>
              <w:left w:val="nil"/>
              <w:bottom w:val="nil"/>
              <w:right w:val="nil"/>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-6</w:t>
            </w:r>
          </w:p>
        </w:tc>
        <w:tc>
          <w:tcPr>
            <w:tcW w:w="1917" w:type="dxa"/>
            <w:tcBorders>
              <w:top w:val="nil"/>
              <w:left w:val="nil"/>
              <w:bottom w:val="nil"/>
              <w:right w:val="nil"/>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13</w:t>
            </w:r>
          </w:p>
        </w:tc>
        <w:tc>
          <w:tcPr>
            <w:tcW w:w="1705" w:type="dxa"/>
            <w:tcBorders>
              <w:top w:val="nil"/>
              <w:left w:val="nil"/>
              <w:bottom w:val="nil"/>
              <w:right w:val="nil"/>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30</w:t>
            </w:r>
          </w:p>
        </w:tc>
        <w:tc>
          <w:tcPr>
            <w:tcW w:w="921" w:type="dxa"/>
            <w:tcBorders>
              <w:top w:val="nil"/>
              <w:left w:val="nil"/>
              <w:bottom w:val="nil"/>
              <w:right w:val="single" w:sz="8" w:space="0" w:color="auto"/>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50</w:t>
            </w:r>
          </w:p>
        </w:tc>
        <w:tc>
          <w:tcPr>
            <w:tcW w:w="222" w:type="dxa"/>
            <w:tcBorders>
              <w:top w:val="nil"/>
              <w:left w:val="nil"/>
              <w:bottom w:val="nil"/>
              <w:right w:val="nil"/>
            </w:tcBorders>
            <w:shd w:val="clear" w:color="auto" w:fill="auto"/>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rsidR="001641B5" w:rsidRPr="00797A20" w:rsidRDefault="001641B5" w:rsidP="001641B5">
            <w:pPr>
              <w:spacing w:after="0" w:line="240" w:lineRule="auto"/>
              <w:rPr>
                <w:rFonts w:ascii="Times New Roman" w:eastAsia="Times New Roman" w:hAnsi="Times New Roman" w:cs="Times New Roman"/>
                <w:sz w:val="20"/>
                <w:szCs w:val="20"/>
                <w:lang w:eastAsia="en-GB"/>
              </w:rPr>
            </w:pPr>
          </w:p>
        </w:tc>
      </w:tr>
      <w:tr w:rsidR="001641B5" w:rsidRPr="00797A20" w:rsidTr="00847676">
        <w:trPr>
          <w:trHeight w:val="264"/>
        </w:trPr>
        <w:tc>
          <w:tcPr>
            <w:tcW w:w="1898" w:type="dxa"/>
            <w:tcBorders>
              <w:top w:val="nil"/>
              <w:left w:val="single" w:sz="8" w:space="0" w:color="auto"/>
              <w:bottom w:val="nil"/>
              <w:right w:val="nil"/>
            </w:tcBorders>
            <w:shd w:val="clear" w:color="000000" w:fill="DDEBF7"/>
            <w:noWrap/>
            <w:vAlign w:val="bottom"/>
            <w:hideMark/>
          </w:tcPr>
          <w:p w:rsidR="001641B5" w:rsidRPr="00797A20" w:rsidRDefault="001641B5" w:rsidP="001641B5">
            <w:pPr>
              <w:spacing w:after="0" w:line="240" w:lineRule="auto"/>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Niger</w:t>
            </w:r>
          </w:p>
        </w:tc>
        <w:tc>
          <w:tcPr>
            <w:tcW w:w="1421" w:type="dxa"/>
            <w:tcBorders>
              <w:top w:val="nil"/>
              <w:left w:val="nil"/>
              <w:bottom w:val="nil"/>
              <w:right w:val="nil"/>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-163</w:t>
            </w:r>
          </w:p>
        </w:tc>
        <w:tc>
          <w:tcPr>
            <w:tcW w:w="1917" w:type="dxa"/>
            <w:tcBorders>
              <w:top w:val="nil"/>
              <w:left w:val="nil"/>
              <w:bottom w:val="nil"/>
              <w:right w:val="nil"/>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21</w:t>
            </w:r>
          </w:p>
        </w:tc>
        <w:tc>
          <w:tcPr>
            <w:tcW w:w="1705" w:type="dxa"/>
            <w:tcBorders>
              <w:top w:val="nil"/>
              <w:left w:val="nil"/>
              <w:bottom w:val="nil"/>
              <w:right w:val="nil"/>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-162</w:t>
            </w:r>
          </w:p>
        </w:tc>
        <w:tc>
          <w:tcPr>
            <w:tcW w:w="921" w:type="dxa"/>
            <w:tcBorders>
              <w:top w:val="nil"/>
              <w:left w:val="nil"/>
              <w:bottom w:val="nil"/>
              <w:right w:val="single" w:sz="8" w:space="0" w:color="auto"/>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-61</w:t>
            </w:r>
          </w:p>
        </w:tc>
        <w:tc>
          <w:tcPr>
            <w:tcW w:w="222" w:type="dxa"/>
            <w:tcBorders>
              <w:top w:val="nil"/>
              <w:left w:val="nil"/>
              <w:bottom w:val="nil"/>
              <w:right w:val="nil"/>
            </w:tcBorders>
            <w:shd w:val="clear" w:color="auto" w:fill="auto"/>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rsidR="001641B5" w:rsidRPr="00797A20" w:rsidRDefault="001641B5" w:rsidP="001641B5">
            <w:pPr>
              <w:spacing w:after="0" w:line="240" w:lineRule="auto"/>
              <w:rPr>
                <w:rFonts w:ascii="Times New Roman" w:eastAsia="Times New Roman" w:hAnsi="Times New Roman" w:cs="Times New Roman"/>
                <w:sz w:val="20"/>
                <w:szCs w:val="20"/>
                <w:lang w:eastAsia="en-GB"/>
              </w:rPr>
            </w:pPr>
          </w:p>
        </w:tc>
      </w:tr>
      <w:tr w:rsidR="001641B5" w:rsidRPr="00797A20" w:rsidTr="00847676">
        <w:trPr>
          <w:trHeight w:val="264"/>
        </w:trPr>
        <w:tc>
          <w:tcPr>
            <w:tcW w:w="1898" w:type="dxa"/>
            <w:tcBorders>
              <w:top w:val="nil"/>
              <w:left w:val="single" w:sz="8" w:space="0" w:color="auto"/>
              <w:bottom w:val="nil"/>
              <w:right w:val="nil"/>
            </w:tcBorders>
            <w:shd w:val="clear" w:color="000000" w:fill="DDEBF7"/>
            <w:noWrap/>
            <w:vAlign w:val="bottom"/>
            <w:hideMark/>
          </w:tcPr>
          <w:p w:rsidR="001641B5" w:rsidRPr="00797A20" w:rsidRDefault="001641B5" w:rsidP="001641B5">
            <w:pPr>
              <w:spacing w:after="0" w:line="240" w:lineRule="auto"/>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Nigeria</w:t>
            </w:r>
          </w:p>
        </w:tc>
        <w:tc>
          <w:tcPr>
            <w:tcW w:w="1421" w:type="dxa"/>
            <w:tcBorders>
              <w:top w:val="nil"/>
              <w:left w:val="nil"/>
              <w:bottom w:val="nil"/>
              <w:right w:val="nil"/>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-75</w:t>
            </w:r>
          </w:p>
        </w:tc>
        <w:tc>
          <w:tcPr>
            <w:tcW w:w="1917" w:type="dxa"/>
            <w:tcBorders>
              <w:top w:val="nil"/>
              <w:left w:val="nil"/>
              <w:bottom w:val="nil"/>
              <w:right w:val="nil"/>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-13</w:t>
            </w:r>
          </w:p>
        </w:tc>
        <w:tc>
          <w:tcPr>
            <w:tcW w:w="1705" w:type="dxa"/>
            <w:tcBorders>
              <w:top w:val="nil"/>
              <w:left w:val="nil"/>
              <w:bottom w:val="nil"/>
              <w:right w:val="nil"/>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-10</w:t>
            </w:r>
          </w:p>
        </w:tc>
        <w:tc>
          <w:tcPr>
            <w:tcW w:w="921" w:type="dxa"/>
            <w:tcBorders>
              <w:top w:val="nil"/>
              <w:left w:val="nil"/>
              <w:bottom w:val="nil"/>
              <w:right w:val="single" w:sz="8" w:space="0" w:color="auto"/>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-60</w:t>
            </w:r>
          </w:p>
        </w:tc>
        <w:tc>
          <w:tcPr>
            <w:tcW w:w="222" w:type="dxa"/>
            <w:tcBorders>
              <w:top w:val="nil"/>
              <w:left w:val="nil"/>
              <w:bottom w:val="nil"/>
              <w:right w:val="nil"/>
            </w:tcBorders>
            <w:shd w:val="clear" w:color="auto" w:fill="auto"/>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rsidR="001641B5" w:rsidRPr="00797A20" w:rsidRDefault="001641B5" w:rsidP="001641B5">
            <w:pPr>
              <w:spacing w:after="0" w:line="240" w:lineRule="auto"/>
              <w:rPr>
                <w:rFonts w:ascii="Times New Roman" w:eastAsia="Times New Roman" w:hAnsi="Times New Roman" w:cs="Times New Roman"/>
                <w:sz w:val="20"/>
                <w:szCs w:val="20"/>
                <w:lang w:eastAsia="en-GB"/>
              </w:rPr>
            </w:pPr>
          </w:p>
        </w:tc>
      </w:tr>
      <w:tr w:rsidR="001641B5" w:rsidRPr="00797A20" w:rsidTr="00847676">
        <w:trPr>
          <w:trHeight w:val="264"/>
        </w:trPr>
        <w:tc>
          <w:tcPr>
            <w:tcW w:w="1898" w:type="dxa"/>
            <w:tcBorders>
              <w:top w:val="nil"/>
              <w:left w:val="single" w:sz="8" w:space="0" w:color="auto"/>
              <w:bottom w:val="nil"/>
              <w:right w:val="nil"/>
            </w:tcBorders>
            <w:shd w:val="clear" w:color="000000" w:fill="DDEBF7"/>
            <w:noWrap/>
            <w:vAlign w:val="bottom"/>
            <w:hideMark/>
          </w:tcPr>
          <w:p w:rsidR="001641B5" w:rsidRPr="00797A20" w:rsidRDefault="001641B5" w:rsidP="001641B5">
            <w:pPr>
              <w:spacing w:after="0" w:line="240" w:lineRule="auto"/>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Senegal</w:t>
            </w:r>
          </w:p>
        </w:tc>
        <w:tc>
          <w:tcPr>
            <w:tcW w:w="1421" w:type="dxa"/>
            <w:tcBorders>
              <w:top w:val="nil"/>
              <w:left w:val="nil"/>
              <w:bottom w:val="nil"/>
              <w:right w:val="nil"/>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-50</w:t>
            </w:r>
          </w:p>
        </w:tc>
        <w:tc>
          <w:tcPr>
            <w:tcW w:w="1917" w:type="dxa"/>
            <w:tcBorders>
              <w:top w:val="nil"/>
              <w:left w:val="nil"/>
              <w:bottom w:val="nil"/>
              <w:right w:val="nil"/>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0</w:t>
            </w:r>
          </w:p>
        </w:tc>
        <w:tc>
          <w:tcPr>
            <w:tcW w:w="1705" w:type="dxa"/>
            <w:tcBorders>
              <w:top w:val="nil"/>
              <w:left w:val="nil"/>
              <w:bottom w:val="nil"/>
              <w:right w:val="nil"/>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-7</w:t>
            </w:r>
          </w:p>
        </w:tc>
        <w:tc>
          <w:tcPr>
            <w:tcW w:w="921" w:type="dxa"/>
            <w:tcBorders>
              <w:top w:val="nil"/>
              <w:left w:val="nil"/>
              <w:bottom w:val="nil"/>
              <w:right w:val="single" w:sz="8" w:space="0" w:color="auto"/>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6</w:t>
            </w:r>
          </w:p>
        </w:tc>
        <w:tc>
          <w:tcPr>
            <w:tcW w:w="222" w:type="dxa"/>
            <w:tcBorders>
              <w:top w:val="nil"/>
              <w:left w:val="nil"/>
              <w:bottom w:val="nil"/>
              <w:right w:val="nil"/>
            </w:tcBorders>
            <w:shd w:val="clear" w:color="auto" w:fill="auto"/>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rsidR="001641B5" w:rsidRPr="00797A20" w:rsidRDefault="001641B5" w:rsidP="001641B5">
            <w:pPr>
              <w:spacing w:after="0" w:line="240" w:lineRule="auto"/>
              <w:rPr>
                <w:rFonts w:ascii="Times New Roman" w:eastAsia="Times New Roman" w:hAnsi="Times New Roman" w:cs="Times New Roman"/>
                <w:sz w:val="20"/>
                <w:szCs w:val="20"/>
                <w:lang w:eastAsia="en-GB"/>
              </w:rPr>
            </w:pPr>
          </w:p>
        </w:tc>
      </w:tr>
      <w:tr w:rsidR="001641B5" w:rsidRPr="00797A20" w:rsidTr="00847676">
        <w:trPr>
          <w:trHeight w:val="264"/>
        </w:trPr>
        <w:tc>
          <w:tcPr>
            <w:tcW w:w="1898" w:type="dxa"/>
            <w:tcBorders>
              <w:top w:val="nil"/>
              <w:left w:val="single" w:sz="8" w:space="0" w:color="auto"/>
              <w:bottom w:val="nil"/>
              <w:right w:val="nil"/>
            </w:tcBorders>
            <w:shd w:val="clear" w:color="000000" w:fill="DDEBF7"/>
            <w:noWrap/>
            <w:vAlign w:val="bottom"/>
            <w:hideMark/>
          </w:tcPr>
          <w:p w:rsidR="001641B5" w:rsidRPr="00797A20" w:rsidRDefault="001641B5" w:rsidP="001641B5">
            <w:pPr>
              <w:spacing w:after="0" w:line="240" w:lineRule="auto"/>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Sierra Leone</w:t>
            </w:r>
          </w:p>
        </w:tc>
        <w:tc>
          <w:tcPr>
            <w:tcW w:w="1421" w:type="dxa"/>
            <w:tcBorders>
              <w:top w:val="nil"/>
              <w:left w:val="nil"/>
              <w:bottom w:val="nil"/>
              <w:right w:val="nil"/>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26</w:t>
            </w:r>
          </w:p>
        </w:tc>
        <w:tc>
          <w:tcPr>
            <w:tcW w:w="1917" w:type="dxa"/>
            <w:tcBorders>
              <w:top w:val="nil"/>
              <w:left w:val="nil"/>
              <w:bottom w:val="nil"/>
              <w:right w:val="nil"/>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-18</w:t>
            </w:r>
          </w:p>
        </w:tc>
        <w:tc>
          <w:tcPr>
            <w:tcW w:w="1705" w:type="dxa"/>
            <w:tcBorders>
              <w:top w:val="nil"/>
              <w:left w:val="nil"/>
              <w:bottom w:val="nil"/>
              <w:right w:val="nil"/>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-6</w:t>
            </w:r>
          </w:p>
        </w:tc>
        <w:tc>
          <w:tcPr>
            <w:tcW w:w="921" w:type="dxa"/>
            <w:tcBorders>
              <w:top w:val="nil"/>
              <w:left w:val="nil"/>
              <w:bottom w:val="nil"/>
              <w:right w:val="single" w:sz="8" w:space="0" w:color="auto"/>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-7</w:t>
            </w:r>
          </w:p>
        </w:tc>
        <w:tc>
          <w:tcPr>
            <w:tcW w:w="222" w:type="dxa"/>
            <w:tcBorders>
              <w:top w:val="nil"/>
              <w:left w:val="nil"/>
              <w:bottom w:val="nil"/>
              <w:right w:val="nil"/>
            </w:tcBorders>
            <w:shd w:val="clear" w:color="auto" w:fill="auto"/>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rsidR="001641B5" w:rsidRPr="00797A20" w:rsidRDefault="001641B5" w:rsidP="001641B5">
            <w:pPr>
              <w:spacing w:after="0" w:line="240" w:lineRule="auto"/>
              <w:rPr>
                <w:rFonts w:ascii="Times New Roman" w:eastAsia="Times New Roman" w:hAnsi="Times New Roman" w:cs="Times New Roman"/>
                <w:sz w:val="20"/>
                <w:szCs w:val="20"/>
                <w:lang w:eastAsia="en-GB"/>
              </w:rPr>
            </w:pPr>
          </w:p>
        </w:tc>
      </w:tr>
      <w:tr w:rsidR="001641B5" w:rsidRPr="00797A20" w:rsidTr="00847676">
        <w:trPr>
          <w:trHeight w:val="264"/>
        </w:trPr>
        <w:tc>
          <w:tcPr>
            <w:tcW w:w="1898" w:type="dxa"/>
            <w:tcBorders>
              <w:top w:val="nil"/>
              <w:left w:val="single" w:sz="8" w:space="0" w:color="auto"/>
              <w:bottom w:val="nil"/>
              <w:right w:val="nil"/>
            </w:tcBorders>
            <w:shd w:val="clear" w:color="000000" w:fill="DDEBF7"/>
            <w:noWrap/>
            <w:vAlign w:val="bottom"/>
            <w:hideMark/>
          </w:tcPr>
          <w:p w:rsidR="001641B5" w:rsidRPr="00797A20" w:rsidRDefault="001641B5" w:rsidP="001641B5">
            <w:pPr>
              <w:spacing w:after="0" w:line="240" w:lineRule="auto"/>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Tanzania</w:t>
            </w:r>
          </w:p>
        </w:tc>
        <w:tc>
          <w:tcPr>
            <w:tcW w:w="1421" w:type="dxa"/>
            <w:tcBorders>
              <w:top w:val="nil"/>
              <w:left w:val="nil"/>
              <w:bottom w:val="nil"/>
              <w:right w:val="nil"/>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0</w:t>
            </w:r>
          </w:p>
        </w:tc>
        <w:tc>
          <w:tcPr>
            <w:tcW w:w="1917" w:type="dxa"/>
            <w:tcBorders>
              <w:top w:val="nil"/>
              <w:left w:val="nil"/>
              <w:bottom w:val="nil"/>
              <w:right w:val="nil"/>
            </w:tcBorders>
            <w:shd w:val="clear" w:color="000000" w:fill="DDEBF7"/>
            <w:noWrap/>
            <w:vAlign w:val="bottom"/>
            <w:hideMark/>
          </w:tcPr>
          <w:p w:rsidR="001641B5" w:rsidRPr="00797A20" w:rsidRDefault="00EB4146"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N</w:t>
            </w:r>
            <w:r w:rsidR="001641B5" w:rsidRPr="00797A20">
              <w:rPr>
                <w:rFonts w:ascii="Times New Roman" w:eastAsia="Times New Roman" w:hAnsi="Times New Roman" w:cs="Times New Roman"/>
                <w:sz w:val="20"/>
                <w:szCs w:val="20"/>
                <w:lang w:eastAsia="en-GB"/>
              </w:rPr>
              <w:t>a</w:t>
            </w:r>
          </w:p>
        </w:tc>
        <w:tc>
          <w:tcPr>
            <w:tcW w:w="1705" w:type="dxa"/>
            <w:tcBorders>
              <w:top w:val="nil"/>
              <w:left w:val="nil"/>
              <w:bottom w:val="nil"/>
              <w:right w:val="nil"/>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-5</w:t>
            </w:r>
          </w:p>
        </w:tc>
        <w:tc>
          <w:tcPr>
            <w:tcW w:w="921" w:type="dxa"/>
            <w:tcBorders>
              <w:top w:val="nil"/>
              <w:left w:val="nil"/>
              <w:bottom w:val="nil"/>
              <w:right w:val="single" w:sz="8" w:space="0" w:color="auto"/>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17</w:t>
            </w:r>
          </w:p>
        </w:tc>
        <w:tc>
          <w:tcPr>
            <w:tcW w:w="222" w:type="dxa"/>
            <w:tcBorders>
              <w:top w:val="nil"/>
              <w:left w:val="nil"/>
              <w:bottom w:val="nil"/>
              <w:right w:val="nil"/>
            </w:tcBorders>
            <w:shd w:val="clear" w:color="auto" w:fill="auto"/>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rsidR="001641B5" w:rsidRPr="00797A20" w:rsidRDefault="001641B5" w:rsidP="001641B5">
            <w:pPr>
              <w:spacing w:after="0" w:line="240" w:lineRule="auto"/>
              <w:rPr>
                <w:rFonts w:ascii="Times New Roman" w:eastAsia="Times New Roman" w:hAnsi="Times New Roman" w:cs="Times New Roman"/>
                <w:sz w:val="20"/>
                <w:szCs w:val="20"/>
                <w:lang w:eastAsia="en-GB"/>
              </w:rPr>
            </w:pPr>
          </w:p>
        </w:tc>
      </w:tr>
      <w:tr w:rsidR="001641B5" w:rsidRPr="00797A20" w:rsidTr="00847676">
        <w:trPr>
          <w:trHeight w:val="264"/>
        </w:trPr>
        <w:tc>
          <w:tcPr>
            <w:tcW w:w="1898" w:type="dxa"/>
            <w:tcBorders>
              <w:top w:val="nil"/>
              <w:left w:val="single" w:sz="8" w:space="0" w:color="auto"/>
              <w:bottom w:val="nil"/>
              <w:right w:val="nil"/>
            </w:tcBorders>
            <w:shd w:val="clear" w:color="000000" w:fill="DDEBF7"/>
            <w:noWrap/>
            <w:vAlign w:val="bottom"/>
            <w:hideMark/>
          </w:tcPr>
          <w:p w:rsidR="001641B5" w:rsidRPr="00797A20" w:rsidRDefault="001641B5" w:rsidP="001641B5">
            <w:pPr>
              <w:spacing w:after="0" w:line="240" w:lineRule="auto"/>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Uganda</w:t>
            </w:r>
          </w:p>
        </w:tc>
        <w:tc>
          <w:tcPr>
            <w:tcW w:w="1421" w:type="dxa"/>
            <w:tcBorders>
              <w:top w:val="nil"/>
              <w:left w:val="nil"/>
              <w:bottom w:val="nil"/>
              <w:right w:val="nil"/>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-157</w:t>
            </w:r>
          </w:p>
        </w:tc>
        <w:tc>
          <w:tcPr>
            <w:tcW w:w="1917" w:type="dxa"/>
            <w:tcBorders>
              <w:top w:val="nil"/>
              <w:left w:val="nil"/>
              <w:bottom w:val="nil"/>
              <w:right w:val="nil"/>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-110</w:t>
            </w:r>
          </w:p>
        </w:tc>
        <w:tc>
          <w:tcPr>
            <w:tcW w:w="1705" w:type="dxa"/>
            <w:tcBorders>
              <w:top w:val="nil"/>
              <w:left w:val="nil"/>
              <w:bottom w:val="nil"/>
              <w:right w:val="nil"/>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-161</w:t>
            </w:r>
          </w:p>
        </w:tc>
        <w:tc>
          <w:tcPr>
            <w:tcW w:w="921" w:type="dxa"/>
            <w:tcBorders>
              <w:top w:val="nil"/>
              <w:left w:val="nil"/>
              <w:bottom w:val="nil"/>
              <w:right w:val="single" w:sz="8" w:space="0" w:color="auto"/>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58</w:t>
            </w:r>
          </w:p>
        </w:tc>
        <w:tc>
          <w:tcPr>
            <w:tcW w:w="222" w:type="dxa"/>
            <w:tcBorders>
              <w:top w:val="nil"/>
              <w:left w:val="nil"/>
              <w:bottom w:val="nil"/>
              <w:right w:val="nil"/>
            </w:tcBorders>
            <w:shd w:val="clear" w:color="auto" w:fill="auto"/>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rsidR="001641B5" w:rsidRPr="00797A20" w:rsidRDefault="001641B5" w:rsidP="001641B5">
            <w:pPr>
              <w:spacing w:after="0" w:line="240" w:lineRule="auto"/>
              <w:rPr>
                <w:rFonts w:ascii="Times New Roman" w:eastAsia="Times New Roman" w:hAnsi="Times New Roman" w:cs="Times New Roman"/>
                <w:sz w:val="20"/>
                <w:szCs w:val="20"/>
                <w:lang w:eastAsia="en-GB"/>
              </w:rPr>
            </w:pPr>
          </w:p>
        </w:tc>
      </w:tr>
      <w:tr w:rsidR="001641B5" w:rsidRPr="00797A20" w:rsidTr="00847676">
        <w:trPr>
          <w:trHeight w:val="264"/>
        </w:trPr>
        <w:tc>
          <w:tcPr>
            <w:tcW w:w="1898" w:type="dxa"/>
            <w:tcBorders>
              <w:top w:val="nil"/>
              <w:left w:val="single" w:sz="8" w:space="0" w:color="auto"/>
              <w:bottom w:val="nil"/>
              <w:right w:val="nil"/>
            </w:tcBorders>
            <w:shd w:val="clear" w:color="000000" w:fill="DDEBF7"/>
            <w:noWrap/>
            <w:vAlign w:val="bottom"/>
            <w:hideMark/>
          </w:tcPr>
          <w:p w:rsidR="001641B5" w:rsidRPr="00797A20" w:rsidRDefault="001641B5" w:rsidP="001641B5">
            <w:pPr>
              <w:spacing w:after="0" w:line="240" w:lineRule="auto"/>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Zambia</w:t>
            </w:r>
          </w:p>
        </w:tc>
        <w:tc>
          <w:tcPr>
            <w:tcW w:w="1421" w:type="dxa"/>
            <w:tcBorders>
              <w:top w:val="nil"/>
              <w:left w:val="nil"/>
              <w:bottom w:val="nil"/>
              <w:right w:val="nil"/>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33</w:t>
            </w:r>
          </w:p>
        </w:tc>
        <w:tc>
          <w:tcPr>
            <w:tcW w:w="1917" w:type="dxa"/>
            <w:tcBorders>
              <w:top w:val="nil"/>
              <w:left w:val="nil"/>
              <w:bottom w:val="nil"/>
              <w:right w:val="nil"/>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-2</w:t>
            </w:r>
          </w:p>
        </w:tc>
        <w:tc>
          <w:tcPr>
            <w:tcW w:w="1705" w:type="dxa"/>
            <w:tcBorders>
              <w:top w:val="nil"/>
              <w:left w:val="nil"/>
              <w:bottom w:val="nil"/>
              <w:right w:val="nil"/>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33</w:t>
            </w:r>
          </w:p>
        </w:tc>
        <w:tc>
          <w:tcPr>
            <w:tcW w:w="921" w:type="dxa"/>
            <w:tcBorders>
              <w:top w:val="nil"/>
              <w:left w:val="nil"/>
              <w:bottom w:val="nil"/>
              <w:right w:val="single" w:sz="8" w:space="0" w:color="auto"/>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56</w:t>
            </w:r>
          </w:p>
        </w:tc>
        <w:tc>
          <w:tcPr>
            <w:tcW w:w="222" w:type="dxa"/>
            <w:tcBorders>
              <w:top w:val="nil"/>
              <w:left w:val="nil"/>
              <w:bottom w:val="nil"/>
              <w:right w:val="nil"/>
            </w:tcBorders>
            <w:shd w:val="clear" w:color="auto" w:fill="auto"/>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rsidR="001641B5" w:rsidRPr="00797A20" w:rsidRDefault="001641B5" w:rsidP="001641B5">
            <w:pPr>
              <w:spacing w:after="0" w:line="240" w:lineRule="auto"/>
              <w:rPr>
                <w:rFonts w:ascii="Times New Roman" w:eastAsia="Times New Roman" w:hAnsi="Times New Roman" w:cs="Times New Roman"/>
                <w:sz w:val="20"/>
                <w:szCs w:val="20"/>
                <w:lang w:eastAsia="en-GB"/>
              </w:rPr>
            </w:pPr>
          </w:p>
        </w:tc>
      </w:tr>
      <w:tr w:rsidR="001641B5" w:rsidRPr="00797A20" w:rsidTr="00847676">
        <w:trPr>
          <w:trHeight w:val="276"/>
        </w:trPr>
        <w:tc>
          <w:tcPr>
            <w:tcW w:w="1898" w:type="dxa"/>
            <w:tcBorders>
              <w:top w:val="single" w:sz="4" w:space="0" w:color="auto"/>
              <w:left w:val="single" w:sz="8" w:space="0" w:color="auto"/>
              <w:bottom w:val="single" w:sz="8" w:space="0" w:color="auto"/>
              <w:right w:val="nil"/>
            </w:tcBorders>
            <w:shd w:val="clear" w:color="000000" w:fill="DDEBF7"/>
            <w:noWrap/>
            <w:vAlign w:val="bottom"/>
            <w:hideMark/>
          </w:tcPr>
          <w:p w:rsidR="001641B5" w:rsidRPr="00797A20" w:rsidRDefault="001641B5" w:rsidP="001641B5">
            <w:pPr>
              <w:spacing w:after="0" w:line="240" w:lineRule="auto"/>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Average</w:t>
            </w:r>
          </w:p>
        </w:tc>
        <w:tc>
          <w:tcPr>
            <w:tcW w:w="1421" w:type="dxa"/>
            <w:tcBorders>
              <w:top w:val="single" w:sz="4" w:space="0" w:color="auto"/>
              <w:left w:val="nil"/>
              <w:bottom w:val="single" w:sz="8" w:space="0" w:color="auto"/>
              <w:right w:val="nil"/>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-16</w:t>
            </w:r>
          </w:p>
        </w:tc>
        <w:tc>
          <w:tcPr>
            <w:tcW w:w="1917" w:type="dxa"/>
            <w:tcBorders>
              <w:top w:val="single" w:sz="4" w:space="0" w:color="auto"/>
              <w:left w:val="nil"/>
              <w:bottom w:val="single" w:sz="8" w:space="0" w:color="auto"/>
              <w:right w:val="nil"/>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1</w:t>
            </w:r>
          </w:p>
        </w:tc>
        <w:tc>
          <w:tcPr>
            <w:tcW w:w="1705" w:type="dxa"/>
            <w:tcBorders>
              <w:top w:val="single" w:sz="4" w:space="0" w:color="auto"/>
              <w:left w:val="nil"/>
              <w:bottom w:val="single" w:sz="8" w:space="0" w:color="auto"/>
              <w:right w:val="nil"/>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-3</w:t>
            </w:r>
          </w:p>
        </w:tc>
        <w:tc>
          <w:tcPr>
            <w:tcW w:w="921" w:type="dxa"/>
            <w:tcBorders>
              <w:top w:val="single" w:sz="4" w:space="0" w:color="auto"/>
              <w:left w:val="nil"/>
              <w:bottom w:val="single" w:sz="8" w:space="0" w:color="auto"/>
              <w:right w:val="single" w:sz="8" w:space="0" w:color="auto"/>
            </w:tcBorders>
            <w:shd w:val="clear" w:color="000000" w:fill="DDEBF7"/>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21</w:t>
            </w:r>
          </w:p>
        </w:tc>
        <w:tc>
          <w:tcPr>
            <w:tcW w:w="222" w:type="dxa"/>
            <w:tcBorders>
              <w:top w:val="nil"/>
              <w:left w:val="nil"/>
              <w:bottom w:val="nil"/>
              <w:right w:val="nil"/>
            </w:tcBorders>
            <w:shd w:val="clear" w:color="auto" w:fill="auto"/>
            <w:noWrap/>
            <w:vAlign w:val="bottom"/>
            <w:hideMark/>
          </w:tcPr>
          <w:p w:rsidR="001641B5" w:rsidRPr="00797A20" w:rsidRDefault="001641B5" w:rsidP="001641B5">
            <w:pPr>
              <w:spacing w:after="0" w:line="240" w:lineRule="auto"/>
              <w:jc w:val="center"/>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rsidR="001641B5" w:rsidRPr="00797A20" w:rsidRDefault="001641B5" w:rsidP="001641B5">
            <w:pPr>
              <w:spacing w:after="0" w:line="240" w:lineRule="auto"/>
              <w:rPr>
                <w:rFonts w:ascii="Times New Roman" w:eastAsia="Times New Roman" w:hAnsi="Times New Roman" w:cs="Times New Roman"/>
                <w:sz w:val="20"/>
                <w:szCs w:val="20"/>
                <w:lang w:eastAsia="en-GB"/>
              </w:rPr>
            </w:pPr>
          </w:p>
        </w:tc>
      </w:tr>
      <w:tr w:rsidR="001641B5" w:rsidRPr="00797A20" w:rsidTr="00847676">
        <w:trPr>
          <w:trHeight w:val="264"/>
        </w:trPr>
        <w:tc>
          <w:tcPr>
            <w:tcW w:w="6941" w:type="dxa"/>
            <w:gridSpan w:val="4"/>
            <w:tcBorders>
              <w:top w:val="nil"/>
              <w:left w:val="nil"/>
              <w:bottom w:val="nil"/>
              <w:right w:val="nil"/>
            </w:tcBorders>
            <w:shd w:val="clear" w:color="auto" w:fill="auto"/>
            <w:noWrap/>
            <w:vAlign w:val="bottom"/>
            <w:hideMark/>
          </w:tcPr>
          <w:p w:rsidR="001641B5" w:rsidRPr="00797A20" w:rsidRDefault="001641B5" w:rsidP="001641B5">
            <w:pPr>
              <w:spacing w:after="0" w:line="240" w:lineRule="auto"/>
              <w:rPr>
                <w:rFonts w:ascii="Times New Roman" w:eastAsia="Times New Roman" w:hAnsi="Times New Roman" w:cs="Times New Roman"/>
                <w:sz w:val="20"/>
                <w:szCs w:val="20"/>
                <w:lang w:eastAsia="en-GB"/>
              </w:rPr>
            </w:pPr>
            <w:r w:rsidRPr="00797A20">
              <w:rPr>
                <w:rFonts w:ascii="Times New Roman" w:eastAsia="Times New Roman" w:hAnsi="Times New Roman" w:cs="Times New Roman"/>
                <w:sz w:val="20"/>
                <w:szCs w:val="20"/>
                <w:lang w:eastAsia="en-GB"/>
              </w:rPr>
              <w:t>Source: Computed from Evans et al, 2020</w:t>
            </w:r>
          </w:p>
        </w:tc>
        <w:tc>
          <w:tcPr>
            <w:tcW w:w="921" w:type="dxa"/>
            <w:tcBorders>
              <w:top w:val="nil"/>
              <w:left w:val="nil"/>
              <w:bottom w:val="nil"/>
              <w:right w:val="nil"/>
            </w:tcBorders>
            <w:shd w:val="clear" w:color="auto" w:fill="auto"/>
            <w:noWrap/>
            <w:vAlign w:val="bottom"/>
            <w:hideMark/>
          </w:tcPr>
          <w:p w:rsidR="001641B5" w:rsidRPr="00797A20" w:rsidRDefault="001641B5" w:rsidP="001641B5">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rsidR="001641B5" w:rsidRPr="00797A20" w:rsidRDefault="001641B5" w:rsidP="001641B5">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rsidR="001641B5" w:rsidRPr="00797A20" w:rsidRDefault="001641B5" w:rsidP="001641B5">
            <w:pPr>
              <w:spacing w:after="0" w:line="240" w:lineRule="auto"/>
              <w:rPr>
                <w:rFonts w:ascii="Times New Roman" w:eastAsia="Times New Roman" w:hAnsi="Times New Roman" w:cs="Times New Roman"/>
                <w:sz w:val="20"/>
                <w:szCs w:val="20"/>
                <w:lang w:eastAsia="en-GB"/>
              </w:rPr>
            </w:pPr>
          </w:p>
        </w:tc>
      </w:tr>
    </w:tbl>
    <w:p w:rsidR="00D50C81" w:rsidRDefault="00D50C81" w:rsidP="00B461C6">
      <w:pPr>
        <w:jc w:val="both"/>
        <w:rPr>
          <w:rFonts w:ascii="Times New Roman" w:hAnsi="Times New Roman" w:cs="Times New Roman"/>
          <w:sz w:val="28"/>
          <w:szCs w:val="28"/>
        </w:rPr>
      </w:pPr>
    </w:p>
    <w:p w:rsidR="00EE2216" w:rsidRDefault="001D2995" w:rsidP="00B461C6">
      <w:pPr>
        <w:jc w:val="both"/>
        <w:rPr>
          <w:rFonts w:ascii="Times New Roman" w:hAnsi="Times New Roman" w:cs="Times New Roman"/>
          <w:sz w:val="28"/>
          <w:szCs w:val="28"/>
        </w:rPr>
      </w:pPr>
      <w:r>
        <w:rPr>
          <w:rFonts w:ascii="Times New Roman" w:hAnsi="Times New Roman" w:cs="Times New Roman"/>
          <w:sz w:val="28"/>
          <w:szCs w:val="28"/>
        </w:rPr>
        <w:lastRenderedPageBreak/>
        <w:t>Finally</w:t>
      </w:r>
      <w:r w:rsidR="00F41D46">
        <w:rPr>
          <w:rFonts w:ascii="Times New Roman" w:hAnsi="Times New Roman" w:cs="Times New Roman"/>
          <w:sz w:val="28"/>
          <w:szCs w:val="28"/>
        </w:rPr>
        <w:t>, other evide</w:t>
      </w:r>
      <w:r w:rsidR="00160BFE">
        <w:rPr>
          <w:rFonts w:ascii="Times New Roman" w:hAnsi="Times New Roman" w:cs="Times New Roman"/>
          <w:sz w:val="28"/>
          <w:szCs w:val="28"/>
        </w:rPr>
        <w:t>nce presented in the paper</w:t>
      </w:r>
      <w:r w:rsidR="00D87C2D">
        <w:rPr>
          <w:rFonts w:ascii="Times New Roman" w:hAnsi="Times New Roman" w:cs="Times New Roman"/>
          <w:sz w:val="28"/>
          <w:szCs w:val="28"/>
        </w:rPr>
        <w:t xml:space="preserve"> is inconsistent with </w:t>
      </w:r>
      <w:r w:rsidR="00160BFE">
        <w:rPr>
          <w:rFonts w:ascii="Times New Roman" w:hAnsi="Times New Roman" w:cs="Times New Roman"/>
          <w:sz w:val="28"/>
          <w:szCs w:val="28"/>
        </w:rPr>
        <w:t xml:space="preserve">its conclusion that </w:t>
      </w:r>
      <w:r w:rsidR="00D87C2D">
        <w:rPr>
          <w:rFonts w:ascii="Times New Roman" w:hAnsi="Times New Roman" w:cs="Times New Roman"/>
          <w:sz w:val="28"/>
          <w:szCs w:val="28"/>
        </w:rPr>
        <w:t xml:space="preserve">teachers in </w:t>
      </w:r>
      <w:r w:rsidR="00160BFE">
        <w:rPr>
          <w:rFonts w:ascii="Times New Roman" w:hAnsi="Times New Roman" w:cs="Times New Roman"/>
          <w:sz w:val="28"/>
          <w:szCs w:val="28"/>
        </w:rPr>
        <w:t xml:space="preserve">SSA </w:t>
      </w:r>
      <w:r w:rsidR="0055042E">
        <w:rPr>
          <w:rFonts w:ascii="Times New Roman" w:hAnsi="Times New Roman" w:cs="Times New Roman"/>
          <w:sz w:val="28"/>
          <w:szCs w:val="28"/>
        </w:rPr>
        <w:t xml:space="preserve">have </w:t>
      </w:r>
      <w:r w:rsidR="00D87C2D">
        <w:rPr>
          <w:rFonts w:ascii="Times New Roman" w:hAnsi="Times New Roman" w:cs="Times New Roman"/>
          <w:sz w:val="28"/>
          <w:szCs w:val="28"/>
        </w:rPr>
        <w:t xml:space="preserve">relatively high </w:t>
      </w:r>
      <w:r w:rsidR="0055042E">
        <w:rPr>
          <w:rFonts w:ascii="Times New Roman" w:hAnsi="Times New Roman" w:cs="Times New Roman"/>
          <w:sz w:val="28"/>
          <w:szCs w:val="28"/>
        </w:rPr>
        <w:t>incomes</w:t>
      </w:r>
      <w:r w:rsidR="00D87C2D">
        <w:rPr>
          <w:rFonts w:ascii="Times New Roman" w:hAnsi="Times New Roman" w:cs="Times New Roman"/>
          <w:sz w:val="28"/>
          <w:szCs w:val="28"/>
        </w:rPr>
        <w:t>. In particular, t</w:t>
      </w:r>
      <w:r w:rsidR="006C0C3F">
        <w:rPr>
          <w:rFonts w:ascii="Times New Roman" w:hAnsi="Times New Roman" w:cs="Times New Roman"/>
          <w:sz w:val="28"/>
          <w:szCs w:val="28"/>
        </w:rPr>
        <w:t xml:space="preserve">he </w:t>
      </w:r>
      <w:r w:rsidR="00D87C2D">
        <w:rPr>
          <w:rFonts w:ascii="Times New Roman" w:hAnsi="Times New Roman" w:cs="Times New Roman"/>
          <w:sz w:val="28"/>
          <w:szCs w:val="28"/>
        </w:rPr>
        <w:t>report</w:t>
      </w:r>
      <w:r>
        <w:rPr>
          <w:rFonts w:ascii="Times New Roman" w:hAnsi="Times New Roman" w:cs="Times New Roman"/>
          <w:sz w:val="28"/>
          <w:szCs w:val="28"/>
        </w:rPr>
        <w:t xml:space="preserve">ed </w:t>
      </w:r>
      <w:r w:rsidR="006C0C3F">
        <w:rPr>
          <w:rFonts w:ascii="Times New Roman" w:hAnsi="Times New Roman" w:cs="Times New Roman"/>
          <w:sz w:val="28"/>
          <w:szCs w:val="28"/>
        </w:rPr>
        <w:t>incidence of secondary employment among teachers</w:t>
      </w:r>
      <w:r w:rsidR="00D87C2D">
        <w:rPr>
          <w:rFonts w:ascii="Times New Roman" w:hAnsi="Times New Roman" w:cs="Times New Roman"/>
          <w:sz w:val="28"/>
          <w:szCs w:val="28"/>
        </w:rPr>
        <w:t xml:space="preserve"> is much higher than ‘other workers’(</w:t>
      </w:r>
      <w:r w:rsidR="006C0C3F">
        <w:rPr>
          <w:rFonts w:ascii="Times New Roman" w:hAnsi="Times New Roman" w:cs="Times New Roman"/>
          <w:sz w:val="28"/>
          <w:szCs w:val="28"/>
        </w:rPr>
        <w:t>espec</w:t>
      </w:r>
      <w:r w:rsidR="00D50C81">
        <w:rPr>
          <w:rFonts w:ascii="Times New Roman" w:hAnsi="Times New Roman" w:cs="Times New Roman"/>
          <w:sz w:val="28"/>
          <w:szCs w:val="28"/>
        </w:rPr>
        <w:t xml:space="preserve">ially in countries such as DRC and </w:t>
      </w:r>
      <w:r w:rsidR="006C0C3F">
        <w:rPr>
          <w:rFonts w:ascii="Times New Roman" w:hAnsi="Times New Roman" w:cs="Times New Roman"/>
          <w:sz w:val="28"/>
          <w:szCs w:val="28"/>
        </w:rPr>
        <w:t>Uganda</w:t>
      </w:r>
      <w:r w:rsidR="00D50C81">
        <w:rPr>
          <w:rFonts w:ascii="Times New Roman" w:hAnsi="Times New Roman" w:cs="Times New Roman"/>
          <w:sz w:val="28"/>
          <w:szCs w:val="28"/>
        </w:rPr>
        <w:t xml:space="preserve"> </w:t>
      </w:r>
      <w:r w:rsidR="006C0C3F">
        <w:rPr>
          <w:rFonts w:ascii="Times New Roman" w:hAnsi="Times New Roman" w:cs="Times New Roman"/>
          <w:sz w:val="28"/>
          <w:szCs w:val="28"/>
        </w:rPr>
        <w:t>where teacher pay is particularly low in absolute terms</w:t>
      </w:r>
      <w:r w:rsidR="00D87C2D">
        <w:rPr>
          <w:rFonts w:ascii="Times New Roman" w:hAnsi="Times New Roman" w:cs="Times New Roman"/>
          <w:sz w:val="28"/>
          <w:szCs w:val="28"/>
        </w:rPr>
        <w:t xml:space="preserve">) which </w:t>
      </w:r>
      <w:r w:rsidR="006C0C3F">
        <w:rPr>
          <w:rFonts w:ascii="Times New Roman" w:hAnsi="Times New Roman" w:cs="Times New Roman"/>
          <w:sz w:val="28"/>
          <w:szCs w:val="28"/>
        </w:rPr>
        <w:t xml:space="preserve">suggests that teachers </w:t>
      </w:r>
      <w:r w:rsidR="00160BFE">
        <w:rPr>
          <w:rFonts w:ascii="Times New Roman" w:hAnsi="Times New Roman" w:cs="Times New Roman"/>
          <w:sz w:val="28"/>
          <w:szCs w:val="28"/>
        </w:rPr>
        <w:t>may</w:t>
      </w:r>
      <w:r w:rsidR="00D87C2D">
        <w:rPr>
          <w:rFonts w:ascii="Times New Roman" w:hAnsi="Times New Roman" w:cs="Times New Roman"/>
          <w:sz w:val="28"/>
          <w:szCs w:val="28"/>
        </w:rPr>
        <w:t>be</w:t>
      </w:r>
      <w:r w:rsidR="006C0C3F">
        <w:rPr>
          <w:rFonts w:ascii="Times New Roman" w:hAnsi="Times New Roman" w:cs="Times New Roman"/>
          <w:sz w:val="28"/>
          <w:szCs w:val="28"/>
        </w:rPr>
        <w:t xml:space="preserve"> relatively less well paid than other equivalent occupations.</w:t>
      </w:r>
      <w:r w:rsidR="0063100D">
        <w:rPr>
          <w:rFonts w:ascii="Times New Roman" w:hAnsi="Times New Roman" w:cs="Times New Roman"/>
          <w:sz w:val="28"/>
          <w:szCs w:val="28"/>
        </w:rPr>
        <w:t xml:space="preserve"> More generally, </w:t>
      </w:r>
      <w:r w:rsidR="00160BFE">
        <w:rPr>
          <w:rFonts w:ascii="Times New Roman" w:hAnsi="Times New Roman" w:cs="Times New Roman"/>
          <w:sz w:val="28"/>
          <w:szCs w:val="28"/>
        </w:rPr>
        <w:t xml:space="preserve">the paper </w:t>
      </w:r>
      <w:r w:rsidR="0063100D">
        <w:rPr>
          <w:rFonts w:ascii="Times New Roman" w:hAnsi="Times New Roman" w:cs="Times New Roman"/>
          <w:sz w:val="28"/>
          <w:szCs w:val="28"/>
        </w:rPr>
        <w:t xml:space="preserve">does </w:t>
      </w:r>
      <w:r w:rsidR="00160BFE">
        <w:rPr>
          <w:rFonts w:ascii="Times New Roman" w:hAnsi="Times New Roman" w:cs="Times New Roman"/>
          <w:sz w:val="28"/>
          <w:szCs w:val="28"/>
        </w:rPr>
        <w:t xml:space="preserve">not </w:t>
      </w:r>
      <w:r w:rsidR="0063100D">
        <w:rPr>
          <w:rFonts w:ascii="Times New Roman" w:hAnsi="Times New Roman" w:cs="Times New Roman"/>
          <w:sz w:val="28"/>
          <w:szCs w:val="28"/>
        </w:rPr>
        <w:t xml:space="preserve">acknowledge other </w:t>
      </w:r>
      <w:r w:rsidR="00160BFE">
        <w:rPr>
          <w:rFonts w:ascii="Times New Roman" w:hAnsi="Times New Roman" w:cs="Times New Roman"/>
          <w:sz w:val="28"/>
          <w:szCs w:val="28"/>
        </w:rPr>
        <w:t xml:space="preserve">survey </w:t>
      </w:r>
      <w:r w:rsidR="0063100D">
        <w:rPr>
          <w:rFonts w:ascii="Times New Roman" w:hAnsi="Times New Roman" w:cs="Times New Roman"/>
          <w:sz w:val="28"/>
          <w:szCs w:val="28"/>
        </w:rPr>
        <w:t xml:space="preserve">evidence which indicate low levels of job satisfaction among sizeable proportions of teachers, </w:t>
      </w:r>
      <w:r w:rsidR="003A4E03">
        <w:rPr>
          <w:rFonts w:ascii="Times New Roman" w:hAnsi="Times New Roman" w:cs="Times New Roman"/>
          <w:sz w:val="28"/>
          <w:szCs w:val="28"/>
        </w:rPr>
        <w:t>with teaching being widely regarded as ‘e</w:t>
      </w:r>
      <w:r w:rsidR="00EE2216">
        <w:rPr>
          <w:rFonts w:ascii="Times New Roman" w:hAnsi="Times New Roman" w:cs="Times New Roman"/>
          <w:sz w:val="28"/>
          <w:szCs w:val="28"/>
        </w:rPr>
        <w:t>mployment of the last resort</w:t>
      </w:r>
      <w:r w:rsidR="00160BFE">
        <w:rPr>
          <w:rFonts w:ascii="Times New Roman" w:hAnsi="Times New Roman" w:cs="Times New Roman"/>
          <w:sz w:val="28"/>
          <w:szCs w:val="28"/>
        </w:rPr>
        <w:t xml:space="preserve">’ (see, for example, </w:t>
      </w:r>
      <w:r w:rsidR="008A065F">
        <w:rPr>
          <w:rFonts w:ascii="Times New Roman" w:hAnsi="Times New Roman" w:cs="Times New Roman"/>
          <w:sz w:val="28"/>
          <w:szCs w:val="28"/>
        </w:rPr>
        <w:t>Author</w:t>
      </w:r>
      <w:r w:rsidR="00160BFE">
        <w:rPr>
          <w:rFonts w:ascii="Times New Roman" w:hAnsi="Times New Roman" w:cs="Times New Roman"/>
          <w:sz w:val="28"/>
          <w:szCs w:val="28"/>
        </w:rPr>
        <w:t>).</w:t>
      </w:r>
      <w:r w:rsidR="003A4E03">
        <w:rPr>
          <w:rFonts w:ascii="Times New Roman" w:hAnsi="Times New Roman" w:cs="Times New Roman"/>
          <w:sz w:val="28"/>
          <w:szCs w:val="28"/>
        </w:rPr>
        <w:t xml:space="preserve"> High levels of dissatisfaction </w:t>
      </w:r>
      <w:r w:rsidR="00160BFE">
        <w:rPr>
          <w:rFonts w:ascii="Times New Roman" w:hAnsi="Times New Roman" w:cs="Times New Roman"/>
          <w:sz w:val="28"/>
          <w:szCs w:val="28"/>
        </w:rPr>
        <w:t xml:space="preserve">are </w:t>
      </w:r>
      <w:r w:rsidR="00A76B8F">
        <w:rPr>
          <w:rFonts w:ascii="Times New Roman" w:hAnsi="Times New Roman" w:cs="Times New Roman"/>
          <w:sz w:val="28"/>
          <w:szCs w:val="28"/>
        </w:rPr>
        <w:t xml:space="preserve">also </w:t>
      </w:r>
      <w:r w:rsidR="003A4E03">
        <w:rPr>
          <w:rFonts w:ascii="Times New Roman" w:hAnsi="Times New Roman" w:cs="Times New Roman"/>
          <w:sz w:val="28"/>
          <w:szCs w:val="28"/>
        </w:rPr>
        <w:t xml:space="preserve">reflected in frequent and often protracted teacher strikes, in particular in </w:t>
      </w:r>
      <w:r w:rsidR="00EE2216">
        <w:rPr>
          <w:rFonts w:ascii="Times New Roman" w:hAnsi="Times New Roman" w:cs="Times New Roman"/>
          <w:sz w:val="28"/>
          <w:szCs w:val="28"/>
        </w:rPr>
        <w:t>F</w:t>
      </w:r>
      <w:r w:rsidR="003A4E03">
        <w:rPr>
          <w:rFonts w:ascii="Times New Roman" w:hAnsi="Times New Roman" w:cs="Times New Roman"/>
          <w:sz w:val="28"/>
          <w:szCs w:val="28"/>
        </w:rPr>
        <w:t xml:space="preserve">rancophone West Africa </w:t>
      </w:r>
      <w:r w:rsidR="00EE2216">
        <w:rPr>
          <w:rFonts w:ascii="Times New Roman" w:hAnsi="Times New Roman" w:cs="Times New Roman"/>
          <w:sz w:val="28"/>
          <w:szCs w:val="28"/>
        </w:rPr>
        <w:t xml:space="preserve">where teachers are widely regarded as being </w:t>
      </w:r>
      <w:r w:rsidR="003A4E03">
        <w:rPr>
          <w:rFonts w:ascii="Times New Roman" w:hAnsi="Times New Roman" w:cs="Times New Roman"/>
          <w:sz w:val="28"/>
          <w:szCs w:val="28"/>
        </w:rPr>
        <w:t>relatively well p</w:t>
      </w:r>
      <w:r w:rsidR="00EE2216">
        <w:rPr>
          <w:rFonts w:ascii="Times New Roman" w:hAnsi="Times New Roman" w:cs="Times New Roman"/>
          <w:sz w:val="28"/>
          <w:szCs w:val="28"/>
        </w:rPr>
        <w:t>aid.</w:t>
      </w:r>
      <w:r w:rsidR="003A4E03">
        <w:rPr>
          <w:rFonts w:ascii="Times New Roman" w:hAnsi="Times New Roman" w:cs="Times New Roman"/>
          <w:sz w:val="28"/>
          <w:szCs w:val="28"/>
        </w:rPr>
        <w:t xml:space="preserve"> The high level</w:t>
      </w:r>
      <w:r w:rsidR="00160BFE">
        <w:rPr>
          <w:rFonts w:ascii="Times New Roman" w:hAnsi="Times New Roman" w:cs="Times New Roman"/>
          <w:sz w:val="28"/>
          <w:szCs w:val="28"/>
        </w:rPr>
        <w:t>s</w:t>
      </w:r>
      <w:r w:rsidR="003A4E03">
        <w:rPr>
          <w:rFonts w:ascii="Times New Roman" w:hAnsi="Times New Roman" w:cs="Times New Roman"/>
          <w:sz w:val="28"/>
          <w:szCs w:val="28"/>
        </w:rPr>
        <w:t xml:space="preserve"> of industrial strife </w:t>
      </w:r>
      <w:r w:rsidR="00160BFE">
        <w:rPr>
          <w:rFonts w:ascii="Times New Roman" w:hAnsi="Times New Roman" w:cs="Times New Roman"/>
          <w:sz w:val="28"/>
          <w:szCs w:val="28"/>
        </w:rPr>
        <w:t xml:space="preserve">between teachers and governments </w:t>
      </w:r>
      <w:r w:rsidR="003A4E03">
        <w:rPr>
          <w:rFonts w:ascii="Times New Roman" w:hAnsi="Times New Roman" w:cs="Times New Roman"/>
          <w:sz w:val="28"/>
          <w:szCs w:val="28"/>
        </w:rPr>
        <w:t xml:space="preserve">in many countries is a major, although largely unrecognised, contributory factor to the learning crisis facing the continent. </w:t>
      </w:r>
    </w:p>
    <w:p w:rsidR="001405A0" w:rsidRDefault="00797A20" w:rsidP="001405A0">
      <w:pPr>
        <w:jc w:val="both"/>
        <w:rPr>
          <w:rFonts w:ascii="Times New Roman" w:hAnsi="Times New Roman" w:cs="Times New Roman"/>
          <w:i/>
          <w:sz w:val="28"/>
          <w:szCs w:val="28"/>
        </w:rPr>
      </w:pPr>
      <w:r>
        <w:rPr>
          <w:rFonts w:ascii="Times New Roman" w:hAnsi="Times New Roman" w:cs="Times New Roman"/>
          <w:i/>
          <w:sz w:val="28"/>
          <w:szCs w:val="28"/>
        </w:rPr>
        <w:t xml:space="preserve">4.2 </w:t>
      </w:r>
      <w:r w:rsidR="001405A0" w:rsidRPr="001405A0">
        <w:rPr>
          <w:rFonts w:ascii="Times New Roman" w:hAnsi="Times New Roman" w:cs="Times New Roman"/>
          <w:i/>
          <w:sz w:val="28"/>
          <w:szCs w:val="28"/>
        </w:rPr>
        <w:t>Teacher wage premia</w:t>
      </w:r>
    </w:p>
    <w:p w:rsidR="008855A7" w:rsidRDefault="00A76B8F" w:rsidP="001405A0">
      <w:pPr>
        <w:jc w:val="both"/>
        <w:rPr>
          <w:rFonts w:ascii="Times New Roman" w:hAnsi="Times New Roman" w:cs="Times New Roman"/>
          <w:sz w:val="28"/>
          <w:szCs w:val="28"/>
        </w:rPr>
      </w:pPr>
      <w:r>
        <w:rPr>
          <w:rFonts w:ascii="Times New Roman" w:hAnsi="Times New Roman" w:cs="Times New Roman"/>
          <w:sz w:val="28"/>
          <w:szCs w:val="28"/>
        </w:rPr>
        <w:t xml:space="preserve">The </w:t>
      </w:r>
      <w:r w:rsidR="00381895">
        <w:rPr>
          <w:rFonts w:ascii="Times New Roman" w:hAnsi="Times New Roman" w:cs="Times New Roman"/>
          <w:sz w:val="28"/>
          <w:szCs w:val="28"/>
        </w:rPr>
        <w:t xml:space="preserve">2017 </w:t>
      </w:r>
      <w:r>
        <w:rPr>
          <w:rFonts w:ascii="Times New Roman" w:hAnsi="Times New Roman" w:cs="Times New Roman"/>
          <w:sz w:val="28"/>
          <w:szCs w:val="28"/>
        </w:rPr>
        <w:t xml:space="preserve">article by </w:t>
      </w:r>
      <w:r w:rsidR="008855A7" w:rsidRPr="008855A7">
        <w:rPr>
          <w:rFonts w:ascii="Times New Roman" w:hAnsi="Times New Roman" w:cs="Times New Roman"/>
          <w:sz w:val="28"/>
          <w:szCs w:val="28"/>
        </w:rPr>
        <w:t>Barton</w:t>
      </w:r>
      <w:r>
        <w:rPr>
          <w:rFonts w:ascii="Times New Roman" w:hAnsi="Times New Roman" w:cs="Times New Roman"/>
          <w:sz w:val="28"/>
          <w:szCs w:val="28"/>
        </w:rPr>
        <w:t xml:space="preserve">, Bold and Sandefur </w:t>
      </w:r>
      <w:r w:rsidR="008855A7" w:rsidRPr="008855A7">
        <w:rPr>
          <w:rFonts w:ascii="Times New Roman" w:hAnsi="Times New Roman" w:cs="Times New Roman"/>
          <w:sz w:val="28"/>
          <w:szCs w:val="28"/>
        </w:rPr>
        <w:t>analyse</w:t>
      </w:r>
      <w:r>
        <w:rPr>
          <w:rFonts w:ascii="Times New Roman" w:hAnsi="Times New Roman" w:cs="Times New Roman"/>
          <w:sz w:val="28"/>
          <w:szCs w:val="28"/>
        </w:rPr>
        <w:t>s</w:t>
      </w:r>
      <w:r w:rsidR="008855A7" w:rsidRPr="008855A7">
        <w:rPr>
          <w:rFonts w:ascii="Times New Roman" w:hAnsi="Times New Roman" w:cs="Times New Roman"/>
          <w:sz w:val="28"/>
          <w:szCs w:val="28"/>
        </w:rPr>
        <w:t xml:space="preserve"> income differentials among newly recruited teachers to government </w:t>
      </w:r>
      <w:r w:rsidR="008855A7">
        <w:rPr>
          <w:rFonts w:ascii="Times New Roman" w:hAnsi="Times New Roman" w:cs="Times New Roman"/>
          <w:sz w:val="28"/>
          <w:szCs w:val="28"/>
        </w:rPr>
        <w:t xml:space="preserve">primary </w:t>
      </w:r>
      <w:r w:rsidR="008855A7" w:rsidRPr="008855A7">
        <w:rPr>
          <w:rFonts w:ascii="Times New Roman" w:hAnsi="Times New Roman" w:cs="Times New Roman"/>
          <w:sz w:val="28"/>
          <w:szCs w:val="28"/>
        </w:rPr>
        <w:t>schools in Kenya between 201</w:t>
      </w:r>
      <w:r w:rsidR="008855A7">
        <w:rPr>
          <w:rFonts w:ascii="Times New Roman" w:hAnsi="Times New Roman" w:cs="Times New Roman"/>
          <w:sz w:val="28"/>
          <w:szCs w:val="28"/>
        </w:rPr>
        <w:t>0</w:t>
      </w:r>
      <w:r>
        <w:rPr>
          <w:rFonts w:ascii="Times New Roman" w:hAnsi="Times New Roman" w:cs="Times New Roman"/>
          <w:sz w:val="28"/>
          <w:szCs w:val="28"/>
        </w:rPr>
        <w:t xml:space="preserve"> and 2012. T</w:t>
      </w:r>
      <w:r w:rsidR="008855A7" w:rsidRPr="008855A7">
        <w:rPr>
          <w:rFonts w:ascii="Times New Roman" w:hAnsi="Times New Roman" w:cs="Times New Roman"/>
          <w:sz w:val="28"/>
          <w:szCs w:val="28"/>
        </w:rPr>
        <w:t xml:space="preserve">his </w:t>
      </w:r>
      <w:r>
        <w:rPr>
          <w:rFonts w:ascii="Times New Roman" w:hAnsi="Times New Roman" w:cs="Times New Roman"/>
          <w:sz w:val="28"/>
          <w:szCs w:val="28"/>
        </w:rPr>
        <w:t xml:space="preserve">is done </w:t>
      </w:r>
      <w:r w:rsidR="008855A7" w:rsidRPr="008855A7">
        <w:rPr>
          <w:rFonts w:ascii="Times New Roman" w:hAnsi="Times New Roman" w:cs="Times New Roman"/>
          <w:sz w:val="28"/>
          <w:szCs w:val="28"/>
        </w:rPr>
        <w:t>by comparing the incomes of successful applicants who, on the basis of a number of criteria, were ranked above t</w:t>
      </w:r>
      <w:r w:rsidR="008855A7">
        <w:rPr>
          <w:rFonts w:ascii="Times New Roman" w:hAnsi="Times New Roman" w:cs="Times New Roman"/>
          <w:sz w:val="28"/>
          <w:szCs w:val="28"/>
        </w:rPr>
        <w:t>he recruitment cut-</w:t>
      </w:r>
      <w:r w:rsidR="008855A7" w:rsidRPr="008855A7">
        <w:rPr>
          <w:rFonts w:ascii="Times New Roman" w:hAnsi="Times New Roman" w:cs="Times New Roman"/>
          <w:sz w:val="28"/>
          <w:szCs w:val="28"/>
        </w:rPr>
        <w:t xml:space="preserve">off point and unsuccessful applicants who were </w:t>
      </w:r>
      <w:r>
        <w:rPr>
          <w:rFonts w:ascii="Times New Roman" w:hAnsi="Times New Roman" w:cs="Times New Roman"/>
          <w:sz w:val="28"/>
          <w:szCs w:val="28"/>
        </w:rPr>
        <w:t>just below this cut-</w:t>
      </w:r>
      <w:r w:rsidR="008855A7" w:rsidRPr="008855A7">
        <w:rPr>
          <w:rFonts w:ascii="Times New Roman" w:hAnsi="Times New Roman" w:cs="Times New Roman"/>
          <w:sz w:val="28"/>
          <w:szCs w:val="28"/>
        </w:rPr>
        <w:t xml:space="preserve">point. </w:t>
      </w:r>
      <w:r w:rsidR="008855A7">
        <w:rPr>
          <w:rFonts w:ascii="Times New Roman" w:hAnsi="Times New Roman" w:cs="Times New Roman"/>
          <w:sz w:val="28"/>
          <w:szCs w:val="28"/>
        </w:rPr>
        <w:t>The basic proposition is that ‘comparing people just above and below the hiring cut-off point in a given year gives us a clean measure of the salary jump from (sic) public employment</w:t>
      </w:r>
      <w:r w:rsidR="0049797A">
        <w:rPr>
          <w:rFonts w:ascii="Times New Roman" w:hAnsi="Times New Roman" w:cs="Times New Roman"/>
          <w:sz w:val="28"/>
          <w:szCs w:val="28"/>
        </w:rPr>
        <w:t>’</w:t>
      </w:r>
      <w:r w:rsidR="008855A7">
        <w:rPr>
          <w:rFonts w:ascii="Times New Roman" w:hAnsi="Times New Roman" w:cs="Times New Roman"/>
          <w:sz w:val="28"/>
          <w:szCs w:val="28"/>
        </w:rPr>
        <w:t>. They conclude that</w:t>
      </w:r>
      <w:r w:rsidR="00381895">
        <w:rPr>
          <w:rFonts w:ascii="Times New Roman" w:hAnsi="Times New Roman" w:cs="Times New Roman"/>
          <w:sz w:val="28"/>
          <w:szCs w:val="28"/>
        </w:rPr>
        <w:t xml:space="preserve">, in Kenya, </w:t>
      </w:r>
      <w:r w:rsidR="004A586A">
        <w:rPr>
          <w:rFonts w:ascii="Times New Roman" w:hAnsi="Times New Roman" w:cs="Times New Roman"/>
          <w:sz w:val="28"/>
          <w:szCs w:val="28"/>
        </w:rPr>
        <w:t>the civil service wage premium</w:t>
      </w:r>
      <w:r>
        <w:rPr>
          <w:rFonts w:ascii="Times New Roman" w:hAnsi="Times New Roman" w:cs="Times New Roman"/>
          <w:sz w:val="28"/>
          <w:szCs w:val="28"/>
        </w:rPr>
        <w:t xml:space="preserve"> for identical</w:t>
      </w:r>
      <w:r w:rsidR="00381895">
        <w:rPr>
          <w:rFonts w:ascii="Times New Roman" w:hAnsi="Times New Roman" w:cs="Times New Roman"/>
          <w:sz w:val="28"/>
          <w:szCs w:val="28"/>
        </w:rPr>
        <w:t xml:space="preserve"> teachers is up to 100%</w:t>
      </w:r>
      <w:r>
        <w:rPr>
          <w:rFonts w:ascii="Times New Roman" w:hAnsi="Times New Roman" w:cs="Times New Roman"/>
          <w:sz w:val="28"/>
          <w:szCs w:val="28"/>
        </w:rPr>
        <w:t xml:space="preserve">. </w:t>
      </w:r>
    </w:p>
    <w:p w:rsidR="001D207D" w:rsidRDefault="00C92C2D" w:rsidP="001405A0">
      <w:pPr>
        <w:jc w:val="both"/>
        <w:rPr>
          <w:rFonts w:ascii="Times New Roman" w:hAnsi="Times New Roman" w:cs="Times New Roman"/>
          <w:sz w:val="28"/>
          <w:szCs w:val="28"/>
        </w:rPr>
      </w:pPr>
      <w:r>
        <w:rPr>
          <w:rFonts w:ascii="Times New Roman" w:hAnsi="Times New Roman" w:cs="Times New Roman"/>
          <w:sz w:val="28"/>
          <w:szCs w:val="28"/>
        </w:rPr>
        <w:t>There are three main problems with this analysis. Firstly, the salary for newly appo</w:t>
      </w:r>
      <w:r w:rsidR="009A5619">
        <w:rPr>
          <w:rFonts w:ascii="Times New Roman" w:hAnsi="Times New Roman" w:cs="Times New Roman"/>
          <w:sz w:val="28"/>
          <w:szCs w:val="28"/>
        </w:rPr>
        <w:t>inted teachers was set at K.Sh.</w:t>
      </w:r>
      <w:r>
        <w:rPr>
          <w:rFonts w:ascii="Times New Roman" w:hAnsi="Times New Roman" w:cs="Times New Roman"/>
          <w:sz w:val="28"/>
          <w:szCs w:val="28"/>
        </w:rPr>
        <w:t xml:space="preserve">10,000 per month which was fixed for the duration of the two year fixed probationary contract of each teacher. It is therefore on the basis of this salary that the incomes of appointed teachers and unsuccessful applicants should be compared. </w:t>
      </w:r>
      <w:r w:rsidR="001728FD">
        <w:rPr>
          <w:rFonts w:ascii="Times New Roman" w:hAnsi="Times New Roman" w:cs="Times New Roman"/>
          <w:sz w:val="28"/>
          <w:szCs w:val="28"/>
        </w:rPr>
        <w:t xml:space="preserve">The reason why </w:t>
      </w:r>
      <w:r>
        <w:rPr>
          <w:rFonts w:ascii="Times New Roman" w:hAnsi="Times New Roman" w:cs="Times New Roman"/>
          <w:sz w:val="28"/>
          <w:szCs w:val="28"/>
        </w:rPr>
        <w:t>the government chose this income</w:t>
      </w:r>
      <w:r w:rsidR="001728FD">
        <w:rPr>
          <w:rFonts w:ascii="Times New Roman" w:hAnsi="Times New Roman" w:cs="Times New Roman"/>
          <w:sz w:val="28"/>
          <w:szCs w:val="28"/>
        </w:rPr>
        <w:t xml:space="preserve"> is not explained but it is probably no coincidence </w:t>
      </w:r>
      <w:r w:rsidR="00A76B8F">
        <w:rPr>
          <w:rFonts w:ascii="Times New Roman" w:hAnsi="Times New Roman" w:cs="Times New Roman"/>
          <w:sz w:val="28"/>
          <w:szCs w:val="28"/>
        </w:rPr>
        <w:t>that it is virtually the same as</w:t>
      </w:r>
      <w:r w:rsidR="001728FD">
        <w:rPr>
          <w:rFonts w:ascii="Times New Roman" w:hAnsi="Times New Roman" w:cs="Times New Roman"/>
          <w:sz w:val="28"/>
          <w:szCs w:val="28"/>
        </w:rPr>
        <w:t xml:space="preserve"> the national minimum wage at that time. Any pay differentials between these two groups is, therefore, not so much the result of wage premia being paid to government teachers but rather the differential adherence to the national minimum wage by government and private sector employers. </w:t>
      </w:r>
    </w:p>
    <w:p w:rsidR="003E175D" w:rsidRDefault="001728FD" w:rsidP="001405A0">
      <w:pPr>
        <w:jc w:val="both"/>
        <w:rPr>
          <w:rFonts w:ascii="Times New Roman" w:hAnsi="Times New Roman" w:cs="Times New Roman"/>
          <w:sz w:val="28"/>
          <w:szCs w:val="28"/>
        </w:rPr>
      </w:pPr>
      <w:r>
        <w:rPr>
          <w:rFonts w:ascii="Times New Roman" w:hAnsi="Times New Roman" w:cs="Times New Roman"/>
          <w:sz w:val="28"/>
          <w:szCs w:val="28"/>
        </w:rPr>
        <w:t xml:space="preserve">Secondly, the income reported by all respondent includes both wage employment from their main job along with secondary income from </w:t>
      </w:r>
      <w:r w:rsidR="001D207D">
        <w:rPr>
          <w:rFonts w:ascii="Times New Roman" w:hAnsi="Times New Roman" w:cs="Times New Roman"/>
          <w:sz w:val="28"/>
          <w:szCs w:val="28"/>
        </w:rPr>
        <w:t xml:space="preserve">other </w:t>
      </w:r>
      <w:r>
        <w:rPr>
          <w:rFonts w:ascii="Times New Roman" w:hAnsi="Times New Roman" w:cs="Times New Roman"/>
          <w:sz w:val="28"/>
          <w:szCs w:val="28"/>
        </w:rPr>
        <w:t>employment activities. Since the salary of newly recruited teachers was fixed at K.Sh.10</w:t>
      </w:r>
      <w:r w:rsidR="009A5619">
        <w:rPr>
          <w:rFonts w:ascii="Times New Roman" w:hAnsi="Times New Roman" w:cs="Times New Roman"/>
          <w:sz w:val="28"/>
          <w:szCs w:val="28"/>
        </w:rPr>
        <w:t>,</w:t>
      </w:r>
      <w:r w:rsidR="000C0D2B">
        <w:rPr>
          <w:rFonts w:ascii="Times New Roman" w:hAnsi="Times New Roman" w:cs="Times New Roman"/>
          <w:sz w:val="28"/>
          <w:szCs w:val="28"/>
        </w:rPr>
        <w:t>000</w:t>
      </w:r>
      <w:r>
        <w:rPr>
          <w:rFonts w:ascii="Times New Roman" w:hAnsi="Times New Roman" w:cs="Times New Roman"/>
          <w:sz w:val="28"/>
          <w:szCs w:val="28"/>
        </w:rPr>
        <w:t xml:space="preserve"> anything above this is </w:t>
      </w:r>
      <w:r w:rsidR="001D207D">
        <w:rPr>
          <w:rFonts w:ascii="Times New Roman" w:hAnsi="Times New Roman" w:cs="Times New Roman"/>
          <w:sz w:val="28"/>
          <w:szCs w:val="28"/>
        </w:rPr>
        <w:t xml:space="preserve">likely to be </w:t>
      </w:r>
      <w:r>
        <w:rPr>
          <w:rFonts w:ascii="Times New Roman" w:hAnsi="Times New Roman" w:cs="Times New Roman"/>
          <w:sz w:val="28"/>
          <w:szCs w:val="28"/>
        </w:rPr>
        <w:t xml:space="preserve">secondary income. </w:t>
      </w:r>
      <w:r w:rsidR="001D207D">
        <w:rPr>
          <w:rFonts w:ascii="Times New Roman" w:hAnsi="Times New Roman" w:cs="Times New Roman"/>
          <w:sz w:val="28"/>
          <w:szCs w:val="28"/>
        </w:rPr>
        <w:t xml:space="preserve">Unless this is taken into </w:t>
      </w:r>
      <w:r w:rsidR="001D207D">
        <w:rPr>
          <w:rFonts w:ascii="Times New Roman" w:hAnsi="Times New Roman" w:cs="Times New Roman"/>
          <w:sz w:val="28"/>
          <w:szCs w:val="28"/>
        </w:rPr>
        <w:lastRenderedPageBreak/>
        <w:t xml:space="preserve">account, any wage premia will be over-estimated. Descriptive statistic presented in the report show that the average monthly income of teachers just under one year from when teachers started to be hired was around K.Sh. 14,000 per </w:t>
      </w:r>
      <w:r w:rsidR="009A5619">
        <w:rPr>
          <w:rFonts w:ascii="Times New Roman" w:hAnsi="Times New Roman" w:cs="Times New Roman"/>
          <w:sz w:val="28"/>
          <w:szCs w:val="28"/>
        </w:rPr>
        <w:t>month compared to that of K.Sh.</w:t>
      </w:r>
      <w:r w:rsidR="001D207D">
        <w:rPr>
          <w:rFonts w:ascii="Times New Roman" w:hAnsi="Times New Roman" w:cs="Times New Roman"/>
          <w:sz w:val="28"/>
          <w:szCs w:val="28"/>
        </w:rPr>
        <w:t xml:space="preserve">10,000 </w:t>
      </w:r>
      <w:r w:rsidR="00A76B8F">
        <w:rPr>
          <w:rFonts w:ascii="Times New Roman" w:hAnsi="Times New Roman" w:cs="Times New Roman"/>
          <w:sz w:val="28"/>
          <w:szCs w:val="28"/>
        </w:rPr>
        <w:t xml:space="preserve">per month </w:t>
      </w:r>
      <w:r w:rsidR="001D207D">
        <w:rPr>
          <w:rFonts w:ascii="Times New Roman" w:hAnsi="Times New Roman" w:cs="Times New Roman"/>
          <w:sz w:val="28"/>
          <w:szCs w:val="28"/>
        </w:rPr>
        <w:t xml:space="preserve">among those who were not hired. </w:t>
      </w:r>
      <w:r w:rsidR="003E175D">
        <w:rPr>
          <w:rFonts w:ascii="Times New Roman" w:hAnsi="Times New Roman" w:cs="Times New Roman"/>
          <w:sz w:val="28"/>
          <w:szCs w:val="28"/>
        </w:rPr>
        <w:t>The percentile income distribution of both hired teachers and the other unsuccessful applicants is not presented but the report does state that the income of the 90</w:t>
      </w:r>
      <w:r w:rsidR="003E175D" w:rsidRPr="003E175D">
        <w:rPr>
          <w:rFonts w:ascii="Times New Roman" w:hAnsi="Times New Roman" w:cs="Times New Roman"/>
          <w:sz w:val="28"/>
          <w:szCs w:val="28"/>
          <w:vertAlign w:val="superscript"/>
        </w:rPr>
        <w:t>th</w:t>
      </w:r>
      <w:r w:rsidR="003E175D">
        <w:rPr>
          <w:rFonts w:ascii="Times New Roman" w:hAnsi="Times New Roman" w:cs="Times New Roman"/>
          <w:sz w:val="28"/>
          <w:szCs w:val="28"/>
        </w:rPr>
        <w:t xml:space="preserve"> income perc</w:t>
      </w:r>
      <w:r w:rsidR="009A5619">
        <w:rPr>
          <w:rFonts w:ascii="Times New Roman" w:hAnsi="Times New Roman" w:cs="Times New Roman"/>
          <w:sz w:val="28"/>
          <w:szCs w:val="28"/>
        </w:rPr>
        <w:t>entile among teachers was K.Sh.</w:t>
      </w:r>
      <w:r w:rsidR="003E175D">
        <w:rPr>
          <w:rFonts w:ascii="Times New Roman" w:hAnsi="Times New Roman" w:cs="Times New Roman"/>
          <w:sz w:val="28"/>
          <w:szCs w:val="28"/>
        </w:rPr>
        <w:t xml:space="preserve">21,000, which is over double the starting pay for teachers. </w:t>
      </w:r>
      <w:r w:rsidR="001D207D">
        <w:rPr>
          <w:rFonts w:ascii="Times New Roman" w:hAnsi="Times New Roman" w:cs="Times New Roman"/>
          <w:sz w:val="28"/>
          <w:szCs w:val="28"/>
        </w:rPr>
        <w:t xml:space="preserve"> </w:t>
      </w:r>
      <w:r w:rsidR="003E175D">
        <w:rPr>
          <w:rFonts w:ascii="Times New Roman" w:hAnsi="Times New Roman" w:cs="Times New Roman"/>
          <w:sz w:val="28"/>
          <w:szCs w:val="28"/>
        </w:rPr>
        <w:t>Both sets of figures strongly suggest, therefore, that the reported income differentials are due not to wage premia but additional secondary earned by teachers.</w:t>
      </w:r>
    </w:p>
    <w:p w:rsidR="001405A0" w:rsidRDefault="003E175D" w:rsidP="001405A0">
      <w:pPr>
        <w:jc w:val="both"/>
        <w:rPr>
          <w:rFonts w:ascii="Times New Roman" w:hAnsi="Times New Roman" w:cs="Times New Roman"/>
          <w:sz w:val="28"/>
          <w:szCs w:val="28"/>
        </w:rPr>
      </w:pPr>
      <w:r>
        <w:rPr>
          <w:rFonts w:ascii="Times New Roman" w:hAnsi="Times New Roman" w:cs="Times New Roman"/>
          <w:sz w:val="28"/>
          <w:szCs w:val="28"/>
        </w:rPr>
        <w:t xml:space="preserve">Thirdly, </w:t>
      </w:r>
      <w:r w:rsidR="00575457">
        <w:rPr>
          <w:rFonts w:ascii="Times New Roman" w:hAnsi="Times New Roman" w:cs="Times New Roman"/>
          <w:sz w:val="28"/>
          <w:szCs w:val="28"/>
        </w:rPr>
        <w:t>nearly one-third of the sampled teachers were not recruited. T</w:t>
      </w:r>
      <w:r>
        <w:rPr>
          <w:rFonts w:ascii="Times New Roman" w:hAnsi="Times New Roman" w:cs="Times New Roman"/>
          <w:sz w:val="28"/>
          <w:szCs w:val="28"/>
        </w:rPr>
        <w:t xml:space="preserve">he mean income of </w:t>
      </w:r>
      <w:r w:rsidR="00381895">
        <w:rPr>
          <w:rFonts w:ascii="Times New Roman" w:hAnsi="Times New Roman" w:cs="Times New Roman"/>
          <w:sz w:val="28"/>
          <w:szCs w:val="28"/>
        </w:rPr>
        <w:t xml:space="preserve">$10,000 among </w:t>
      </w:r>
      <w:r w:rsidR="00575457">
        <w:rPr>
          <w:rFonts w:ascii="Times New Roman" w:hAnsi="Times New Roman" w:cs="Times New Roman"/>
          <w:sz w:val="28"/>
          <w:szCs w:val="28"/>
        </w:rPr>
        <w:t xml:space="preserve">these </w:t>
      </w:r>
      <w:r>
        <w:rPr>
          <w:rFonts w:ascii="Times New Roman" w:hAnsi="Times New Roman" w:cs="Times New Roman"/>
          <w:sz w:val="28"/>
          <w:szCs w:val="28"/>
        </w:rPr>
        <w:t xml:space="preserve">non-appointed teachers is likely to be significantly under-estimated because half of this group indicated that they were unemployed at the time of the survey. Since their income was </w:t>
      </w:r>
      <w:r w:rsidR="00381895">
        <w:rPr>
          <w:rFonts w:ascii="Times New Roman" w:hAnsi="Times New Roman" w:cs="Times New Roman"/>
          <w:sz w:val="28"/>
          <w:szCs w:val="28"/>
        </w:rPr>
        <w:t xml:space="preserve">in probability </w:t>
      </w:r>
      <w:r>
        <w:rPr>
          <w:rFonts w:ascii="Times New Roman" w:hAnsi="Times New Roman" w:cs="Times New Roman"/>
          <w:sz w:val="28"/>
          <w:szCs w:val="28"/>
        </w:rPr>
        <w:t xml:space="preserve">considerably lower than those who were employed, the </w:t>
      </w:r>
      <w:r w:rsidR="000146F3">
        <w:rPr>
          <w:rFonts w:ascii="Times New Roman" w:hAnsi="Times New Roman" w:cs="Times New Roman"/>
          <w:sz w:val="28"/>
          <w:szCs w:val="28"/>
        </w:rPr>
        <w:t xml:space="preserve">monthly </w:t>
      </w:r>
      <w:r>
        <w:rPr>
          <w:rFonts w:ascii="Times New Roman" w:hAnsi="Times New Roman" w:cs="Times New Roman"/>
          <w:sz w:val="28"/>
          <w:szCs w:val="28"/>
        </w:rPr>
        <w:t xml:space="preserve">income of this latter group is likely to be considerably higher than $10,000 </w:t>
      </w:r>
      <w:r w:rsidR="000146F3">
        <w:rPr>
          <w:rFonts w:ascii="Times New Roman" w:hAnsi="Times New Roman" w:cs="Times New Roman"/>
          <w:sz w:val="28"/>
          <w:szCs w:val="28"/>
        </w:rPr>
        <w:t>in which case the reported teacher wage premia may not only be over-inflated but could be eliminated altogether</w:t>
      </w:r>
      <w:r w:rsidR="00B81D1D">
        <w:rPr>
          <w:rStyle w:val="FootnoteReference"/>
          <w:rFonts w:ascii="Times New Roman" w:hAnsi="Times New Roman" w:cs="Times New Roman"/>
          <w:sz w:val="28"/>
          <w:szCs w:val="28"/>
        </w:rPr>
        <w:footnoteReference w:id="9"/>
      </w:r>
      <w:r w:rsidR="000146F3">
        <w:rPr>
          <w:rFonts w:ascii="Times New Roman" w:hAnsi="Times New Roman" w:cs="Times New Roman"/>
          <w:sz w:val="28"/>
          <w:szCs w:val="28"/>
        </w:rPr>
        <w:t>.</w:t>
      </w:r>
      <w:r>
        <w:rPr>
          <w:rFonts w:ascii="Times New Roman" w:hAnsi="Times New Roman" w:cs="Times New Roman"/>
          <w:sz w:val="28"/>
          <w:szCs w:val="28"/>
        </w:rPr>
        <w:t xml:space="preserve">  </w:t>
      </w:r>
      <w:r w:rsidR="001728FD">
        <w:rPr>
          <w:rFonts w:ascii="Times New Roman" w:hAnsi="Times New Roman" w:cs="Times New Roman"/>
          <w:sz w:val="28"/>
          <w:szCs w:val="28"/>
        </w:rPr>
        <w:t xml:space="preserve">   </w:t>
      </w:r>
    </w:p>
    <w:p w:rsidR="00F90A68" w:rsidRPr="001405A0" w:rsidRDefault="001405A0" w:rsidP="00B461C6">
      <w:pPr>
        <w:jc w:val="both"/>
        <w:rPr>
          <w:rFonts w:ascii="Times New Roman" w:hAnsi="Times New Roman" w:cs="Times New Roman"/>
          <w:b/>
          <w:i/>
          <w:sz w:val="28"/>
          <w:szCs w:val="28"/>
        </w:rPr>
      </w:pPr>
      <w:r w:rsidRPr="001405A0">
        <w:rPr>
          <w:rFonts w:ascii="Times New Roman" w:hAnsi="Times New Roman" w:cs="Times New Roman"/>
          <w:b/>
          <w:i/>
          <w:sz w:val="28"/>
          <w:szCs w:val="28"/>
        </w:rPr>
        <w:t xml:space="preserve">5. Teacher standard of living </w:t>
      </w:r>
    </w:p>
    <w:p w:rsidR="009E10C6" w:rsidRPr="00012A00" w:rsidRDefault="00656E92" w:rsidP="00B461C6">
      <w:pPr>
        <w:jc w:val="both"/>
        <w:rPr>
          <w:rFonts w:ascii="Times New Roman" w:hAnsi="Times New Roman" w:cs="Times New Roman"/>
          <w:i/>
          <w:sz w:val="28"/>
          <w:szCs w:val="28"/>
        </w:rPr>
      </w:pPr>
      <w:r w:rsidRPr="00012A00">
        <w:rPr>
          <w:rFonts w:ascii="Times New Roman" w:hAnsi="Times New Roman" w:cs="Times New Roman"/>
          <w:i/>
          <w:sz w:val="28"/>
          <w:szCs w:val="28"/>
        </w:rPr>
        <w:t xml:space="preserve">5.1 </w:t>
      </w:r>
      <w:r w:rsidR="00012A00" w:rsidRPr="00012A00">
        <w:rPr>
          <w:rFonts w:ascii="Times New Roman" w:hAnsi="Times New Roman" w:cs="Times New Roman"/>
          <w:i/>
          <w:sz w:val="28"/>
          <w:szCs w:val="28"/>
        </w:rPr>
        <w:t>P</w:t>
      </w:r>
      <w:r w:rsidRPr="00012A00">
        <w:rPr>
          <w:rFonts w:ascii="Times New Roman" w:hAnsi="Times New Roman" w:cs="Times New Roman"/>
          <w:i/>
          <w:sz w:val="28"/>
          <w:szCs w:val="28"/>
        </w:rPr>
        <w:t>ay</w:t>
      </w:r>
      <w:r w:rsidR="00012A00" w:rsidRPr="00012A00">
        <w:rPr>
          <w:rFonts w:ascii="Times New Roman" w:hAnsi="Times New Roman" w:cs="Times New Roman"/>
          <w:i/>
          <w:sz w:val="28"/>
          <w:szCs w:val="28"/>
        </w:rPr>
        <w:t xml:space="preserve"> level</w:t>
      </w:r>
      <w:r w:rsidR="0008314B">
        <w:rPr>
          <w:rFonts w:ascii="Times New Roman" w:hAnsi="Times New Roman" w:cs="Times New Roman"/>
          <w:i/>
          <w:sz w:val="28"/>
          <w:szCs w:val="28"/>
        </w:rPr>
        <w:t xml:space="preserve">s </w:t>
      </w:r>
      <w:r w:rsidR="002F21E0">
        <w:rPr>
          <w:rFonts w:ascii="Times New Roman" w:hAnsi="Times New Roman" w:cs="Times New Roman"/>
          <w:i/>
          <w:sz w:val="28"/>
          <w:szCs w:val="28"/>
        </w:rPr>
        <w:t xml:space="preserve"> </w:t>
      </w:r>
    </w:p>
    <w:p w:rsidR="00DC0387" w:rsidRDefault="00D768CE" w:rsidP="00D768CE">
      <w:pPr>
        <w:jc w:val="both"/>
        <w:rPr>
          <w:rFonts w:ascii="Times New Roman" w:hAnsi="Times New Roman" w:cs="Times New Roman"/>
          <w:sz w:val="28"/>
          <w:szCs w:val="28"/>
        </w:rPr>
      </w:pPr>
      <w:r>
        <w:rPr>
          <w:rFonts w:ascii="Times New Roman" w:hAnsi="Times New Roman" w:cs="Times New Roman"/>
          <w:sz w:val="28"/>
          <w:szCs w:val="28"/>
        </w:rPr>
        <w:t xml:space="preserve">As noted earlier, to date, the absolute level of teacher </w:t>
      </w:r>
      <w:r w:rsidR="00EB193F">
        <w:rPr>
          <w:rFonts w:ascii="Times New Roman" w:hAnsi="Times New Roman" w:cs="Times New Roman"/>
          <w:sz w:val="28"/>
          <w:szCs w:val="28"/>
        </w:rPr>
        <w:t xml:space="preserve">pay in SSA </w:t>
      </w:r>
      <w:r>
        <w:rPr>
          <w:rFonts w:ascii="Times New Roman" w:hAnsi="Times New Roman" w:cs="Times New Roman"/>
          <w:sz w:val="28"/>
          <w:szCs w:val="28"/>
        </w:rPr>
        <w:t>has received very little attention</w:t>
      </w:r>
      <w:r w:rsidR="002F21E0">
        <w:rPr>
          <w:rFonts w:ascii="Times New Roman" w:hAnsi="Times New Roman" w:cs="Times New Roman"/>
          <w:sz w:val="28"/>
          <w:szCs w:val="28"/>
        </w:rPr>
        <w:t xml:space="preserve"> from academic researchers</w:t>
      </w:r>
      <w:r>
        <w:rPr>
          <w:rFonts w:ascii="Times New Roman" w:hAnsi="Times New Roman" w:cs="Times New Roman"/>
          <w:sz w:val="28"/>
          <w:szCs w:val="28"/>
        </w:rPr>
        <w:t xml:space="preserve">.  Table </w:t>
      </w:r>
      <w:r w:rsidR="00243B17">
        <w:rPr>
          <w:rFonts w:ascii="Times New Roman" w:hAnsi="Times New Roman" w:cs="Times New Roman"/>
          <w:sz w:val="28"/>
          <w:szCs w:val="28"/>
        </w:rPr>
        <w:t>2</w:t>
      </w:r>
      <w:r>
        <w:rPr>
          <w:rFonts w:ascii="Times New Roman" w:hAnsi="Times New Roman" w:cs="Times New Roman"/>
          <w:sz w:val="28"/>
          <w:szCs w:val="28"/>
        </w:rPr>
        <w:t xml:space="preserve"> shows that over </w:t>
      </w:r>
      <w:r w:rsidR="002F532A">
        <w:rPr>
          <w:rFonts w:ascii="Times New Roman" w:hAnsi="Times New Roman" w:cs="Times New Roman"/>
          <w:sz w:val="28"/>
          <w:szCs w:val="28"/>
        </w:rPr>
        <w:t>8</w:t>
      </w:r>
      <w:r>
        <w:rPr>
          <w:rFonts w:ascii="Times New Roman" w:hAnsi="Times New Roman" w:cs="Times New Roman"/>
          <w:sz w:val="28"/>
          <w:szCs w:val="28"/>
        </w:rPr>
        <w:t>0% of primary school teachers in SSA</w:t>
      </w:r>
      <w:r w:rsidR="002F532A">
        <w:rPr>
          <w:rFonts w:ascii="Times New Roman" w:hAnsi="Times New Roman" w:cs="Times New Roman"/>
          <w:sz w:val="28"/>
          <w:szCs w:val="28"/>
        </w:rPr>
        <w:t xml:space="preserve"> earn</w:t>
      </w:r>
      <w:r w:rsidR="002F21E0">
        <w:rPr>
          <w:rFonts w:ascii="Times New Roman" w:hAnsi="Times New Roman" w:cs="Times New Roman"/>
          <w:sz w:val="28"/>
          <w:szCs w:val="28"/>
        </w:rPr>
        <w:t>, on average,</w:t>
      </w:r>
      <w:r w:rsidR="002F532A">
        <w:rPr>
          <w:rFonts w:ascii="Times New Roman" w:hAnsi="Times New Roman" w:cs="Times New Roman"/>
          <w:sz w:val="28"/>
          <w:szCs w:val="28"/>
        </w:rPr>
        <w:t xml:space="preserve"> less than </w:t>
      </w:r>
      <w:r w:rsidR="0055042E">
        <w:rPr>
          <w:rFonts w:ascii="Times New Roman" w:hAnsi="Times New Roman" w:cs="Times New Roman"/>
          <w:sz w:val="28"/>
          <w:szCs w:val="28"/>
        </w:rPr>
        <w:t xml:space="preserve">$7,500 per annum </w:t>
      </w:r>
    </w:p>
    <w:tbl>
      <w:tblPr>
        <w:tblW w:w="9256" w:type="dxa"/>
        <w:tblLook w:val="04A0" w:firstRow="1" w:lastRow="0" w:firstColumn="1" w:lastColumn="0" w:noHBand="0" w:noVBand="1"/>
      </w:tblPr>
      <w:tblGrid>
        <w:gridCol w:w="1788"/>
        <w:gridCol w:w="1563"/>
        <w:gridCol w:w="1608"/>
        <w:gridCol w:w="1274"/>
        <w:gridCol w:w="1523"/>
        <w:gridCol w:w="1500"/>
      </w:tblGrid>
      <w:tr w:rsidR="000B256D" w:rsidRPr="000B256D" w:rsidTr="000B256D">
        <w:trPr>
          <w:trHeight w:val="276"/>
        </w:trPr>
        <w:tc>
          <w:tcPr>
            <w:tcW w:w="9256" w:type="dxa"/>
            <w:gridSpan w:val="6"/>
            <w:tcBorders>
              <w:top w:val="nil"/>
              <w:left w:val="nil"/>
              <w:bottom w:val="nil"/>
              <w:right w:val="nil"/>
            </w:tcBorders>
            <w:shd w:val="clear" w:color="auto" w:fill="auto"/>
            <w:noWrap/>
            <w:vAlign w:val="bottom"/>
            <w:hideMark/>
          </w:tcPr>
          <w:p w:rsidR="000B256D" w:rsidRPr="000B256D" w:rsidRDefault="000B256D" w:rsidP="000B256D">
            <w:pPr>
              <w:spacing w:after="0" w:line="240" w:lineRule="auto"/>
              <w:rPr>
                <w:rFonts w:ascii="Arial" w:eastAsia="Times New Roman" w:hAnsi="Arial" w:cs="Arial"/>
                <w:sz w:val="20"/>
                <w:szCs w:val="20"/>
                <w:lang w:eastAsia="en-GB"/>
              </w:rPr>
            </w:pPr>
            <w:r w:rsidRPr="000B256D">
              <w:rPr>
                <w:rFonts w:ascii="Arial" w:eastAsia="Times New Roman" w:hAnsi="Arial" w:cs="Arial"/>
                <w:sz w:val="20"/>
                <w:szCs w:val="20"/>
                <w:lang w:eastAsia="en-GB"/>
              </w:rPr>
              <w:t>Table 2: Mean pay of primary school teachers in SSA by annual income groups (</w:t>
            </w:r>
            <w:r w:rsidR="00B81D1D">
              <w:rPr>
                <w:rFonts w:ascii="Arial" w:eastAsia="Times New Roman" w:hAnsi="Arial" w:cs="Arial"/>
                <w:sz w:val="20"/>
                <w:szCs w:val="20"/>
                <w:lang w:eastAsia="en-GB"/>
              </w:rPr>
              <w:t xml:space="preserve">rounded ‘000, </w:t>
            </w:r>
            <w:r w:rsidRPr="000B256D">
              <w:rPr>
                <w:rFonts w:ascii="Arial" w:eastAsia="Times New Roman" w:hAnsi="Arial" w:cs="Arial"/>
                <w:sz w:val="20"/>
                <w:szCs w:val="20"/>
                <w:lang w:eastAsia="en-GB"/>
              </w:rPr>
              <w:t>PPP $,2020)</w:t>
            </w:r>
          </w:p>
        </w:tc>
      </w:tr>
      <w:tr w:rsidR="000B256D" w:rsidRPr="000B256D" w:rsidTr="000B256D">
        <w:trPr>
          <w:trHeight w:val="264"/>
        </w:trPr>
        <w:tc>
          <w:tcPr>
            <w:tcW w:w="1788" w:type="dxa"/>
            <w:tcBorders>
              <w:top w:val="single" w:sz="8" w:space="0" w:color="auto"/>
              <w:left w:val="single" w:sz="8" w:space="0" w:color="auto"/>
              <w:bottom w:val="single" w:sz="4" w:space="0" w:color="auto"/>
              <w:right w:val="nil"/>
            </w:tcBorders>
            <w:shd w:val="clear" w:color="000000" w:fill="E7E6E6"/>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&lt;5</w:t>
            </w:r>
          </w:p>
        </w:tc>
        <w:tc>
          <w:tcPr>
            <w:tcW w:w="1563" w:type="dxa"/>
            <w:tcBorders>
              <w:top w:val="single" w:sz="8" w:space="0" w:color="auto"/>
              <w:left w:val="nil"/>
              <w:bottom w:val="single" w:sz="4" w:space="0" w:color="auto"/>
              <w:right w:val="nil"/>
            </w:tcBorders>
            <w:shd w:val="clear" w:color="000000" w:fill="E7E6E6"/>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5.0-7.5</w:t>
            </w:r>
          </w:p>
        </w:tc>
        <w:tc>
          <w:tcPr>
            <w:tcW w:w="1608" w:type="dxa"/>
            <w:tcBorders>
              <w:top w:val="single" w:sz="8" w:space="0" w:color="auto"/>
              <w:left w:val="nil"/>
              <w:bottom w:val="single" w:sz="4" w:space="0" w:color="auto"/>
              <w:right w:val="nil"/>
            </w:tcBorders>
            <w:shd w:val="clear" w:color="000000" w:fill="E7E6E6"/>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7.5-10.0</w:t>
            </w:r>
          </w:p>
        </w:tc>
        <w:tc>
          <w:tcPr>
            <w:tcW w:w="1274" w:type="dxa"/>
            <w:tcBorders>
              <w:top w:val="single" w:sz="8" w:space="0" w:color="auto"/>
              <w:left w:val="nil"/>
              <w:bottom w:val="single" w:sz="4" w:space="0" w:color="auto"/>
              <w:right w:val="nil"/>
            </w:tcBorders>
            <w:shd w:val="clear" w:color="000000" w:fill="E7E6E6"/>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10.0-15.0</w:t>
            </w:r>
          </w:p>
        </w:tc>
        <w:tc>
          <w:tcPr>
            <w:tcW w:w="1523" w:type="dxa"/>
            <w:tcBorders>
              <w:top w:val="single" w:sz="8" w:space="0" w:color="auto"/>
              <w:left w:val="nil"/>
              <w:bottom w:val="single" w:sz="4" w:space="0" w:color="auto"/>
              <w:right w:val="nil"/>
            </w:tcBorders>
            <w:shd w:val="clear" w:color="000000" w:fill="E7E6E6"/>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15-20</w:t>
            </w:r>
          </w:p>
        </w:tc>
        <w:tc>
          <w:tcPr>
            <w:tcW w:w="1500" w:type="dxa"/>
            <w:tcBorders>
              <w:top w:val="single" w:sz="8" w:space="0" w:color="auto"/>
              <w:left w:val="nil"/>
              <w:bottom w:val="single" w:sz="4" w:space="0" w:color="auto"/>
              <w:right w:val="single" w:sz="8" w:space="0" w:color="auto"/>
            </w:tcBorders>
            <w:shd w:val="clear" w:color="000000" w:fill="E7E6E6"/>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20.0&gt;</w:t>
            </w:r>
          </w:p>
        </w:tc>
      </w:tr>
      <w:tr w:rsidR="000B256D" w:rsidRPr="000B256D" w:rsidTr="000B256D">
        <w:trPr>
          <w:trHeight w:val="264"/>
        </w:trPr>
        <w:tc>
          <w:tcPr>
            <w:tcW w:w="1788" w:type="dxa"/>
            <w:tcBorders>
              <w:top w:val="nil"/>
              <w:left w:val="single" w:sz="8" w:space="0" w:color="auto"/>
              <w:bottom w:val="nil"/>
              <w:right w:val="nil"/>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CAR</w:t>
            </w:r>
          </w:p>
        </w:tc>
        <w:tc>
          <w:tcPr>
            <w:tcW w:w="1563" w:type="dxa"/>
            <w:tcBorders>
              <w:top w:val="nil"/>
              <w:left w:val="nil"/>
              <w:bottom w:val="nil"/>
              <w:right w:val="nil"/>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Burundi</w:t>
            </w:r>
          </w:p>
        </w:tc>
        <w:tc>
          <w:tcPr>
            <w:tcW w:w="1608" w:type="dxa"/>
            <w:tcBorders>
              <w:top w:val="nil"/>
              <w:left w:val="nil"/>
              <w:bottom w:val="nil"/>
              <w:right w:val="nil"/>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Burkina Faso</w:t>
            </w:r>
          </w:p>
        </w:tc>
        <w:tc>
          <w:tcPr>
            <w:tcW w:w="1274" w:type="dxa"/>
            <w:tcBorders>
              <w:top w:val="nil"/>
              <w:left w:val="nil"/>
              <w:bottom w:val="nil"/>
              <w:right w:val="nil"/>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Benin</w:t>
            </w:r>
          </w:p>
        </w:tc>
        <w:tc>
          <w:tcPr>
            <w:tcW w:w="1523" w:type="dxa"/>
            <w:tcBorders>
              <w:top w:val="nil"/>
              <w:left w:val="nil"/>
              <w:bottom w:val="nil"/>
              <w:right w:val="nil"/>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Cote d'Ivoire</w:t>
            </w:r>
          </w:p>
        </w:tc>
        <w:tc>
          <w:tcPr>
            <w:tcW w:w="1500" w:type="dxa"/>
            <w:tcBorders>
              <w:top w:val="nil"/>
              <w:left w:val="nil"/>
              <w:bottom w:val="nil"/>
              <w:right w:val="single" w:sz="8" w:space="0" w:color="auto"/>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Botswana</w:t>
            </w:r>
          </w:p>
        </w:tc>
      </w:tr>
      <w:tr w:rsidR="000B256D" w:rsidRPr="000B256D" w:rsidTr="000B256D">
        <w:trPr>
          <w:trHeight w:val="264"/>
        </w:trPr>
        <w:tc>
          <w:tcPr>
            <w:tcW w:w="1788" w:type="dxa"/>
            <w:tcBorders>
              <w:top w:val="nil"/>
              <w:left w:val="single" w:sz="8" w:space="0" w:color="auto"/>
              <w:bottom w:val="nil"/>
              <w:right w:val="nil"/>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DR Congo</w:t>
            </w:r>
          </w:p>
        </w:tc>
        <w:tc>
          <w:tcPr>
            <w:tcW w:w="1563" w:type="dxa"/>
            <w:tcBorders>
              <w:top w:val="nil"/>
              <w:left w:val="nil"/>
              <w:bottom w:val="nil"/>
              <w:right w:val="nil"/>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Ethiopia</w:t>
            </w:r>
          </w:p>
        </w:tc>
        <w:tc>
          <w:tcPr>
            <w:tcW w:w="1608" w:type="dxa"/>
            <w:tcBorders>
              <w:top w:val="nil"/>
              <w:left w:val="nil"/>
              <w:bottom w:val="nil"/>
              <w:right w:val="nil"/>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Chad</w:t>
            </w:r>
          </w:p>
        </w:tc>
        <w:tc>
          <w:tcPr>
            <w:tcW w:w="1274" w:type="dxa"/>
            <w:tcBorders>
              <w:top w:val="nil"/>
              <w:left w:val="nil"/>
              <w:bottom w:val="nil"/>
              <w:right w:val="nil"/>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Cameroon</w:t>
            </w:r>
          </w:p>
        </w:tc>
        <w:tc>
          <w:tcPr>
            <w:tcW w:w="1523" w:type="dxa"/>
            <w:tcBorders>
              <w:top w:val="nil"/>
              <w:left w:val="nil"/>
              <w:bottom w:val="nil"/>
              <w:right w:val="nil"/>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Lesotho</w:t>
            </w:r>
          </w:p>
        </w:tc>
        <w:tc>
          <w:tcPr>
            <w:tcW w:w="1500" w:type="dxa"/>
            <w:tcBorders>
              <w:top w:val="nil"/>
              <w:left w:val="nil"/>
              <w:bottom w:val="nil"/>
              <w:right w:val="single" w:sz="8" w:space="0" w:color="auto"/>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Namibia</w:t>
            </w:r>
          </w:p>
        </w:tc>
      </w:tr>
      <w:tr w:rsidR="000B256D" w:rsidRPr="000B256D" w:rsidTr="000B256D">
        <w:trPr>
          <w:trHeight w:val="264"/>
        </w:trPr>
        <w:tc>
          <w:tcPr>
            <w:tcW w:w="1788" w:type="dxa"/>
            <w:tcBorders>
              <w:top w:val="nil"/>
              <w:left w:val="single" w:sz="8" w:space="0" w:color="auto"/>
              <w:bottom w:val="nil"/>
              <w:right w:val="nil"/>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The Gambia</w:t>
            </w:r>
          </w:p>
        </w:tc>
        <w:tc>
          <w:tcPr>
            <w:tcW w:w="1563" w:type="dxa"/>
            <w:tcBorders>
              <w:top w:val="nil"/>
              <w:left w:val="nil"/>
              <w:bottom w:val="nil"/>
              <w:right w:val="nil"/>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Ghana</w:t>
            </w:r>
          </w:p>
        </w:tc>
        <w:tc>
          <w:tcPr>
            <w:tcW w:w="1608" w:type="dxa"/>
            <w:tcBorders>
              <w:top w:val="nil"/>
              <w:left w:val="nil"/>
              <w:bottom w:val="nil"/>
              <w:right w:val="nil"/>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Guinea</w:t>
            </w:r>
          </w:p>
        </w:tc>
        <w:tc>
          <w:tcPr>
            <w:tcW w:w="1274" w:type="dxa"/>
            <w:tcBorders>
              <w:top w:val="nil"/>
              <w:left w:val="nil"/>
              <w:bottom w:val="nil"/>
              <w:right w:val="nil"/>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Kenya</w:t>
            </w:r>
          </w:p>
        </w:tc>
        <w:tc>
          <w:tcPr>
            <w:tcW w:w="1523" w:type="dxa"/>
            <w:tcBorders>
              <w:top w:val="nil"/>
              <w:left w:val="nil"/>
              <w:bottom w:val="nil"/>
              <w:right w:val="nil"/>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Swaziland</w:t>
            </w:r>
          </w:p>
        </w:tc>
        <w:tc>
          <w:tcPr>
            <w:tcW w:w="1500" w:type="dxa"/>
            <w:tcBorders>
              <w:top w:val="nil"/>
              <w:left w:val="nil"/>
              <w:bottom w:val="nil"/>
              <w:right w:val="single" w:sz="8" w:space="0" w:color="auto"/>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South Africa</w:t>
            </w:r>
          </w:p>
        </w:tc>
      </w:tr>
      <w:tr w:rsidR="000B256D" w:rsidRPr="000B256D" w:rsidTr="000B256D">
        <w:trPr>
          <w:trHeight w:val="264"/>
        </w:trPr>
        <w:tc>
          <w:tcPr>
            <w:tcW w:w="1788" w:type="dxa"/>
            <w:tcBorders>
              <w:top w:val="nil"/>
              <w:left w:val="single" w:sz="8" w:space="0" w:color="auto"/>
              <w:bottom w:val="nil"/>
              <w:right w:val="nil"/>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Guinea Bissau</w:t>
            </w:r>
          </w:p>
        </w:tc>
        <w:tc>
          <w:tcPr>
            <w:tcW w:w="1563" w:type="dxa"/>
            <w:tcBorders>
              <w:top w:val="nil"/>
              <w:left w:val="nil"/>
              <w:bottom w:val="nil"/>
              <w:right w:val="nil"/>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Liberia</w:t>
            </w:r>
          </w:p>
        </w:tc>
        <w:tc>
          <w:tcPr>
            <w:tcW w:w="1608" w:type="dxa"/>
            <w:tcBorders>
              <w:top w:val="nil"/>
              <w:left w:val="nil"/>
              <w:bottom w:val="nil"/>
              <w:right w:val="nil"/>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 </w:t>
            </w:r>
          </w:p>
        </w:tc>
        <w:tc>
          <w:tcPr>
            <w:tcW w:w="1274" w:type="dxa"/>
            <w:tcBorders>
              <w:top w:val="nil"/>
              <w:left w:val="nil"/>
              <w:bottom w:val="nil"/>
              <w:right w:val="nil"/>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Mali</w:t>
            </w:r>
          </w:p>
        </w:tc>
        <w:tc>
          <w:tcPr>
            <w:tcW w:w="1523" w:type="dxa"/>
            <w:tcBorders>
              <w:top w:val="nil"/>
              <w:left w:val="nil"/>
              <w:bottom w:val="nil"/>
              <w:right w:val="nil"/>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 </w:t>
            </w:r>
          </w:p>
        </w:tc>
        <w:tc>
          <w:tcPr>
            <w:tcW w:w="1500" w:type="dxa"/>
            <w:tcBorders>
              <w:top w:val="nil"/>
              <w:left w:val="nil"/>
              <w:bottom w:val="nil"/>
              <w:right w:val="single" w:sz="8" w:space="0" w:color="auto"/>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 </w:t>
            </w:r>
          </w:p>
        </w:tc>
      </w:tr>
      <w:tr w:rsidR="000B256D" w:rsidRPr="000B256D" w:rsidTr="000B256D">
        <w:trPr>
          <w:trHeight w:val="264"/>
        </w:trPr>
        <w:tc>
          <w:tcPr>
            <w:tcW w:w="1788" w:type="dxa"/>
            <w:tcBorders>
              <w:top w:val="nil"/>
              <w:left w:val="single" w:sz="8" w:space="0" w:color="auto"/>
              <w:bottom w:val="nil"/>
              <w:right w:val="nil"/>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Madagascar</w:t>
            </w:r>
          </w:p>
        </w:tc>
        <w:tc>
          <w:tcPr>
            <w:tcW w:w="1563" w:type="dxa"/>
            <w:tcBorders>
              <w:top w:val="nil"/>
              <w:left w:val="nil"/>
              <w:bottom w:val="nil"/>
              <w:right w:val="nil"/>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Mozambique</w:t>
            </w:r>
          </w:p>
        </w:tc>
        <w:tc>
          <w:tcPr>
            <w:tcW w:w="1608" w:type="dxa"/>
            <w:tcBorders>
              <w:top w:val="nil"/>
              <w:left w:val="nil"/>
              <w:bottom w:val="nil"/>
              <w:right w:val="nil"/>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 </w:t>
            </w:r>
          </w:p>
        </w:tc>
        <w:tc>
          <w:tcPr>
            <w:tcW w:w="1274" w:type="dxa"/>
            <w:tcBorders>
              <w:top w:val="nil"/>
              <w:left w:val="nil"/>
              <w:bottom w:val="nil"/>
              <w:right w:val="nil"/>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Senegal</w:t>
            </w:r>
          </w:p>
        </w:tc>
        <w:tc>
          <w:tcPr>
            <w:tcW w:w="1523" w:type="dxa"/>
            <w:tcBorders>
              <w:top w:val="nil"/>
              <w:left w:val="nil"/>
              <w:bottom w:val="nil"/>
              <w:right w:val="nil"/>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 </w:t>
            </w:r>
          </w:p>
        </w:tc>
        <w:tc>
          <w:tcPr>
            <w:tcW w:w="1500" w:type="dxa"/>
            <w:tcBorders>
              <w:top w:val="nil"/>
              <w:left w:val="nil"/>
              <w:bottom w:val="nil"/>
              <w:right w:val="single" w:sz="8" w:space="0" w:color="auto"/>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 </w:t>
            </w:r>
          </w:p>
        </w:tc>
      </w:tr>
      <w:tr w:rsidR="000B256D" w:rsidRPr="000B256D" w:rsidTr="000B256D">
        <w:trPr>
          <w:trHeight w:val="264"/>
        </w:trPr>
        <w:tc>
          <w:tcPr>
            <w:tcW w:w="1788" w:type="dxa"/>
            <w:tcBorders>
              <w:top w:val="nil"/>
              <w:left w:val="single" w:sz="8" w:space="0" w:color="auto"/>
              <w:bottom w:val="nil"/>
              <w:right w:val="nil"/>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Malawi</w:t>
            </w:r>
          </w:p>
        </w:tc>
        <w:tc>
          <w:tcPr>
            <w:tcW w:w="1563" w:type="dxa"/>
            <w:tcBorders>
              <w:top w:val="nil"/>
              <w:left w:val="nil"/>
              <w:bottom w:val="nil"/>
              <w:right w:val="nil"/>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Nigeria</w:t>
            </w:r>
          </w:p>
        </w:tc>
        <w:tc>
          <w:tcPr>
            <w:tcW w:w="1608" w:type="dxa"/>
            <w:tcBorders>
              <w:top w:val="nil"/>
              <w:left w:val="nil"/>
              <w:bottom w:val="nil"/>
              <w:right w:val="nil"/>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 </w:t>
            </w:r>
          </w:p>
        </w:tc>
        <w:tc>
          <w:tcPr>
            <w:tcW w:w="1274" w:type="dxa"/>
            <w:tcBorders>
              <w:top w:val="nil"/>
              <w:left w:val="nil"/>
              <w:bottom w:val="nil"/>
              <w:right w:val="nil"/>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Togo</w:t>
            </w:r>
          </w:p>
        </w:tc>
        <w:tc>
          <w:tcPr>
            <w:tcW w:w="1523" w:type="dxa"/>
            <w:tcBorders>
              <w:top w:val="nil"/>
              <w:left w:val="nil"/>
              <w:bottom w:val="nil"/>
              <w:right w:val="nil"/>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 </w:t>
            </w:r>
          </w:p>
        </w:tc>
        <w:tc>
          <w:tcPr>
            <w:tcW w:w="1500" w:type="dxa"/>
            <w:tcBorders>
              <w:top w:val="nil"/>
              <w:left w:val="nil"/>
              <w:bottom w:val="nil"/>
              <w:right w:val="single" w:sz="8" w:space="0" w:color="auto"/>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 </w:t>
            </w:r>
          </w:p>
        </w:tc>
      </w:tr>
      <w:tr w:rsidR="000B256D" w:rsidRPr="000B256D" w:rsidTr="000B256D">
        <w:trPr>
          <w:trHeight w:val="264"/>
        </w:trPr>
        <w:tc>
          <w:tcPr>
            <w:tcW w:w="1788" w:type="dxa"/>
            <w:tcBorders>
              <w:top w:val="nil"/>
              <w:left w:val="single" w:sz="8" w:space="0" w:color="auto"/>
              <w:bottom w:val="nil"/>
              <w:right w:val="nil"/>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Niger</w:t>
            </w:r>
          </w:p>
        </w:tc>
        <w:tc>
          <w:tcPr>
            <w:tcW w:w="1563" w:type="dxa"/>
            <w:tcBorders>
              <w:top w:val="nil"/>
              <w:left w:val="nil"/>
              <w:bottom w:val="nil"/>
              <w:right w:val="nil"/>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Sierra Leone</w:t>
            </w:r>
          </w:p>
        </w:tc>
        <w:tc>
          <w:tcPr>
            <w:tcW w:w="1608" w:type="dxa"/>
            <w:tcBorders>
              <w:top w:val="nil"/>
              <w:left w:val="nil"/>
              <w:bottom w:val="nil"/>
              <w:right w:val="nil"/>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 </w:t>
            </w:r>
          </w:p>
        </w:tc>
        <w:tc>
          <w:tcPr>
            <w:tcW w:w="1274" w:type="dxa"/>
            <w:tcBorders>
              <w:top w:val="nil"/>
              <w:left w:val="nil"/>
              <w:bottom w:val="nil"/>
              <w:right w:val="nil"/>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Zambia</w:t>
            </w:r>
          </w:p>
        </w:tc>
        <w:tc>
          <w:tcPr>
            <w:tcW w:w="1523" w:type="dxa"/>
            <w:tcBorders>
              <w:top w:val="nil"/>
              <w:left w:val="nil"/>
              <w:bottom w:val="nil"/>
              <w:right w:val="nil"/>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 </w:t>
            </w:r>
          </w:p>
        </w:tc>
        <w:tc>
          <w:tcPr>
            <w:tcW w:w="1500" w:type="dxa"/>
            <w:tcBorders>
              <w:top w:val="nil"/>
              <w:left w:val="nil"/>
              <w:bottom w:val="nil"/>
              <w:right w:val="single" w:sz="8" w:space="0" w:color="auto"/>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 </w:t>
            </w:r>
          </w:p>
        </w:tc>
      </w:tr>
      <w:tr w:rsidR="000B256D" w:rsidRPr="000B256D" w:rsidTr="000B256D">
        <w:trPr>
          <w:trHeight w:val="264"/>
        </w:trPr>
        <w:tc>
          <w:tcPr>
            <w:tcW w:w="1788" w:type="dxa"/>
            <w:tcBorders>
              <w:top w:val="nil"/>
              <w:left w:val="single" w:sz="8" w:space="0" w:color="auto"/>
              <w:bottom w:val="nil"/>
              <w:right w:val="nil"/>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Rwanda</w:t>
            </w:r>
          </w:p>
        </w:tc>
        <w:tc>
          <w:tcPr>
            <w:tcW w:w="1563" w:type="dxa"/>
            <w:tcBorders>
              <w:top w:val="nil"/>
              <w:left w:val="nil"/>
              <w:bottom w:val="nil"/>
              <w:right w:val="nil"/>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Tanzania</w:t>
            </w:r>
          </w:p>
        </w:tc>
        <w:tc>
          <w:tcPr>
            <w:tcW w:w="1608" w:type="dxa"/>
            <w:tcBorders>
              <w:top w:val="nil"/>
              <w:left w:val="nil"/>
              <w:bottom w:val="nil"/>
              <w:right w:val="nil"/>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 </w:t>
            </w:r>
          </w:p>
        </w:tc>
        <w:tc>
          <w:tcPr>
            <w:tcW w:w="1274" w:type="dxa"/>
            <w:tcBorders>
              <w:top w:val="nil"/>
              <w:left w:val="nil"/>
              <w:bottom w:val="nil"/>
              <w:right w:val="nil"/>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 </w:t>
            </w:r>
          </w:p>
        </w:tc>
        <w:tc>
          <w:tcPr>
            <w:tcW w:w="1523" w:type="dxa"/>
            <w:tcBorders>
              <w:top w:val="nil"/>
              <w:left w:val="nil"/>
              <w:bottom w:val="nil"/>
              <w:right w:val="nil"/>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 </w:t>
            </w:r>
          </w:p>
        </w:tc>
        <w:tc>
          <w:tcPr>
            <w:tcW w:w="1500" w:type="dxa"/>
            <w:tcBorders>
              <w:top w:val="nil"/>
              <w:left w:val="nil"/>
              <w:bottom w:val="nil"/>
              <w:right w:val="single" w:sz="8" w:space="0" w:color="auto"/>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 </w:t>
            </w:r>
          </w:p>
        </w:tc>
      </w:tr>
      <w:tr w:rsidR="000B256D" w:rsidRPr="000B256D" w:rsidTr="000B256D">
        <w:trPr>
          <w:trHeight w:val="264"/>
        </w:trPr>
        <w:tc>
          <w:tcPr>
            <w:tcW w:w="1788" w:type="dxa"/>
            <w:tcBorders>
              <w:top w:val="nil"/>
              <w:left w:val="single" w:sz="8" w:space="0" w:color="auto"/>
              <w:bottom w:val="nil"/>
              <w:right w:val="nil"/>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Somalia</w:t>
            </w:r>
          </w:p>
        </w:tc>
        <w:tc>
          <w:tcPr>
            <w:tcW w:w="1563" w:type="dxa"/>
            <w:tcBorders>
              <w:top w:val="nil"/>
              <w:left w:val="nil"/>
              <w:bottom w:val="nil"/>
              <w:right w:val="nil"/>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 </w:t>
            </w:r>
          </w:p>
        </w:tc>
        <w:tc>
          <w:tcPr>
            <w:tcW w:w="1608" w:type="dxa"/>
            <w:tcBorders>
              <w:top w:val="nil"/>
              <w:left w:val="nil"/>
              <w:bottom w:val="nil"/>
              <w:right w:val="nil"/>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 </w:t>
            </w:r>
          </w:p>
        </w:tc>
        <w:tc>
          <w:tcPr>
            <w:tcW w:w="1274" w:type="dxa"/>
            <w:tcBorders>
              <w:top w:val="nil"/>
              <w:left w:val="nil"/>
              <w:bottom w:val="nil"/>
              <w:right w:val="nil"/>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 </w:t>
            </w:r>
          </w:p>
        </w:tc>
        <w:tc>
          <w:tcPr>
            <w:tcW w:w="1523" w:type="dxa"/>
            <w:tcBorders>
              <w:top w:val="nil"/>
              <w:left w:val="nil"/>
              <w:bottom w:val="nil"/>
              <w:right w:val="nil"/>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 </w:t>
            </w:r>
          </w:p>
        </w:tc>
        <w:tc>
          <w:tcPr>
            <w:tcW w:w="1500" w:type="dxa"/>
            <w:tcBorders>
              <w:top w:val="nil"/>
              <w:left w:val="nil"/>
              <w:bottom w:val="nil"/>
              <w:right w:val="single" w:sz="8" w:space="0" w:color="auto"/>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 </w:t>
            </w:r>
          </w:p>
        </w:tc>
      </w:tr>
      <w:tr w:rsidR="000B256D" w:rsidRPr="000B256D" w:rsidTr="000B256D">
        <w:trPr>
          <w:trHeight w:val="264"/>
        </w:trPr>
        <w:tc>
          <w:tcPr>
            <w:tcW w:w="1788" w:type="dxa"/>
            <w:tcBorders>
              <w:top w:val="nil"/>
              <w:left w:val="single" w:sz="8" w:space="0" w:color="auto"/>
              <w:bottom w:val="nil"/>
              <w:right w:val="nil"/>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South Sudan</w:t>
            </w:r>
          </w:p>
        </w:tc>
        <w:tc>
          <w:tcPr>
            <w:tcW w:w="1563" w:type="dxa"/>
            <w:tcBorders>
              <w:top w:val="nil"/>
              <w:left w:val="nil"/>
              <w:bottom w:val="nil"/>
              <w:right w:val="nil"/>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 </w:t>
            </w:r>
          </w:p>
        </w:tc>
        <w:tc>
          <w:tcPr>
            <w:tcW w:w="1608" w:type="dxa"/>
            <w:tcBorders>
              <w:top w:val="nil"/>
              <w:left w:val="nil"/>
              <w:bottom w:val="nil"/>
              <w:right w:val="nil"/>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 </w:t>
            </w:r>
          </w:p>
        </w:tc>
        <w:tc>
          <w:tcPr>
            <w:tcW w:w="1274" w:type="dxa"/>
            <w:tcBorders>
              <w:top w:val="nil"/>
              <w:left w:val="nil"/>
              <w:bottom w:val="nil"/>
              <w:right w:val="nil"/>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 </w:t>
            </w:r>
          </w:p>
        </w:tc>
        <w:tc>
          <w:tcPr>
            <w:tcW w:w="1523" w:type="dxa"/>
            <w:tcBorders>
              <w:top w:val="nil"/>
              <w:left w:val="nil"/>
              <w:bottom w:val="nil"/>
              <w:right w:val="nil"/>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 </w:t>
            </w:r>
          </w:p>
        </w:tc>
        <w:tc>
          <w:tcPr>
            <w:tcW w:w="1500" w:type="dxa"/>
            <w:tcBorders>
              <w:top w:val="nil"/>
              <w:left w:val="nil"/>
              <w:bottom w:val="nil"/>
              <w:right w:val="single" w:sz="8" w:space="0" w:color="auto"/>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 </w:t>
            </w:r>
          </w:p>
        </w:tc>
      </w:tr>
      <w:tr w:rsidR="000B256D" w:rsidRPr="000B256D" w:rsidTr="000B256D">
        <w:trPr>
          <w:trHeight w:val="264"/>
        </w:trPr>
        <w:tc>
          <w:tcPr>
            <w:tcW w:w="1788" w:type="dxa"/>
            <w:tcBorders>
              <w:top w:val="nil"/>
              <w:left w:val="single" w:sz="8" w:space="0" w:color="auto"/>
              <w:bottom w:val="nil"/>
              <w:right w:val="nil"/>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Uganda</w:t>
            </w:r>
          </w:p>
        </w:tc>
        <w:tc>
          <w:tcPr>
            <w:tcW w:w="1563" w:type="dxa"/>
            <w:tcBorders>
              <w:top w:val="nil"/>
              <w:left w:val="nil"/>
              <w:bottom w:val="nil"/>
              <w:right w:val="nil"/>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 </w:t>
            </w:r>
          </w:p>
        </w:tc>
        <w:tc>
          <w:tcPr>
            <w:tcW w:w="1608" w:type="dxa"/>
            <w:tcBorders>
              <w:top w:val="nil"/>
              <w:left w:val="nil"/>
              <w:bottom w:val="nil"/>
              <w:right w:val="nil"/>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 </w:t>
            </w:r>
          </w:p>
        </w:tc>
        <w:tc>
          <w:tcPr>
            <w:tcW w:w="1274" w:type="dxa"/>
            <w:tcBorders>
              <w:top w:val="nil"/>
              <w:left w:val="nil"/>
              <w:bottom w:val="nil"/>
              <w:right w:val="nil"/>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 </w:t>
            </w:r>
          </w:p>
        </w:tc>
        <w:tc>
          <w:tcPr>
            <w:tcW w:w="1523" w:type="dxa"/>
            <w:tcBorders>
              <w:top w:val="nil"/>
              <w:left w:val="nil"/>
              <w:bottom w:val="nil"/>
              <w:right w:val="nil"/>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 </w:t>
            </w:r>
          </w:p>
        </w:tc>
        <w:tc>
          <w:tcPr>
            <w:tcW w:w="1500" w:type="dxa"/>
            <w:tcBorders>
              <w:top w:val="nil"/>
              <w:left w:val="nil"/>
              <w:bottom w:val="nil"/>
              <w:right w:val="single" w:sz="8" w:space="0" w:color="auto"/>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 </w:t>
            </w:r>
          </w:p>
        </w:tc>
      </w:tr>
      <w:tr w:rsidR="000B256D" w:rsidRPr="000B256D" w:rsidTr="000B256D">
        <w:trPr>
          <w:trHeight w:val="276"/>
        </w:trPr>
        <w:tc>
          <w:tcPr>
            <w:tcW w:w="1788" w:type="dxa"/>
            <w:tcBorders>
              <w:top w:val="nil"/>
              <w:left w:val="single" w:sz="8" w:space="0" w:color="auto"/>
              <w:bottom w:val="single" w:sz="8" w:space="0" w:color="auto"/>
              <w:right w:val="nil"/>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Zimbabwe</w:t>
            </w:r>
          </w:p>
        </w:tc>
        <w:tc>
          <w:tcPr>
            <w:tcW w:w="1563" w:type="dxa"/>
            <w:tcBorders>
              <w:top w:val="nil"/>
              <w:left w:val="nil"/>
              <w:bottom w:val="single" w:sz="8" w:space="0" w:color="auto"/>
              <w:right w:val="nil"/>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 </w:t>
            </w:r>
          </w:p>
        </w:tc>
        <w:tc>
          <w:tcPr>
            <w:tcW w:w="1608" w:type="dxa"/>
            <w:tcBorders>
              <w:top w:val="nil"/>
              <w:left w:val="nil"/>
              <w:bottom w:val="single" w:sz="8" w:space="0" w:color="auto"/>
              <w:right w:val="nil"/>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 </w:t>
            </w:r>
          </w:p>
        </w:tc>
        <w:tc>
          <w:tcPr>
            <w:tcW w:w="1274" w:type="dxa"/>
            <w:tcBorders>
              <w:top w:val="nil"/>
              <w:left w:val="nil"/>
              <w:bottom w:val="single" w:sz="8" w:space="0" w:color="auto"/>
              <w:right w:val="nil"/>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 </w:t>
            </w:r>
          </w:p>
        </w:tc>
        <w:tc>
          <w:tcPr>
            <w:tcW w:w="1523" w:type="dxa"/>
            <w:tcBorders>
              <w:top w:val="nil"/>
              <w:left w:val="nil"/>
              <w:bottom w:val="single" w:sz="8" w:space="0" w:color="auto"/>
              <w:right w:val="nil"/>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 </w:t>
            </w:r>
          </w:p>
        </w:tc>
        <w:tc>
          <w:tcPr>
            <w:tcW w:w="1500" w:type="dxa"/>
            <w:tcBorders>
              <w:top w:val="nil"/>
              <w:left w:val="nil"/>
              <w:bottom w:val="single" w:sz="8" w:space="0" w:color="auto"/>
              <w:right w:val="single" w:sz="8" w:space="0" w:color="auto"/>
            </w:tcBorders>
            <w:shd w:val="clear" w:color="000000" w:fill="DDEBF7"/>
            <w:noWrap/>
            <w:vAlign w:val="bottom"/>
            <w:hideMark/>
          </w:tcPr>
          <w:p w:rsidR="000B256D" w:rsidRPr="000B256D" w:rsidRDefault="000B256D" w:rsidP="000B256D">
            <w:pPr>
              <w:spacing w:after="0" w:line="240" w:lineRule="auto"/>
              <w:jc w:val="center"/>
              <w:rPr>
                <w:rFonts w:ascii="Arial" w:eastAsia="Times New Roman" w:hAnsi="Arial" w:cs="Arial"/>
                <w:sz w:val="20"/>
                <w:szCs w:val="20"/>
                <w:lang w:eastAsia="en-GB"/>
              </w:rPr>
            </w:pPr>
            <w:r w:rsidRPr="000B256D">
              <w:rPr>
                <w:rFonts w:ascii="Arial" w:eastAsia="Times New Roman" w:hAnsi="Arial" w:cs="Arial"/>
                <w:sz w:val="20"/>
                <w:szCs w:val="20"/>
                <w:lang w:eastAsia="en-GB"/>
              </w:rPr>
              <w:t> </w:t>
            </w:r>
          </w:p>
        </w:tc>
      </w:tr>
    </w:tbl>
    <w:p w:rsidR="00B81D1D" w:rsidRDefault="004474BB" w:rsidP="00D768C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(PPP $,2020). With the exception of Kenya and South Africa, the remaining countries have relative small populations and are concentrated in Francophone West Africa and Southern Africa.  There is a relatively large group of 12 countries (including Nigeria and Uganda) where pay is exceptionally low at less than </w:t>
      </w:r>
      <w:r w:rsidR="00B81D1D">
        <w:rPr>
          <w:rFonts w:ascii="Times New Roman" w:hAnsi="Times New Roman" w:cs="Times New Roman"/>
          <w:sz w:val="28"/>
          <w:szCs w:val="28"/>
        </w:rPr>
        <w:t xml:space="preserve">$5,000 per annum. Not surprisingly, it is among this group where teacher pay is most inadequate in relation to basic livelihood needs (see below). </w:t>
      </w:r>
    </w:p>
    <w:p w:rsidR="00EB193F" w:rsidRDefault="00EB193F" w:rsidP="00D768CE">
      <w:pPr>
        <w:jc w:val="both"/>
        <w:rPr>
          <w:rFonts w:ascii="Times New Roman" w:hAnsi="Times New Roman" w:cs="Times New Roman"/>
          <w:sz w:val="28"/>
          <w:szCs w:val="28"/>
        </w:rPr>
      </w:pPr>
      <w:r>
        <w:rPr>
          <w:rFonts w:ascii="Times New Roman" w:hAnsi="Times New Roman" w:cs="Times New Roman"/>
          <w:sz w:val="28"/>
          <w:szCs w:val="28"/>
        </w:rPr>
        <w:t>Again, these mean income estimates mask the high degree of salary dispersion among primary school teachers</w:t>
      </w:r>
      <w:r w:rsidR="00567617">
        <w:rPr>
          <w:rFonts w:ascii="Times New Roman" w:hAnsi="Times New Roman" w:cs="Times New Roman"/>
          <w:sz w:val="28"/>
          <w:szCs w:val="28"/>
        </w:rPr>
        <w:t xml:space="preserve"> in most countries</w:t>
      </w:r>
      <w:r>
        <w:rPr>
          <w:rFonts w:ascii="Times New Roman" w:hAnsi="Times New Roman" w:cs="Times New Roman"/>
          <w:sz w:val="28"/>
          <w:szCs w:val="28"/>
        </w:rPr>
        <w:t xml:space="preserve">. </w:t>
      </w:r>
      <w:r w:rsidR="00567617">
        <w:rPr>
          <w:rFonts w:ascii="Times New Roman" w:hAnsi="Times New Roman" w:cs="Times New Roman"/>
          <w:sz w:val="28"/>
          <w:szCs w:val="28"/>
        </w:rPr>
        <w:t xml:space="preserve">Contract </w:t>
      </w:r>
      <w:r w:rsidR="00575457">
        <w:rPr>
          <w:rFonts w:ascii="Times New Roman" w:hAnsi="Times New Roman" w:cs="Times New Roman"/>
          <w:sz w:val="28"/>
          <w:szCs w:val="28"/>
        </w:rPr>
        <w:t xml:space="preserve">and community </w:t>
      </w:r>
      <w:r w:rsidR="00567617">
        <w:rPr>
          <w:rFonts w:ascii="Times New Roman" w:hAnsi="Times New Roman" w:cs="Times New Roman"/>
          <w:sz w:val="28"/>
          <w:szCs w:val="28"/>
        </w:rPr>
        <w:t xml:space="preserve">teachers account for sizeable proportions of teachers on government payrolls particularly in Francophone West Africa (see table </w:t>
      </w:r>
      <w:r w:rsidR="000B256D">
        <w:rPr>
          <w:rFonts w:ascii="Times New Roman" w:hAnsi="Times New Roman" w:cs="Times New Roman"/>
          <w:sz w:val="28"/>
          <w:szCs w:val="28"/>
        </w:rPr>
        <w:t>3</w:t>
      </w:r>
      <w:r w:rsidR="00575457">
        <w:rPr>
          <w:rFonts w:ascii="Times New Roman" w:hAnsi="Times New Roman" w:cs="Times New Roman"/>
          <w:sz w:val="28"/>
          <w:szCs w:val="28"/>
        </w:rPr>
        <w:t xml:space="preserve">). Typically, contract </w:t>
      </w:r>
      <w:r w:rsidR="00567617">
        <w:rPr>
          <w:rFonts w:ascii="Times New Roman" w:hAnsi="Times New Roman" w:cs="Times New Roman"/>
          <w:sz w:val="28"/>
          <w:szCs w:val="28"/>
        </w:rPr>
        <w:t>teachers are paid less than half of permanent (</w:t>
      </w:r>
      <w:r w:rsidR="00B81D1D">
        <w:rPr>
          <w:rFonts w:ascii="Times New Roman" w:hAnsi="Times New Roman" w:cs="Times New Roman"/>
          <w:sz w:val="28"/>
          <w:szCs w:val="28"/>
        </w:rPr>
        <w:t>‘</w:t>
      </w:r>
      <w:r w:rsidR="00567617">
        <w:rPr>
          <w:rFonts w:ascii="Times New Roman" w:hAnsi="Times New Roman" w:cs="Times New Roman"/>
          <w:sz w:val="28"/>
          <w:szCs w:val="28"/>
        </w:rPr>
        <w:t>fonctionnaire</w:t>
      </w:r>
      <w:r w:rsidR="00B81D1D">
        <w:rPr>
          <w:rFonts w:ascii="Times New Roman" w:hAnsi="Times New Roman" w:cs="Times New Roman"/>
          <w:sz w:val="28"/>
          <w:szCs w:val="28"/>
        </w:rPr>
        <w:t>’</w:t>
      </w:r>
      <w:r w:rsidR="00567617">
        <w:rPr>
          <w:rFonts w:ascii="Times New Roman" w:hAnsi="Times New Roman" w:cs="Times New Roman"/>
          <w:sz w:val="28"/>
          <w:szCs w:val="28"/>
        </w:rPr>
        <w:t>) teachers. Many countries also empl</w:t>
      </w:r>
      <w:r w:rsidR="00FB1041">
        <w:rPr>
          <w:rFonts w:ascii="Times New Roman" w:hAnsi="Times New Roman" w:cs="Times New Roman"/>
          <w:sz w:val="28"/>
          <w:szCs w:val="28"/>
        </w:rPr>
        <w:t>o</w:t>
      </w:r>
      <w:r w:rsidR="00567617">
        <w:rPr>
          <w:rFonts w:ascii="Times New Roman" w:hAnsi="Times New Roman" w:cs="Times New Roman"/>
          <w:sz w:val="28"/>
          <w:szCs w:val="28"/>
        </w:rPr>
        <w:t xml:space="preserve">y </w:t>
      </w:r>
      <w:r w:rsidR="0055042E">
        <w:rPr>
          <w:rFonts w:ascii="Times New Roman" w:hAnsi="Times New Roman" w:cs="Times New Roman"/>
          <w:sz w:val="28"/>
          <w:szCs w:val="28"/>
        </w:rPr>
        <w:t>relatively</w:t>
      </w:r>
      <w:r w:rsidR="00567617">
        <w:rPr>
          <w:rFonts w:ascii="Times New Roman" w:hAnsi="Times New Roman" w:cs="Times New Roman"/>
          <w:sz w:val="28"/>
          <w:szCs w:val="28"/>
        </w:rPr>
        <w:t xml:space="preserve"> large numbers of ‘volunteer’ or community </w:t>
      </w:r>
    </w:p>
    <w:tbl>
      <w:tblPr>
        <w:tblW w:w="6097" w:type="dxa"/>
        <w:tblLook w:val="04A0" w:firstRow="1" w:lastRow="0" w:firstColumn="1" w:lastColumn="0" w:noHBand="0" w:noVBand="1"/>
      </w:tblPr>
      <w:tblGrid>
        <w:gridCol w:w="2105"/>
        <w:gridCol w:w="710"/>
        <w:gridCol w:w="1101"/>
        <w:gridCol w:w="2233"/>
      </w:tblGrid>
      <w:tr w:rsidR="00847676" w:rsidRPr="00876C6C" w:rsidTr="005D655C">
        <w:trPr>
          <w:trHeight w:val="312"/>
        </w:trPr>
        <w:tc>
          <w:tcPr>
            <w:tcW w:w="6097" w:type="dxa"/>
            <w:gridSpan w:val="4"/>
            <w:tcBorders>
              <w:top w:val="nil"/>
              <w:left w:val="nil"/>
              <w:bottom w:val="nil"/>
              <w:right w:val="nil"/>
            </w:tcBorders>
            <w:shd w:val="clear" w:color="auto" w:fill="auto"/>
            <w:noWrap/>
            <w:vAlign w:val="bottom"/>
            <w:hideMark/>
          </w:tcPr>
          <w:p w:rsidR="00847676" w:rsidRPr="00876C6C" w:rsidRDefault="00847676" w:rsidP="005D655C">
            <w:pPr>
              <w:spacing w:after="0" w:line="240" w:lineRule="auto"/>
              <w:rPr>
                <w:rFonts w:ascii="Times New Roman" w:eastAsia="Times New Roman" w:hAnsi="Times New Roman" w:cs="Times New Roman"/>
                <w:sz w:val="24"/>
                <w:szCs w:val="24"/>
                <w:lang w:eastAsia="en-GB"/>
              </w:rPr>
            </w:pPr>
            <w:r w:rsidRPr="00876C6C">
              <w:rPr>
                <w:rFonts w:ascii="Times New Roman" w:eastAsia="Times New Roman" w:hAnsi="Times New Roman" w:cs="Times New Roman"/>
                <w:sz w:val="24"/>
                <w:szCs w:val="24"/>
                <w:lang w:eastAsia="en-GB"/>
              </w:rPr>
              <w:t>Table 3: Percentage of contract</w:t>
            </w:r>
            <w:r>
              <w:rPr>
                <w:rFonts w:ascii="Times New Roman" w:eastAsia="Times New Roman" w:hAnsi="Times New Roman" w:cs="Times New Roman"/>
                <w:sz w:val="24"/>
                <w:szCs w:val="24"/>
                <w:lang w:eastAsia="en-GB"/>
              </w:rPr>
              <w:t xml:space="preserve"> and PTA/community teachers </w:t>
            </w:r>
          </w:p>
        </w:tc>
      </w:tr>
      <w:tr w:rsidR="00847676" w:rsidRPr="00876C6C" w:rsidTr="00450823">
        <w:trPr>
          <w:trHeight w:val="324"/>
        </w:trPr>
        <w:tc>
          <w:tcPr>
            <w:tcW w:w="6097" w:type="dxa"/>
            <w:gridSpan w:val="4"/>
            <w:tcBorders>
              <w:top w:val="nil"/>
              <w:left w:val="nil"/>
              <w:bottom w:val="single" w:sz="4" w:space="0" w:color="auto"/>
              <w:right w:val="nil"/>
            </w:tcBorders>
            <w:shd w:val="clear" w:color="auto" w:fill="auto"/>
            <w:noWrap/>
            <w:vAlign w:val="bottom"/>
            <w:hideMark/>
          </w:tcPr>
          <w:p w:rsidR="00847676" w:rsidRPr="00876C6C" w:rsidRDefault="00847676" w:rsidP="005D655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in </w:t>
            </w:r>
            <w:r w:rsidRPr="00876C6C">
              <w:rPr>
                <w:rFonts w:ascii="Times New Roman" w:eastAsia="Times New Roman" w:hAnsi="Times New Roman" w:cs="Times New Roman"/>
                <w:sz w:val="24"/>
                <w:szCs w:val="24"/>
                <w:lang w:eastAsia="en-GB"/>
              </w:rPr>
              <w:t>government primary schools in selected countries in SSA</w:t>
            </w:r>
            <w:r w:rsidR="00B81D1D">
              <w:rPr>
                <w:rFonts w:ascii="Times New Roman" w:eastAsia="Times New Roman" w:hAnsi="Times New Roman" w:cs="Times New Roman"/>
                <w:sz w:val="24"/>
                <w:szCs w:val="24"/>
                <w:lang w:eastAsia="en-GB"/>
              </w:rPr>
              <w:t xml:space="preserve"> (% rounded)</w:t>
            </w:r>
          </w:p>
        </w:tc>
      </w:tr>
      <w:tr w:rsidR="00847676" w:rsidRPr="00876C6C" w:rsidTr="00450823">
        <w:trPr>
          <w:trHeight w:val="312"/>
        </w:trPr>
        <w:tc>
          <w:tcPr>
            <w:tcW w:w="2105" w:type="dxa"/>
            <w:tcBorders>
              <w:top w:val="single" w:sz="4" w:space="0" w:color="auto"/>
              <w:left w:val="single" w:sz="4" w:space="0" w:color="auto"/>
              <w:right w:val="nil"/>
            </w:tcBorders>
            <w:shd w:val="clear" w:color="000000" w:fill="E7E6E6"/>
            <w:noWrap/>
            <w:vAlign w:val="bottom"/>
            <w:hideMark/>
          </w:tcPr>
          <w:p w:rsidR="00847676" w:rsidRPr="00876C6C" w:rsidRDefault="00847676" w:rsidP="005D655C">
            <w:pPr>
              <w:spacing w:after="0" w:line="240" w:lineRule="auto"/>
              <w:rPr>
                <w:rFonts w:ascii="Times New Roman" w:eastAsia="Times New Roman" w:hAnsi="Times New Roman" w:cs="Times New Roman"/>
                <w:sz w:val="24"/>
                <w:szCs w:val="24"/>
                <w:lang w:eastAsia="en-GB"/>
              </w:rPr>
            </w:pPr>
            <w:r w:rsidRPr="00876C6C">
              <w:rPr>
                <w:rFonts w:ascii="Times New Roman" w:eastAsia="Times New Roman" w:hAnsi="Times New Roman" w:cs="Times New Roman"/>
                <w:sz w:val="24"/>
                <w:szCs w:val="24"/>
                <w:lang w:eastAsia="en-GB"/>
              </w:rPr>
              <w:t>Country</w:t>
            </w:r>
          </w:p>
        </w:tc>
        <w:tc>
          <w:tcPr>
            <w:tcW w:w="658" w:type="dxa"/>
            <w:tcBorders>
              <w:top w:val="single" w:sz="4" w:space="0" w:color="auto"/>
              <w:left w:val="nil"/>
              <w:bottom w:val="single" w:sz="4" w:space="0" w:color="auto"/>
              <w:right w:val="nil"/>
            </w:tcBorders>
            <w:shd w:val="clear" w:color="000000" w:fill="E7E6E6"/>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4"/>
                <w:szCs w:val="24"/>
                <w:lang w:eastAsia="en-GB"/>
              </w:rPr>
            </w:pPr>
            <w:r w:rsidRPr="00876C6C">
              <w:rPr>
                <w:rFonts w:ascii="Times New Roman" w:eastAsia="Times New Roman" w:hAnsi="Times New Roman" w:cs="Times New Roman"/>
                <w:sz w:val="24"/>
                <w:szCs w:val="24"/>
                <w:lang w:eastAsia="en-GB"/>
              </w:rPr>
              <w:t>LYA</w:t>
            </w:r>
          </w:p>
        </w:tc>
        <w:tc>
          <w:tcPr>
            <w:tcW w:w="1101" w:type="dxa"/>
            <w:tcBorders>
              <w:top w:val="single" w:sz="4" w:space="0" w:color="auto"/>
              <w:left w:val="nil"/>
              <w:bottom w:val="single" w:sz="4" w:space="0" w:color="auto"/>
              <w:right w:val="nil"/>
            </w:tcBorders>
            <w:shd w:val="clear" w:color="000000" w:fill="E7E6E6"/>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4"/>
                <w:szCs w:val="24"/>
                <w:lang w:eastAsia="en-GB"/>
              </w:rPr>
            </w:pPr>
            <w:r w:rsidRPr="00876C6C">
              <w:rPr>
                <w:rFonts w:ascii="Times New Roman" w:eastAsia="Times New Roman" w:hAnsi="Times New Roman" w:cs="Times New Roman"/>
                <w:sz w:val="24"/>
                <w:szCs w:val="24"/>
                <w:lang w:eastAsia="en-GB"/>
              </w:rPr>
              <w:t>Contract</w:t>
            </w:r>
          </w:p>
        </w:tc>
        <w:tc>
          <w:tcPr>
            <w:tcW w:w="2233" w:type="dxa"/>
            <w:tcBorders>
              <w:top w:val="single" w:sz="4" w:space="0" w:color="auto"/>
              <w:left w:val="nil"/>
              <w:bottom w:val="single" w:sz="4" w:space="0" w:color="auto"/>
              <w:right w:val="single" w:sz="4" w:space="0" w:color="auto"/>
            </w:tcBorders>
            <w:shd w:val="clear" w:color="000000" w:fill="E7E6E6"/>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4"/>
                <w:szCs w:val="24"/>
                <w:lang w:eastAsia="en-GB"/>
              </w:rPr>
            </w:pPr>
            <w:r w:rsidRPr="00876C6C">
              <w:rPr>
                <w:rFonts w:ascii="Times New Roman" w:eastAsia="Times New Roman" w:hAnsi="Times New Roman" w:cs="Times New Roman"/>
                <w:sz w:val="24"/>
                <w:szCs w:val="24"/>
                <w:lang w:eastAsia="en-GB"/>
              </w:rPr>
              <w:t>PTA/Community</w:t>
            </w:r>
          </w:p>
        </w:tc>
      </w:tr>
      <w:tr w:rsidR="00847676" w:rsidRPr="00876C6C" w:rsidTr="00450823">
        <w:trPr>
          <w:trHeight w:val="312"/>
        </w:trPr>
        <w:tc>
          <w:tcPr>
            <w:tcW w:w="2105" w:type="dxa"/>
            <w:tcBorders>
              <w:top w:val="nil"/>
              <w:left w:val="single" w:sz="4" w:space="0" w:color="auto"/>
            </w:tcBorders>
            <w:shd w:val="clear" w:color="000000" w:fill="DDEBF7"/>
            <w:hideMark/>
          </w:tcPr>
          <w:p w:rsidR="00847676" w:rsidRPr="00876C6C" w:rsidRDefault="00847676" w:rsidP="005D655C">
            <w:pPr>
              <w:spacing w:after="0" w:line="240" w:lineRule="auto"/>
              <w:rPr>
                <w:rFonts w:ascii="Times New Roman" w:eastAsia="Times New Roman" w:hAnsi="Times New Roman" w:cs="Times New Roman"/>
                <w:sz w:val="24"/>
                <w:szCs w:val="24"/>
                <w:lang w:eastAsia="en-GB"/>
              </w:rPr>
            </w:pPr>
            <w:r w:rsidRPr="00876C6C">
              <w:rPr>
                <w:rFonts w:ascii="Times New Roman" w:eastAsia="Times New Roman" w:hAnsi="Times New Roman" w:cs="Times New Roman"/>
                <w:sz w:val="24"/>
                <w:szCs w:val="24"/>
                <w:lang w:eastAsia="en-GB"/>
              </w:rPr>
              <w:t>Benin</w:t>
            </w:r>
          </w:p>
        </w:tc>
        <w:tc>
          <w:tcPr>
            <w:tcW w:w="658" w:type="dxa"/>
            <w:tcBorders>
              <w:top w:val="nil"/>
              <w:left w:val="nil"/>
              <w:bottom w:val="nil"/>
              <w:right w:val="nil"/>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2015</w:t>
            </w:r>
          </w:p>
        </w:tc>
        <w:tc>
          <w:tcPr>
            <w:tcW w:w="1101" w:type="dxa"/>
            <w:tcBorders>
              <w:top w:val="nil"/>
              <w:left w:val="nil"/>
              <w:bottom w:val="nil"/>
              <w:right w:val="nil"/>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4</w:t>
            </w:r>
          </w:p>
        </w:tc>
        <w:tc>
          <w:tcPr>
            <w:tcW w:w="2233" w:type="dxa"/>
            <w:tcBorders>
              <w:top w:val="nil"/>
              <w:left w:val="nil"/>
              <w:bottom w:val="nil"/>
              <w:right w:val="single" w:sz="4" w:space="0" w:color="auto"/>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24</w:t>
            </w:r>
          </w:p>
        </w:tc>
      </w:tr>
      <w:tr w:rsidR="00847676" w:rsidRPr="00876C6C" w:rsidTr="00450823">
        <w:trPr>
          <w:trHeight w:val="312"/>
        </w:trPr>
        <w:tc>
          <w:tcPr>
            <w:tcW w:w="2105" w:type="dxa"/>
            <w:tcBorders>
              <w:top w:val="nil"/>
              <w:left w:val="single" w:sz="4" w:space="0" w:color="auto"/>
            </w:tcBorders>
            <w:shd w:val="clear" w:color="000000" w:fill="DDEBF7"/>
            <w:hideMark/>
          </w:tcPr>
          <w:p w:rsidR="00847676" w:rsidRPr="00876C6C" w:rsidRDefault="00847676" w:rsidP="005D655C">
            <w:pPr>
              <w:spacing w:after="0" w:line="240" w:lineRule="auto"/>
              <w:rPr>
                <w:rFonts w:ascii="Times New Roman" w:eastAsia="Times New Roman" w:hAnsi="Times New Roman" w:cs="Times New Roman"/>
                <w:sz w:val="24"/>
                <w:szCs w:val="24"/>
                <w:lang w:eastAsia="en-GB"/>
              </w:rPr>
            </w:pPr>
            <w:r w:rsidRPr="00876C6C">
              <w:rPr>
                <w:rFonts w:ascii="Times New Roman" w:eastAsia="Times New Roman" w:hAnsi="Times New Roman" w:cs="Times New Roman"/>
                <w:sz w:val="24"/>
                <w:szCs w:val="24"/>
                <w:lang w:eastAsia="en-GB"/>
              </w:rPr>
              <w:t>Burkina Faso</w:t>
            </w:r>
          </w:p>
        </w:tc>
        <w:tc>
          <w:tcPr>
            <w:tcW w:w="658" w:type="dxa"/>
            <w:tcBorders>
              <w:top w:val="nil"/>
              <w:left w:val="nil"/>
              <w:bottom w:val="nil"/>
              <w:right w:val="nil"/>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2010</w:t>
            </w:r>
          </w:p>
        </w:tc>
        <w:tc>
          <w:tcPr>
            <w:tcW w:w="1101" w:type="dxa"/>
            <w:tcBorders>
              <w:top w:val="nil"/>
              <w:left w:val="nil"/>
              <w:bottom w:val="nil"/>
              <w:right w:val="nil"/>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55</w:t>
            </w:r>
          </w:p>
        </w:tc>
        <w:tc>
          <w:tcPr>
            <w:tcW w:w="2233" w:type="dxa"/>
            <w:tcBorders>
              <w:top w:val="nil"/>
              <w:left w:val="nil"/>
              <w:bottom w:val="nil"/>
              <w:right w:val="single" w:sz="4" w:space="0" w:color="auto"/>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0</w:t>
            </w:r>
          </w:p>
        </w:tc>
      </w:tr>
      <w:tr w:rsidR="00847676" w:rsidRPr="00876C6C" w:rsidTr="00450823">
        <w:trPr>
          <w:trHeight w:val="312"/>
        </w:trPr>
        <w:tc>
          <w:tcPr>
            <w:tcW w:w="2105" w:type="dxa"/>
            <w:tcBorders>
              <w:top w:val="nil"/>
              <w:left w:val="single" w:sz="4" w:space="0" w:color="auto"/>
            </w:tcBorders>
            <w:shd w:val="clear" w:color="000000" w:fill="DDEBF7"/>
            <w:hideMark/>
          </w:tcPr>
          <w:p w:rsidR="00847676" w:rsidRPr="00876C6C" w:rsidRDefault="00847676" w:rsidP="005D655C">
            <w:pPr>
              <w:spacing w:after="0" w:line="240" w:lineRule="auto"/>
              <w:rPr>
                <w:rFonts w:ascii="Times New Roman" w:eastAsia="Times New Roman" w:hAnsi="Times New Roman" w:cs="Times New Roman"/>
                <w:sz w:val="24"/>
                <w:szCs w:val="24"/>
                <w:lang w:eastAsia="en-GB"/>
              </w:rPr>
            </w:pPr>
            <w:r w:rsidRPr="00876C6C">
              <w:rPr>
                <w:rFonts w:ascii="Times New Roman" w:eastAsia="Times New Roman" w:hAnsi="Times New Roman" w:cs="Times New Roman"/>
                <w:sz w:val="24"/>
                <w:szCs w:val="24"/>
                <w:lang w:eastAsia="en-GB"/>
              </w:rPr>
              <w:t>Burundi</w:t>
            </w:r>
          </w:p>
        </w:tc>
        <w:tc>
          <w:tcPr>
            <w:tcW w:w="658" w:type="dxa"/>
            <w:tcBorders>
              <w:top w:val="nil"/>
              <w:left w:val="nil"/>
              <w:bottom w:val="nil"/>
              <w:right w:val="nil"/>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2020</w:t>
            </w:r>
          </w:p>
        </w:tc>
        <w:tc>
          <w:tcPr>
            <w:tcW w:w="1101" w:type="dxa"/>
            <w:tcBorders>
              <w:top w:val="nil"/>
              <w:left w:val="nil"/>
              <w:bottom w:val="nil"/>
              <w:right w:val="nil"/>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0</w:t>
            </w:r>
          </w:p>
        </w:tc>
        <w:tc>
          <w:tcPr>
            <w:tcW w:w="2233" w:type="dxa"/>
            <w:tcBorders>
              <w:top w:val="nil"/>
              <w:left w:val="nil"/>
              <w:bottom w:val="nil"/>
              <w:right w:val="single" w:sz="4" w:space="0" w:color="auto"/>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1</w:t>
            </w:r>
          </w:p>
        </w:tc>
      </w:tr>
      <w:tr w:rsidR="00847676" w:rsidRPr="00876C6C" w:rsidTr="00450823">
        <w:trPr>
          <w:trHeight w:val="312"/>
        </w:trPr>
        <w:tc>
          <w:tcPr>
            <w:tcW w:w="2105" w:type="dxa"/>
            <w:tcBorders>
              <w:top w:val="nil"/>
              <w:left w:val="single" w:sz="4" w:space="0" w:color="auto"/>
            </w:tcBorders>
            <w:shd w:val="clear" w:color="000000" w:fill="DDEBF7"/>
            <w:hideMark/>
          </w:tcPr>
          <w:p w:rsidR="00847676" w:rsidRPr="00876C6C" w:rsidRDefault="00847676" w:rsidP="005D655C">
            <w:pPr>
              <w:spacing w:after="0" w:line="240" w:lineRule="auto"/>
              <w:rPr>
                <w:rFonts w:ascii="Times New Roman" w:eastAsia="Times New Roman" w:hAnsi="Times New Roman" w:cs="Times New Roman"/>
                <w:sz w:val="24"/>
                <w:szCs w:val="24"/>
                <w:lang w:eastAsia="en-GB"/>
              </w:rPr>
            </w:pPr>
            <w:r w:rsidRPr="00876C6C">
              <w:rPr>
                <w:rFonts w:ascii="Times New Roman" w:eastAsia="Times New Roman" w:hAnsi="Times New Roman" w:cs="Times New Roman"/>
                <w:sz w:val="24"/>
                <w:szCs w:val="24"/>
                <w:lang w:eastAsia="en-GB"/>
              </w:rPr>
              <w:t>Cameroon</w:t>
            </w:r>
          </w:p>
        </w:tc>
        <w:tc>
          <w:tcPr>
            <w:tcW w:w="658" w:type="dxa"/>
            <w:tcBorders>
              <w:top w:val="nil"/>
              <w:left w:val="nil"/>
              <w:bottom w:val="nil"/>
              <w:right w:val="nil"/>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2010</w:t>
            </w:r>
          </w:p>
        </w:tc>
        <w:tc>
          <w:tcPr>
            <w:tcW w:w="1101" w:type="dxa"/>
            <w:tcBorders>
              <w:top w:val="nil"/>
              <w:left w:val="nil"/>
              <w:bottom w:val="nil"/>
              <w:right w:val="nil"/>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22</w:t>
            </w:r>
          </w:p>
        </w:tc>
        <w:tc>
          <w:tcPr>
            <w:tcW w:w="2233" w:type="dxa"/>
            <w:tcBorders>
              <w:top w:val="nil"/>
              <w:left w:val="nil"/>
              <w:bottom w:val="nil"/>
              <w:right w:val="single" w:sz="4" w:space="0" w:color="auto"/>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37</w:t>
            </w:r>
          </w:p>
        </w:tc>
      </w:tr>
      <w:tr w:rsidR="00847676" w:rsidRPr="00876C6C" w:rsidTr="00450823">
        <w:trPr>
          <w:trHeight w:val="312"/>
        </w:trPr>
        <w:tc>
          <w:tcPr>
            <w:tcW w:w="2105" w:type="dxa"/>
            <w:tcBorders>
              <w:top w:val="nil"/>
              <w:left w:val="single" w:sz="4" w:space="0" w:color="auto"/>
            </w:tcBorders>
            <w:shd w:val="clear" w:color="000000" w:fill="DDEBF7"/>
            <w:hideMark/>
          </w:tcPr>
          <w:p w:rsidR="00847676" w:rsidRPr="00876C6C" w:rsidRDefault="00847676" w:rsidP="005D655C">
            <w:pPr>
              <w:spacing w:after="0" w:line="240" w:lineRule="auto"/>
              <w:rPr>
                <w:rFonts w:ascii="Times New Roman" w:eastAsia="Times New Roman" w:hAnsi="Times New Roman" w:cs="Times New Roman"/>
                <w:sz w:val="24"/>
                <w:szCs w:val="24"/>
                <w:lang w:eastAsia="en-GB"/>
              </w:rPr>
            </w:pPr>
            <w:r w:rsidRPr="00876C6C">
              <w:rPr>
                <w:rFonts w:ascii="Times New Roman" w:eastAsia="Times New Roman" w:hAnsi="Times New Roman" w:cs="Times New Roman"/>
                <w:sz w:val="24"/>
                <w:szCs w:val="24"/>
                <w:lang w:eastAsia="en-GB"/>
              </w:rPr>
              <w:t>CAR</w:t>
            </w:r>
          </w:p>
        </w:tc>
        <w:tc>
          <w:tcPr>
            <w:tcW w:w="658" w:type="dxa"/>
            <w:tcBorders>
              <w:top w:val="nil"/>
              <w:left w:val="nil"/>
              <w:bottom w:val="nil"/>
              <w:right w:val="nil"/>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2020</w:t>
            </w:r>
          </w:p>
        </w:tc>
        <w:tc>
          <w:tcPr>
            <w:tcW w:w="1101" w:type="dxa"/>
            <w:tcBorders>
              <w:top w:val="nil"/>
              <w:left w:val="nil"/>
              <w:bottom w:val="nil"/>
              <w:right w:val="nil"/>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56</w:t>
            </w:r>
          </w:p>
        </w:tc>
        <w:tc>
          <w:tcPr>
            <w:tcW w:w="2233" w:type="dxa"/>
            <w:tcBorders>
              <w:top w:val="nil"/>
              <w:left w:val="nil"/>
              <w:bottom w:val="nil"/>
              <w:right w:val="single" w:sz="4" w:space="0" w:color="auto"/>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34</w:t>
            </w:r>
          </w:p>
        </w:tc>
      </w:tr>
      <w:tr w:rsidR="00847676" w:rsidRPr="00876C6C" w:rsidTr="00450823">
        <w:trPr>
          <w:trHeight w:val="312"/>
        </w:trPr>
        <w:tc>
          <w:tcPr>
            <w:tcW w:w="2105" w:type="dxa"/>
            <w:tcBorders>
              <w:top w:val="nil"/>
              <w:left w:val="single" w:sz="4" w:space="0" w:color="auto"/>
            </w:tcBorders>
            <w:shd w:val="clear" w:color="000000" w:fill="DDEBF7"/>
            <w:hideMark/>
          </w:tcPr>
          <w:p w:rsidR="00847676" w:rsidRPr="00876C6C" w:rsidRDefault="00847676" w:rsidP="005D655C">
            <w:pPr>
              <w:spacing w:after="0" w:line="240" w:lineRule="auto"/>
              <w:rPr>
                <w:rFonts w:ascii="Times New Roman" w:eastAsia="Times New Roman" w:hAnsi="Times New Roman" w:cs="Times New Roman"/>
                <w:sz w:val="24"/>
                <w:szCs w:val="24"/>
                <w:lang w:eastAsia="en-GB"/>
              </w:rPr>
            </w:pPr>
            <w:r w:rsidRPr="00876C6C">
              <w:rPr>
                <w:rFonts w:ascii="Times New Roman" w:eastAsia="Times New Roman" w:hAnsi="Times New Roman" w:cs="Times New Roman"/>
                <w:sz w:val="24"/>
                <w:szCs w:val="24"/>
                <w:lang w:eastAsia="en-GB"/>
              </w:rPr>
              <w:t>Chad</w:t>
            </w:r>
          </w:p>
        </w:tc>
        <w:tc>
          <w:tcPr>
            <w:tcW w:w="658" w:type="dxa"/>
            <w:tcBorders>
              <w:top w:val="nil"/>
              <w:left w:val="nil"/>
              <w:bottom w:val="nil"/>
              <w:right w:val="nil"/>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2015</w:t>
            </w:r>
          </w:p>
        </w:tc>
        <w:tc>
          <w:tcPr>
            <w:tcW w:w="1101" w:type="dxa"/>
            <w:tcBorders>
              <w:top w:val="nil"/>
              <w:left w:val="nil"/>
              <w:bottom w:val="nil"/>
              <w:right w:val="nil"/>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51</w:t>
            </w:r>
          </w:p>
        </w:tc>
        <w:tc>
          <w:tcPr>
            <w:tcW w:w="2233" w:type="dxa"/>
            <w:tcBorders>
              <w:top w:val="nil"/>
              <w:left w:val="nil"/>
              <w:bottom w:val="nil"/>
              <w:right w:val="single" w:sz="4" w:space="0" w:color="auto"/>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28</w:t>
            </w:r>
          </w:p>
        </w:tc>
      </w:tr>
      <w:tr w:rsidR="00847676" w:rsidRPr="00876C6C" w:rsidTr="00450823">
        <w:trPr>
          <w:trHeight w:val="312"/>
        </w:trPr>
        <w:tc>
          <w:tcPr>
            <w:tcW w:w="2105" w:type="dxa"/>
            <w:tcBorders>
              <w:top w:val="nil"/>
              <w:left w:val="single" w:sz="4" w:space="0" w:color="auto"/>
            </w:tcBorders>
            <w:shd w:val="clear" w:color="000000" w:fill="DDEBF7"/>
            <w:hideMark/>
          </w:tcPr>
          <w:p w:rsidR="00847676" w:rsidRPr="00876C6C" w:rsidRDefault="00847676" w:rsidP="005D655C">
            <w:pPr>
              <w:spacing w:after="0" w:line="240" w:lineRule="auto"/>
              <w:rPr>
                <w:rFonts w:ascii="Times New Roman" w:eastAsia="Times New Roman" w:hAnsi="Times New Roman" w:cs="Times New Roman"/>
                <w:sz w:val="24"/>
                <w:szCs w:val="24"/>
                <w:lang w:eastAsia="en-GB"/>
              </w:rPr>
            </w:pPr>
            <w:r w:rsidRPr="00876C6C">
              <w:rPr>
                <w:rFonts w:ascii="Times New Roman" w:eastAsia="Times New Roman" w:hAnsi="Times New Roman" w:cs="Times New Roman"/>
                <w:sz w:val="24"/>
                <w:szCs w:val="24"/>
                <w:lang w:eastAsia="en-GB"/>
              </w:rPr>
              <w:t>Cote d'Ivoire</w:t>
            </w:r>
          </w:p>
        </w:tc>
        <w:tc>
          <w:tcPr>
            <w:tcW w:w="658" w:type="dxa"/>
            <w:tcBorders>
              <w:top w:val="nil"/>
              <w:left w:val="nil"/>
              <w:bottom w:val="nil"/>
              <w:right w:val="nil"/>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2015</w:t>
            </w:r>
          </w:p>
        </w:tc>
        <w:tc>
          <w:tcPr>
            <w:tcW w:w="1101" w:type="dxa"/>
            <w:tcBorders>
              <w:top w:val="nil"/>
              <w:left w:val="nil"/>
              <w:bottom w:val="nil"/>
              <w:right w:val="nil"/>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4</w:t>
            </w:r>
          </w:p>
        </w:tc>
        <w:tc>
          <w:tcPr>
            <w:tcW w:w="2233" w:type="dxa"/>
            <w:tcBorders>
              <w:top w:val="nil"/>
              <w:left w:val="nil"/>
              <w:bottom w:val="nil"/>
              <w:right w:val="single" w:sz="4" w:space="0" w:color="auto"/>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13</w:t>
            </w:r>
          </w:p>
        </w:tc>
      </w:tr>
      <w:tr w:rsidR="00847676" w:rsidRPr="00876C6C" w:rsidTr="00450823">
        <w:trPr>
          <w:trHeight w:val="312"/>
        </w:trPr>
        <w:tc>
          <w:tcPr>
            <w:tcW w:w="2105" w:type="dxa"/>
            <w:tcBorders>
              <w:top w:val="nil"/>
              <w:left w:val="single" w:sz="4" w:space="0" w:color="auto"/>
            </w:tcBorders>
            <w:shd w:val="clear" w:color="000000" w:fill="DDEBF7"/>
            <w:hideMark/>
          </w:tcPr>
          <w:p w:rsidR="00847676" w:rsidRPr="00876C6C" w:rsidRDefault="00847676" w:rsidP="005D655C">
            <w:pPr>
              <w:spacing w:after="0" w:line="240" w:lineRule="auto"/>
              <w:rPr>
                <w:rFonts w:ascii="Times New Roman" w:eastAsia="Times New Roman" w:hAnsi="Times New Roman" w:cs="Times New Roman"/>
                <w:sz w:val="24"/>
                <w:szCs w:val="24"/>
                <w:lang w:eastAsia="en-GB"/>
              </w:rPr>
            </w:pPr>
            <w:r w:rsidRPr="00876C6C">
              <w:rPr>
                <w:rFonts w:ascii="Times New Roman" w:eastAsia="Times New Roman" w:hAnsi="Times New Roman" w:cs="Times New Roman"/>
                <w:sz w:val="24"/>
                <w:szCs w:val="24"/>
                <w:lang w:eastAsia="en-GB"/>
              </w:rPr>
              <w:t>DRC</w:t>
            </w:r>
          </w:p>
        </w:tc>
        <w:tc>
          <w:tcPr>
            <w:tcW w:w="658" w:type="dxa"/>
            <w:tcBorders>
              <w:top w:val="nil"/>
              <w:left w:val="nil"/>
              <w:bottom w:val="nil"/>
              <w:right w:val="nil"/>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2010</w:t>
            </w:r>
          </w:p>
        </w:tc>
        <w:tc>
          <w:tcPr>
            <w:tcW w:w="1101" w:type="dxa"/>
            <w:tcBorders>
              <w:top w:val="nil"/>
              <w:left w:val="nil"/>
              <w:bottom w:val="nil"/>
              <w:right w:val="nil"/>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n</w:t>
            </w:r>
            <w:r w:rsidR="00450823">
              <w:rPr>
                <w:rFonts w:ascii="Times New Roman" w:eastAsia="Times New Roman" w:hAnsi="Times New Roman" w:cs="Times New Roman"/>
                <w:sz w:val="20"/>
                <w:szCs w:val="20"/>
                <w:lang w:eastAsia="en-GB"/>
              </w:rPr>
              <w:t>a</w:t>
            </w:r>
          </w:p>
        </w:tc>
        <w:tc>
          <w:tcPr>
            <w:tcW w:w="2233" w:type="dxa"/>
            <w:tcBorders>
              <w:top w:val="nil"/>
              <w:left w:val="nil"/>
              <w:bottom w:val="nil"/>
              <w:right w:val="single" w:sz="4" w:space="0" w:color="auto"/>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50</w:t>
            </w:r>
          </w:p>
        </w:tc>
      </w:tr>
      <w:tr w:rsidR="00847676" w:rsidRPr="00876C6C" w:rsidTr="00450823">
        <w:trPr>
          <w:trHeight w:val="312"/>
        </w:trPr>
        <w:tc>
          <w:tcPr>
            <w:tcW w:w="2105" w:type="dxa"/>
            <w:tcBorders>
              <w:top w:val="nil"/>
              <w:left w:val="single" w:sz="4" w:space="0" w:color="auto"/>
            </w:tcBorders>
            <w:shd w:val="clear" w:color="000000" w:fill="DDEBF7"/>
            <w:hideMark/>
          </w:tcPr>
          <w:p w:rsidR="00847676" w:rsidRPr="00876C6C" w:rsidRDefault="00847676" w:rsidP="005D655C">
            <w:pPr>
              <w:spacing w:after="0" w:line="240" w:lineRule="auto"/>
              <w:rPr>
                <w:rFonts w:ascii="Times New Roman" w:eastAsia="Times New Roman" w:hAnsi="Times New Roman" w:cs="Times New Roman"/>
                <w:sz w:val="24"/>
                <w:szCs w:val="24"/>
                <w:lang w:eastAsia="en-GB"/>
              </w:rPr>
            </w:pPr>
            <w:r w:rsidRPr="00876C6C">
              <w:rPr>
                <w:rFonts w:ascii="Times New Roman" w:eastAsia="Times New Roman" w:hAnsi="Times New Roman" w:cs="Times New Roman"/>
                <w:sz w:val="24"/>
                <w:szCs w:val="24"/>
                <w:lang w:eastAsia="en-GB"/>
              </w:rPr>
              <w:t>Congo</w:t>
            </w:r>
          </w:p>
        </w:tc>
        <w:tc>
          <w:tcPr>
            <w:tcW w:w="658" w:type="dxa"/>
            <w:tcBorders>
              <w:top w:val="nil"/>
              <w:left w:val="nil"/>
              <w:bottom w:val="nil"/>
              <w:right w:val="nil"/>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2010</w:t>
            </w:r>
          </w:p>
        </w:tc>
        <w:tc>
          <w:tcPr>
            <w:tcW w:w="1101" w:type="dxa"/>
            <w:tcBorders>
              <w:top w:val="nil"/>
              <w:left w:val="nil"/>
              <w:bottom w:val="nil"/>
              <w:right w:val="nil"/>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2</w:t>
            </w:r>
          </w:p>
        </w:tc>
        <w:tc>
          <w:tcPr>
            <w:tcW w:w="2233" w:type="dxa"/>
            <w:tcBorders>
              <w:top w:val="nil"/>
              <w:left w:val="nil"/>
              <w:bottom w:val="nil"/>
              <w:right w:val="single" w:sz="4" w:space="0" w:color="auto"/>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47</w:t>
            </w:r>
          </w:p>
        </w:tc>
      </w:tr>
      <w:tr w:rsidR="00847676" w:rsidRPr="00876C6C" w:rsidTr="00450823">
        <w:trPr>
          <w:trHeight w:val="312"/>
        </w:trPr>
        <w:tc>
          <w:tcPr>
            <w:tcW w:w="2105" w:type="dxa"/>
            <w:tcBorders>
              <w:top w:val="nil"/>
              <w:left w:val="single" w:sz="4" w:space="0" w:color="auto"/>
            </w:tcBorders>
            <w:shd w:val="clear" w:color="000000" w:fill="DDEBF7"/>
            <w:hideMark/>
          </w:tcPr>
          <w:p w:rsidR="00847676" w:rsidRPr="00876C6C" w:rsidRDefault="00847676" w:rsidP="005D655C">
            <w:pPr>
              <w:spacing w:after="0" w:line="240" w:lineRule="auto"/>
              <w:rPr>
                <w:rFonts w:ascii="Times New Roman" w:eastAsia="Times New Roman" w:hAnsi="Times New Roman" w:cs="Times New Roman"/>
                <w:sz w:val="24"/>
                <w:szCs w:val="24"/>
                <w:lang w:eastAsia="en-GB"/>
              </w:rPr>
            </w:pPr>
            <w:r w:rsidRPr="00876C6C">
              <w:rPr>
                <w:rFonts w:ascii="Times New Roman" w:eastAsia="Times New Roman" w:hAnsi="Times New Roman" w:cs="Times New Roman"/>
                <w:sz w:val="24"/>
                <w:szCs w:val="24"/>
                <w:lang w:eastAsia="en-GB"/>
              </w:rPr>
              <w:t>Gambia</w:t>
            </w:r>
          </w:p>
        </w:tc>
        <w:tc>
          <w:tcPr>
            <w:tcW w:w="658" w:type="dxa"/>
            <w:tcBorders>
              <w:top w:val="nil"/>
              <w:left w:val="nil"/>
              <w:bottom w:val="nil"/>
              <w:right w:val="nil"/>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2010</w:t>
            </w:r>
          </w:p>
        </w:tc>
        <w:tc>
          <w:tcPr>
            <w:tcW w:w="1101" w:type="dxa"/>
            <w:tcBorders>
              <w:top w:val="nil"/>
              <w:left w:val="nil"/>
              <w:bottom w:val="nil"/>
              <w:right w:val="nil"/>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29</w:t>
            </w:r>
          </w:p>
        </w:tc>
        <w:tc>
          <w:tcPr>
            <w:tcW w:w="2233" w:type="dxa"/>
            <w:tcBorders>
              <w:top w:val="nil"/>
              <w:left w:val="nil"/>
              <w:bottom w:val="nil"/>
              <w:right w:val="single" w:sz="4" w:space="0" w:color="auto"/>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0</w:t>
            </w:r>
          </w:p>
        </w:tc>
      </w:tr>
      <w:tr w:rsidR="00847676" w:rsidRPr="00876C6C" w:rsidTr="00450823">
        <w:trPr>
          <w:trHeight w:val="312"/>
        </w:trPr>
        <w:tc>
          <w:tcPr>
            <w:tcW w:w="2105" w:type="dxa"/>
            <w:tcBorders>
              <w:top w:val="nil"/>
              <w:left w:val="single" w:sz="4" w:space="0" w:color="auto"/>
            </w:tcBorders>
            <w:shd w:val="clear" w:color="000000" w:fill="DDEBF7"/>
            <w:hideMark/>
          </w:tcPr>
          <w:p w:rsidR="00847676" w:rsidRPr="00876C6C" w:rsidRDefault="00847676" w:rsidP="005D655C">
            <w:pPr>
              <w:spacing w:after="0" w:line="240" w:lineRule="auto"/>
              <w:rPr>
                <w:rFonts w:ascii="Times New Roman" w:eastAsia="Times New Roman" w:hAnsi="Times New Roman" w:cs="Times New Roman"/>
                <w:sz w:val="24"/>
                <w:szCs w:val="24"/>
                <w:lang w:eastAsia="en-GB"/>
              </w:rPr>
            </w:pPr>
            <w:r w:rsidRPr="00876C6C">
              <w:rPr>
                <w:rFonts w:ascii="Times New Roman" w:eastAsia="Times New Roman" w:hAnsi="Times New Roman" w:cs="Times New Roman"/>
                <w:sz w:val="24"/>
                <w:szCs w:val="24"/>
                <w:lang w:eastAsia="en-GB"/>
              </w:rPr>
              <w:t>Guinea</w:t>
            </w:r>
          </w:p>
        </w:tc>
        <w:tc>
          <w:tcPr>
            <w:tcW w:w="658" w:type="dxa"/>
            <w:tcBorders>
              <w:top w:val="nil"/>
              <w:left w:val="nil"/>
              <w:bottom w:val="nil"/>
              <w:right w:val="nil"/>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2015</w:t>
            </w:r>
          </w:p>
        </w:tc>
        <w:tc>
          <w:tcPr>
            <w:tcW w:w="1101" w:type="dxa"/>
            <w:tcBorders>
              <w:top w:val="nil"/>
              <w:left w:val="nil"/>
              <w:bottom w:val="nil"/>
              <w:right w:val="nil"/>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3</w:t>
            </w:r>
          </w:p>
        </w:tc>
        <w:tc>
          <w:tcPr>
            <w:tcW w:w="2233" w:type="dxa"/>
            <w:tcBorders>
              <w:top w:val="nil"/>
              <w:left w:val="nil"/>
              <w:bottom w:val="nil"/>
              <w:right w:val="single" w:sz="4" w:space="0" w:color="auto"/>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21</w:t>
            </w:r>
          </w:p>
        </w:tc>
      </w:tr>
      <w:tr w:rsidR="00847676" w:rsidRPr="00876C6C" w:rsidTr="00450823">
        <w:trPr>
          <w:trHeight w:val="312"/>
        </w:trPr>
        <w:tc>
          <w:tcPr>
            <w:tcW w:w="2105" w:type="dxa"/>
            <w:tcBorders>
              <w:top w:val="nil"/>
              <w:left w:val="single" w:sz="4" w:space="0" w:color="auto"/>
            </w:tcBorders>
            <w:shd w:val="clear" w:color="000000" w:fill="DDEBF7"/>
            <w:hideMark/>
          </w:tcPr>
          <w:p w:rsidR="00847676" w:rsidRPr="00876C6C" w:rsidRDefault="00847676" w:rsidP="005D655C">
            <w:pPr>
              <w:spacing w:after="0" w:line="240" w:lineRule="auto"/>
              <w:rPr>
                <w:rFonts w:ascii="Times New Roman" w:eastAsia="Times New Roman" w:hAnsi="Times New Roman" w:cs="Times New Roman"/>
                <w:sz w:val="24"/>
                <w:szCs w:val="24"/>
                <w:lang w:eastAsia="en-GB"/>
              </w:rPr>
            </w:pPr>
            <w:r w:rsidRPr="00876C6C">
              <w:rPr>
                <w:rFonts w:ascii="Times New Roman" w:eastAsia="Times New Roman" w:hAnsi="Times New Roman" w:cs="Times New Roman"/>
                <w:sz w:val="24"/>
                <w:szCs w:val="24"/>
                <w:lang w:eastAsia="en-GB"/>
              </w:rPr>
              <w:t>Guinea Bissau</w:t>
            </w:r>
          </w:p>
        </w:tc>
        <w:tc>
          <w:tcPr>
            <w:tcW w:w="658" w:type="dxa"/>
            <w:tcBorders>
              <w:top w:val="nil"/>
              <w:left w:val="nil"/>
              <w:bottom w:val="nil"/>
              <w:right w:val="nil"/>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2015</w:t>
            </w:r>
          </w:p>
        </w:tc>
        <w:tc>
          <w:tcPr>
            <w:tcW w:w="1101" w:type="dxa"/>
            <w:tcBorders>
              <w:top w:val="nil"/>
              <w:left w:val="nil"/>
              <w:bottom w:val="nil"/>
              <w:right w:val="nil"/>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25</w:t>
            </w:r>
          </w:p>
        </w:tc>
        <w:tc>
          <w:tcPr>
            <w:tcW w:w="2233" w:type="dxa"/>
            <w:tcBorders>
              <w:top w:val="nil"/>
              <w:left w:val="nil"/>
              <w:bottom w:val="nil"/>
              <w:right w:val="single" w:sz="4" w:space="0" w:color="auto"/>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3</w:t>
            </w:r>
          </w:p>
        </w:tc>
      </w:tr>
      <w:tr w:rsidR="00847676" w:rsidRPr="00876C6C" w:rsidTr="00450823">
        <w:trPr>
          <w:trHeight w:val="312"/>
        </w:trPr>
        <w:tc>
          <w:tcPr>
            <w:tcW w:w="2105" w:type="dxa"/>
            <w:tcBorders>
              <w:top w:val="nil"/>
              <w:left w:val="single" w:sz="4" w:space="0" w:color="auto"/>
            </w:tcBorders>
            <w:shd w:val="clear" w:color="000000" w:fill="DDEBF7"/>
            <w:hideMark/>
          </w:tcPr>
          <w:p w:rsidR="00847676" w:rsidRPr="00876C6C" w:rsidRDefault="00847676" w:rsidP="005D655C">
            <w:pPr>
              <w:spacing w:after="0" w:line="240" w:lineRule="auto"/>
              <w:rPr>
                <w:rFonts w:ascii="Times New Roman" w:eastAsia="Times New Roman" w:hAnsi="Times New Roman" w:cs="Times New Roman"/>
                <w:sz w:val="24"/>
                <w:szCs w:val="24"/>
                <w:lang w:eastAsia="en-GB"/>
              </w:rPr>
            </w:pPr>
            <w:r w:rsidRPr="00876C6C">
              <w:rPr>
                <w:rFonts w:ascii="Times New Roman" w:eastAsia="Times New Roman" w:hAnsi="Times New Roman" w:cs="Times New Roman"/>
                <w:sz w:val="24"/>
                <w:szCs w:val="24"/>
                <w:lang w:eastAsia="en-GB"/>
              </w:rPr>
              <w:t>Kenya</w:t>
            </w:r>
          </w:p>
        </w:tc>
        <w:tc>
          <w:tcPr>
            <w:tcW w:w="658" w:type="dxa"/>
            <w:tcBorders>
              <w:top w:val="nil"/>
              <w:left w:val="nil"/>
              <w:bottom w:val="nil"/>
              <w:right w:val="nil"/>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2015</w:t>
            </w:r>
          </w:p>
        </w:tc>
        <w:tc>
          <w:tcPr>
            <w:tcW w:w="1101" w:type="dxa"/>
            <w:tcBorders>
              <w:top w:val="nil"/>
              <w:left w:val="nil"/>
              <w:bottom w:val="nil"/>
              <w:right w:val="nil"/>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0</w:t>
            </w:r>
          </w:p>
        </w:tc>
        <w:tc>
          <w:tcPr>
            <w:tcW w:w="2233" w:type="dxa"/>
            <w:tcBorders>
              <w:top w:val="nil"/>
              <w:left w:val="nil"/>
              <w:bottom w:val="nil"/>
              <w:right w:val="single" w:sz="4" w:space="0" w:color="auto"/>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19</w:t>
            </w:r>
          </w:p>
        </w:tc>
      </w:tr>
      <w:tr w:rsidR="00847676" w:rsidRPr="00876C6C" w:rsidTr="00450823">
        <w:trPr>
          <w:trHeight w:val="312"/>
        </w:trPr>
        <w:tc>
          <w:tcPr>
            <w:tcW w:w="2105" w:type="dxa"/>
            <w:tcBorders>
              <w:top w:val="nil"/>
              <w:left w:val="single" w:sz="4" w:space="0" w:color="auto"/>
            </w:tcBorders>
            <w:shd w:val="clear" w:color="000000" w:fill="DDEBF7"/>
            <w:hideMark/>
          </w:tcPr>
          <w:p w:rsidR="00847676" w:rsidRPr="00876C6C" w:rsidRDefault="00847676" w:rsidP="005D655C">
            <w:pPr>
              <w:spacing w:after="0" w:line="240" w:lineRule="auto"/>
              <w:rPr>
                <w:rFonts w:ascii="Times New Roman" w:eastAsia="Times New Roman" w:hAnsi="Times New Roman" w:cs="Times New Roman"/>
                <w:sz w:val="24"/>
                <w:szCs w:val="24"/>
                <w:lang w:eastAsia="en-GB"/>
              </w:rPr>
            </w:pPr>
            <w:r w:rsidRPr="00876C6C">
              <w:rPr>
                <w:rFonts w:ascii="Times New Roman" w:eastAsia="Times New Roman" w:hAnsi="Times New Roman" w:cs="Times New Roman"/>
                <w:sz w:val="24"/>
                <w:szCs w:val="24"/>
                <w:lang w:eastAsia="en-GB"/>
              </w:rPr>
              <w:t>Madagascar</w:t>
            </w:r>
          </w:p>
        </w:tc>
        <w:tc>
          <w:tcPr>
            <w:tcW w:w="658" w:type="dxa"/>
            <w:tcBorders>
              <w:top w:val="nil"/>
              <w:left w:val="nil"/>
              <w:bottom w:val="nil"/>
              <w:right w:val="nil"/>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2010</w:t>
            </w:r>
          </w:p>
        </w:tc>
        <w:tc>
          <w:tcPr>
            <w:tcW w:w="1101" w:type="dxa"/>
            <w:tcBorders>
              <w:top w:val="nil"/>
              <w:left w:val="nil"/>
              <w:bottom w:val="nil"/>
              <w:right w:val="nil"/>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0</w:t>
            </w:r>
          </w:p>
        </w:tc>
        <w:tc>
          <w:tcPr>
            <w:tcW w:w="2233" w:type="dxa"/>
            <w:tcBorders>
              <w:top w:val="nil"/>
              <w:left w:val="nil"/>
              <w:bottom w:val="nil"/>
              <w:right w:val="single" w:sz="4" w:space="0" w:color="auto"/>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50</w:t>
            </w:r>
          </w:p>
        </w:tc>
      </w:tr>
      <w:tr w:rsidR="00847676" w:rsidRPr="00876C6C" w:rsidTr="00450823">
        <w:trPr>
          <w:trHeight w:val="312"/>
        </w:trPr>
        <w:tc>
          <w:tcPr>
            <w:tcW w:w="2105" w:type="dxa"/>
            <w:tcBorders>
              <w:top w:val="nil"/>
              <w:left w:val="single" w:sz="4" w:space="0" w:color="auto"/>
            </w:tcBorders>
            <w:shd w:val="clear" w:color="000000" w:fill="DDEBF7"/>
            <w:hideMark/>
          </w:tcPr>
          <w:p w:rsidR="00847676" w:rsidRPr="00876C6C" w:rsidRDefault="00847676" w:rsidP="005D655C">
            <w:pPr>
              <w:spacing w:after="0" w:line="240" w:lineRule="auto"/>
              <w:rPr>
                <w:rFonts w:ascii="Times New Roman" w:eastAsia="Times New Roman" w:hAnsi="Times New Roman" w:cs="Times New Roman"/>
                <w:sz w:val="24"/>
                <w:szCs w:val="24"/>
                <w:lang w:eastAsia="en-GB"/>
              </w:rPr>
            </w:pPr>
            <w:r w:rsidRPr="00876C6C">
              <w:rPr>
                <w:rFonts w:ascii="Times New Roman" w:eastAsia="Times New Roman" w:hAnsi="Times New Roman" w:cs="Times New Roman"/>
                <w:sz w:val="24"/>
                <w:szCs w:val="24"/>
                <w:lang w:eastAsia="en-GB"/>
              </w:rPr>
              <w:t>Malawi</w:t>
            </w:r>
          </w:p>
        </w:tc>
        <w:tc>
          <w:tcPr>
            <w:tcW w:w="658" w:type="dxa"/>
            <w:tcBorders>
              <w:top w:val="nil"/>
              <w:left w:val="nil"/>
              <w:bottom w:val="nil"/>
              <w:right w:val="nil"/>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2010</w:t>
            </w:r>
          </w:p>
        </w:tc>
        <w:tc>
          <w:tcPr>
            <w:tcW w:w="1101" w:type="dxa"/>
            <w:tcBorders>
              <w:top w:val="nil"/>
              <w:left w:val="nil"/>
              <w:bottom w:val="nil"/>
              <w:right w:val="nil"/>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1</w:t>
            </w:r>
          </w:p>
        </w:tc>
        <w:tc>
          <w:tcPr>
            <w:tcW w:w="2233" w:type="dxa"/>
            <w:tcBorders>
              <w:top w:val="nil"/>
              <w:left w:val="nil"/>
              <w:bottom w:val="nil"/>
              <w:right w:val="single" w:sz="4" w:space="0" w:color="auto"/>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5</w:t>
            </w:r>
          </w:p>
        </w:tc>
      </w:tr>
      <w:tr w:rsidR="00847676" w:rsidRPr="00876C6C" w:rsidTr="00450823">
        <w:trPr>
          <w:trHeight w:val="312"/>
        </w:trPr>
        <w:tc>
          <w:tcPr>
            <w:tcW w:w="2105" w:type="dxa"/>
            <w:tcBorders>
              <w:top w:val="nil"/>
              <w:left w:val="single" w:sz="4" w:space="0" w:color="auto"/>
            </w:tcBorders>
            <w:shd w:val="clear" w:color="000000" w:fill="DDEBF7"/>
            <w:hideMark/>
          </w:tcPr>
          <w:p w:rsidR="00847676" w:rsidRPr="00876C6C" w:rsidRDefault="00847676" w:rsidP="005D655C">
            <w:pPr>
              <w:spacing w:after="0" w:line="240" w:lineRule="auto"/>
              <w:rPr>
                <w:rFonts w:ascii="Times New Roman" w:eastAsia="Times New Roman" w:hAnsi="Times New Roman" w:cs="Times New Roman"/>
                <w:sz w:val="24"/>
                <w:szCs w:val="24"/>
                <w:lang w:eastAsia="en-GB"/>
              </w:rPr>
            </w:pPr>
            <w:r w:rsidRPr="00876C6C">
              <w:rPr>
                <w:rFonts w:ascii="Times New Roman" w:eastAsia="Times New Roman" w:hAnsi="Times New Roman" w:cs="Times New Roman"/>
                <w:sz w:val="24"/>
                <w:szCs w:val="24"/>
                <w:lang w:eastAsia="en-GB"/>
              </w:rPr>
              <w:t>Mali</w:t>
            </w:r>
          </w:p>
        </w:tc>
        <w:tc>
          <w:tcPr>
            <w:tcW w:w="658" w:type="dxa"/>
            <w:tcBorders>
              <w:top w:val="nil"/>
              <w:left w:val="nil"/>
              <w:bottom w:val="nil"/>
              <w:right w:val="nil"/>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2010</w:t>
            </w:r>
          </w:p>
        </w:tc>
        <w:tc>
          <w:tcPr>
            <w:tcW w:w="1101" w:type="dxa"/>
            <w:tcBorders>
              <w:top w:val="nil"/>
              <w:left w:val="nil"/>
              <w:bottom w:val="nil"/>
              <w:right w:val="nil"/>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45</w:t>
            </w:r>
          </w:p>
        </w:tc>
        <w:tc>
          <w:tcPr>
            <w:tcW w:w="2233" w:type="dxa"/>
            <w:tcBorders>
              <w:top w:val="nil"/>
              <w:left w:val="nil"/>
              <w:bottom w:val="nil"/>
              <w:right w:val="single" w:sz="4" w:space="0" w:color="auto"/>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34</w:t>
            </w:r>
          </w:p>
        </w:tc>
      </w:tr>
      <w:tr w:rsidR="00847676" w:rsidRPr="00876C6C" w:rsidTr="00450823">
        <w:trPr>
          <w:trHeight w:val="312"/>
        </w:trPr>
        <w:tc>
          <w:tcPr>
            <w:tcW w:w="2105" w:type="dxa"/>
            <w:tcBorders>
              <w:top w:val="nil"/>
              <w:left w:val="single" w:sz="4" w:space="0" w:color="auto"/>
            </w:tcBorders>
            <w:shd w:val="clear" w:color="000000" w:fill="DDEBF7"/>
            <w:hideMark/>
          </w:tcPr>
          <w:p w:rsidR="00847676" w:rsidRPr="00876C6C" w:rsidRDefault="00847676" w:rsidP="005D655C">
            <w:pPr>
              <w:spacing w:after="0" w:line="240" w:lineRule="auto"/>
              <w:rPr>
                <w:rFonts w:ascii="Times New Roman" w:eastAsia="Times New Roman" w:hAnsi="Times New Roman" w:cs="Times New Roman"/>
                <w:sz w:val="24"/>
                <w:szCs w:val="24"/>
                <w:lang w:eastAsia="en-GB"/>
              </w:rPr>
            </w:pPr>
            <w:r w:rsidRPr="00876C6C">
              <w:rPr>
                <w:rFonts w:ascii="Times New Roman" w:eastAsia="Times New Roman" w:hAnsi="Times New Roman" w:cs="Times New Roman"/>
                <w:sz w:val="24"/>
                <w:szCs w:val="24"/>
                <w:lang w:eastAsia="en-GB"/>
              </w:rPr>
              <w:t>Mozambique</w:t>
            </w:r>
          </w:p>
        </w:tc>
        <w:tc>
          <w:tcPr>
            <w:tcW w:w="658" w:type="dxa"/>
            <w:tcBorders>
              <w:top w:val="nil"/>
              <w:left w:val="nil"/>
              <w:bottom w:val="nil"/>
              <w:right w:val="nil"/>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2010</w:t>
            </w:r>
          </w:p>
        </w:tc>
        <w:tc>
          <w:tcPr>
            <w:tcW w:w="1101" w:type="dxa"/>
            <w:tcBorders>
              <w:top w:val="nil"/>
              <w:left w:val="nil"/>
              <w:bottom w:val="nil"/>
              <w:right w:val="nil"/>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59</w:t>
            </w:r>
          </w:p>
        </w:tc>
        <w:tc>
          <w:tcPr>
            <w:tcW w:w="2233" w:type="dxa"/>
            <w:tcBorders>
              <w:top w:val="nil"/>
              <w:left w:val="nil"/>
              <w:bottom w:val="nil"/>
              <w:right w:val="single" w:sz="4" w:space="0" w:color="auto"/>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na</w:t>
            </w:r>
          </w:p>
        </w:tc>
      </w:tr>
      <w:tr w:rsidR="00847676" w:rsidRPr="00876C6C" w:rsidTr="00450823">
        <w:trPr>
          <w:trHeight w:val="312"/>
        </w:trPr>
        <w:tc>
          <w:tcPr>
            <w:tcW w:w="2105" w:type="dxa"/>
            <w:tcBorders>
              <w:top w:val="nil"/>
              <w:left w:val="single" w:sz="4" w:space="0" w:color="auto"/>
            </w:tcBorders>
            <w:shd w:val="clear" w:color="000000" w:fill="DDEBF7"/>
            <w:hideMark/>
          </w:tcPr>
          <w:p w:rsidR="00847676" w:rsidRPr="00876C6C" w:rsidRDefault="00847676" w:rsidP="005D655C">
            <w:pPr>
              <w:spacing w:after="0" w:line="240" w:lineRule="auto"/>
              <w:rPr>
                <w:rFonts w:ascii="Times New Roman" w:eastAsia="Times New Roman" w:hAnsi="Times New Roman" w:cs="Times New Roman"/>
                <w:sz w:val="24"/>
                <w:szCs w:val="24"/>
                <w:lang w:eastAsia="en-GB"/>
              </w:rPr>
            </w:pPr>
            <w:r w:rsidRPr="00876C6C">
              <w:rPr>
                <w:rFonts w:ascii="Times New Roman" w:eastAsia="Times New Roman" w:hAnsi="Times New Roman" w:cs="Times New Roman"/>
                <w:sz w:val="24"/>
                <w:szCs w:val="24"/>
                <w:lang w:eastAsia="en-GB"/>
              </w:rPr>
              <w:t>Niger</w:t>
            </w:r>
          </w:p>
        </w:tc>
        <w:tc>
          <w:tcPr>
            <w:tcW w:w="658" w:type="dxa"/>
            <w:tcBorders>
              <w:top w:val="nil"/>
              <w:left w:val="nil"/>
              <w:bottom w:val="nil"/>
              <w:right w:val="nil"/>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2015</w:t>
            </w:r>
          </w:p>
        </w:tc>
        <w:tc>
          <w:tcPr>
            <w:tcW w:w="1101" w:type="dxa"/>
            <w:tcBorders>
              <w:top w:val="nil"/>
              <w:left w:val="nil"/>
              <w:bottom w:val="nil"/>
              <w:right w:val="nil"/>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80</w:t>
            </w:r>
          </w:p>
        </w:tc>
        <w:tc>
          <w:tcPr>
            <w:tcW w:w="2233" w:type="dxa"/>
            <w:tcBorders>
              <w:top w:val="nil"/>
              <w:left w:val="nil"/>
              <w:bottom w:val="nil"/>
              <w:right w:val="single" w:sz="4" w:space="0" w:color="auto"/>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20</w:t>
            </w:r>
          </w:p>
        </w:tc>
      </w:tr>
      <w:tr w:rsidR="00847676" w:rsidRPr="00876C6C" w:rsidTr="00450823">
        <w:trPr>
          <w:trHeight w:val="312"/>
        </w:trPr>
        <w:tc>
          <w:tcPr>
            <w:tcW w:w="2105" w:type="dxa"/>
            <w:tcBorders>
              <w:top w:val="nil"/>
              <w:left w:val="single" w:sz="4" w:space="0" w:color="auto"/>
            </w:tcBorders>
            <w:shd w:val="clear" w:color="000000" w:fill="DDEBF7"/>
            <w:hideMark/>
          </w:tcPr>
          <w:p w:rsidR="00847676" w:rsidRPr="00876C6C" w:rsidRDefault="00847676" w:rsidP="005D655C">
            <w:pPr>
              <w:spacing w:after="0" w:line="240" w:lineRule="auto"/>
              <w:rPr>
                <w:rFonts w:ascii="Times New Roman" w:eastAsia="Times New Roman" w:hAnsi="Times New Roman" w:cs="Times New Roman"/>
                <w:sz w:val="24"/>
                <w:szCs w:val="24"/>
                <w:lang w:eastAsia="en-GB"/>
              </w:rPr>
            </w:pPr>
            <w:r w:rsidRPr="00876C6C">
              <w:rPr>
                <w:rFonts w:ascii="Times New Roman" w:eastAsia="Times New Roman" w:hAnsi="Times New Roman" w:cs="Times New Roman"/>
                <w:sz w:val="24"/>
                <w:szCs w:val="24"/>
                <w:lang w:eastAsia="en-GB"/>
              </w:rPr>
              <w:t>Sierra Leone</w:t>
            </w:r>
          </w:p>
        </w:tc>
        <w:tc>
          <w:tcPr>
            <w:tcW w:w="658" w:type="dxa"/>
            <w:tcBorders>
              <w:top w:val="nil"/>
              <w:left w:val="nil"/>
              <w:bottom w:val="nil"/>
              <w:right w:val="nil"/>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2020</w:t>
            </w:r>
          </w:p>
        </w:tc>
        <w:tc>
          <w:tcPr>
            <w:tcW w:w="1101" w:type="dxa"/>
            <w:tcBorders>
              <w:top w:val="nil"/>
              <w:left w:val="nil"/>
              <w:bottom w:val="nil"/>
              <w:right w:val="nil"/>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0</w:t>
            </w:r>
          </w:p>
        </w:tc>
        <w:tc>
          <w:tcPr>
            <w:tcW w:w="2233" w:type="dxa"/>
            <w:tcBorders>
              <w:top w:val="nil"/>
              <w:left w:val="nil"/>
              <w:bottom w:val="nil"/>
              <w:right w:val="single" w:sz="4" w:space="0" w:color="auto"/>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46</w:t>
            </w:r>
          </w:p>
        </w:tc>
      </w:tr>
      <w:tr w:rsidR="00847676" w:rsidRPr="00876C6C" w:rsidTr="00450823">
        <w:trPr>
          <w:trHeight w:val="312"/>
        </w:trPr>
        <w:tc>
          <w:tcPr>
            <w:tcW w:w="2105" w:type="dxa"/>
            <w:tcBorders>
              <w:top w:val="nil"/>
              <w:left w:val="single" w:sz="4" w:space="0" w:color="auto"/>
            </w:tcBorders>
            <w:shd w:val="clear" w:color="000000" w:fill="DDEBF7"/>
            <w:hideMark/>
          </w:tcPr>
          <w:p w:rsidR="00847676" w:rsidRPr="00876C6C" w:rsidRDefault="00847676" w:rsidP="005D655C">
            <w:pPr>
              <w:spacing w:after="0" w:line="240" w:lineRule="auto"/>
              <w:rPr>
                <w:rFonts w:ascii="Times New Roman" w:eastAsia="Times New Roman" w:hAnsi="Times New Roman" w:cs="Times New Roman"/>
                <w:sz w:val="24"/>
                <w:szCs w:val="24"/>
                <w:lang w:eastAsia="en-GB"/>
              </w:rPr>
            </w:pPr>
            <w:r w:rsidRPr="00876C6C">
              <w:rPr>
                <w:rFonts w:ascii="Times New Roman" w:eastAsia="Times New Roman" w:hAnsi="Times New Roman" w:cs="Times New Roman"/>
                <w:sz w:val="24"/>
                <w:szCs w:val="24"/>
                <w:lang w:eastAsia="en-GB"/>
              </w:rPr>
              <w:t>Togo</w:t>
            </w:r>
          </w:p>
        </w:tc>
        <w:tc>
          <w:tcPr>
            <w:tcW w:w="658" w:type="dxa"/>
            <w:tcBorders>
              <w:top w:val="nil"/>
              <w:left w:val="nil"/>
              <w:bottom w:val="nil"/>
              <w:right w:val="nil"/>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2020</w:t>
            </w:r>
          </w:p>
        </w:tc>
        <w:tc>
          <w:tcPr>
            <w:tcW w:w="1101" w:type="dxa"/>
            <w:tcBorders>
              <w:top w:val="nil"/>
              <w:left w:val="nil"/>
              <w:bottom w:val="nil"/>
              <w:right w:val="nil"/>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0</w:t>
            </w:r>
          </w:p>
        </w:tc>
        <w:tc>
          <w:tcPr>
            <w:tcW w:w="2233" w:type="dxa"/>
            <w:tcBorders>
              <w:top w:val="nil"/>
              <w:left w:val="nil"/>
              <w:bottom w:val="nil"/>
              <w:right w:val="single" w:sz="4" w:space="0" w:color="auto"/>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27</w:t>
            </w:r>
          </w:p>
        </w:tc>
      </w:tr>
      <w:tr w:rsidR="00847676" w:rsidRPr="00876C6C" w:rsidTr="00450823">
        <w:trPr>
          <w:trHeight w:val="312"/>
        </w:trPr>
        <w:tc>
          <w:tcPr>
            <w:tcW w:w="2105" w:type="dxa"/>
            <w:tcBorders>
              <w:top w:val="nil"/>
              <w:left w:val="single" w:sz="4" w:space="0" w:color="auto"/>
            </w:tcBorders>
            <w:shd w:val="clear" w:color="000000" w:fill="DDEBF7"/>
            <w:hideMark/>
          </w:tcPr>
          <w:p w:rsidR="00847676" w:rsidRPr="00876C6C" w:rsidRDefault="00847676" w:rsidP="005D655C">
            <w:pPr>
              <w:spacing w:after="0" w:line="240" w:lineRule="auto"/>
              <w:rPr>
                <w:rFonts w:ascii="Times New Roman" w:eastAsia="Times New Roman" w:hAnsi="Times New Roman" w:cs="Times New Roman"/>
                <w:sz w:val="24"/>
                <w:szCs w:val="24"/>
                <w:lang w:eastAsia="en-GB"/>
              </w:rPr>
            </w:pPr>
            <w:r w:rsidRPr="00876C6C">
              <w:rPr>
                <w:rFonts w:ascii="Times New Roman" w:eastAsia="Times New Roman" w:hAnsi="Times New Roman" w:cs="Times New Roman"/>
                <w:sz w:val="24"/>
                <w:szCs w:val="24"/>
                <w:lang w:eastAsia="en-GB"/>
              </w:rPr>
              <w:t>Uganda</w:t>
            </w:r>
          </w:p>
        </w:tc>
        <w:tc>
          <w:tcPr>
            <w:tcW w:w="658" w:type="dxa"/>
            <w:tcBorders>
              <w:top w:val="nil"/>
              <w:left w:val="nil"/>
              <w:bottom w:val="nil"/>
              <w:right w:val="nil"/>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2010</w:t>
            </w:r>
          </w:p>
        </w:tc>
        <w:tc>
          <w:tcPr>
            <w:tcW w:w="1101" w:type="dxa"/>
            <w:tcBorders>
              <w:top w:val="nil"/>
              <w:left w:val="nil"/>
              <w:bottom w:val="nil"/>
              <w:right w:val="nil"/>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30</w:t>
            </w:r>
          </w:p>
        </w:tc>
        <w:tc>
          <w:tcPr>
            <w:tcW w:w="2233" w:type="dxa"/>
            <w:tcBorders>
              <w:top w:val="nil"/>
              <w:left w:val="nil"/>
              <w:bottom w:val="nil"/>
              <w:right w:val="single" w:sz="4" w:space="0" w:color="auto"/>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0</w:t>
            </w:r>
          </w:p>
        </w:tc>
      </w:tr>
      <w:tr w:rsidR="00847676" w:rsidRPr="00876C6C" w:rsidTr="00450823">
        <w:trPr>
          <w:trHeight w:val="324"/>
        </w:trPr>
        <w:tc>
          <w:tcPr>
            <w:tcW w:w="2105" w:type="dxa"/>
            <w:tcBorders>
              <w:left w:val="single" w:sz="4" w:space="0" w:color="auto"/>
              <w:bottom w:val="single" w:sz="4" w:space="0" w:color="auto"/>
              <w:right w:val="single" w:sz="4" w:space="0" w:color="C0C0C0"/>
            </w:tcBorders>
            <w:shd w:val="clear" w:color="000000" w:fill="DDEBF7"/>
            <w:hideMark/>
          </w:tcPr>
          <w:p w:rsidR="00847676" w:rsidRPr="00876C6C" w:rsidRDefault="00847676" w:rsidP="005D655C">
            <w:pPr>
              <w:spacing w:after="0" w:line="240" w:lineRule="auto"/>
              <w:rPr>
                <w:rFonts w:ascii="Times New Roman" w:eastAsia="Times New Roman" w:hAnsi="Times New Roman" w:cs="Times New Roman"/>
                <w:sz w:val="24"/>
                <w:szCs w:val="24"/>
                <w:lang w:eastAsia="en-GB"/>
              </w:rPr>
            </w:pPr>
            <w:r w:rsidRPr="00876C6C">
              <w:rPr>
                <w:rFonts w:ascii="Times New Roman" w:eastAsia="Times New Roman" w:hAnsi="Times New Roman" w:cs="Times New Roman"/>
                <w:sz w:val="24"/>
                <w:szCs w:val="24"/>
                <w:lang w:eastAsia="en-GB"/>
              </w:rPr>
              <w:t>Zambia</w:t>
            </w:r>
          </w:p>
        </w:tc>
        <w:tc>
          <w:tcPr>
            <w:tcW w:w="658" w:type="dxa"/>
            <w:tcBorders>
              <w:top w:val="nil"/>
              <w:left w:val="nil"/>
              <w:bottom w:val="single" w:sz="4" w:space="0" w:color="auto"/>
              <w:right w:val="nil"/>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2015</w:t>
            </w:r>
          </w:p>
        </w:tc>
        <w:tc>
          <w:tcPr>
            <w:tcW w:w="1101" w:type="dxa"/>
            <w:tcBorders>
              <w:top w:val="nil"/>
              <w:left w:val="nil"/>
              <w:bottom w:val="single" w:sz="4" w:space="0" w:color="auto"/>
              <w:right w:val="nil"/>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na</w:t>
            </w:r>
          </w:p>
        </w:tc>
        <w:tc>
          <w:tcPr>
            <w:tcW w:w="2233" w:type="dxa"/>
            <w:tcBorders>
              <w:top w:val="nil"/>
              <w:left w:val="nil"/>
              <w:bottom w:val="single" w:sz="4" w:space="0" w:color="auto"/>
              <w:right w:val="single" w:sz="4" w:space="0" w:color="auto"/>
            </w:tcBorders>
            <w:shd w:val="clear" w:color="000000" w:fill="DDEBF7"/>
            <w:noWrap/>
            <w:vAlign w:val="bottom"/>
            <w:hideMark/>
          </w:tcPr>
          <w:p w:rsidR="00847676" w:rsidRPr="00876C6C" w:rsidRDefault="00847676" w:rsidP="005D655C">
            <w:pPr>
              <w:spacing w:after="0" w:line="240" w:lineRule="auto"/>
              <w:jc w:val="center"/>
              <w:rPr>
                <w:rFonts w:ascii="Times New Roman" w:eastAsia="Times New Roman" w:hAnsi="Times New Roman" w:cs="Times New Roman"/>
                <w:sz w:val="20"/>
                <w:szCs w:val="20"/>
                <w:lang w:eastAsia="en-GB"/>
              </w:rPr>
            </w:pPr>
            <w:r w:rsidRPr="00876C6C">
              <w:rPr>
                <w:rFonts w:ascii="Times New Roman" w:eastAsia="Times New Roman" w:hAnsi="Times New Roman" w:cs="Times New Roman"/>
                <w:sz w:val="20"/>
                <w:szCs w:val="20"/>
                <w:lang w:eastAsia="en-GB"/>
              </w:rPr>
              <w:t>10</w:t>
            </w:r>
          </w:p>
        </w:tc>
      </w:tr>
    </w:tbl>
    <w:p w:rsidR="00575457" w:rsidRDefault="00575457" w:rsidP="00012A00">
      <w:pPr>
        <w:jc w:val="both"/>
        <w:rPr>
          <w:rFonts w:ascii="Times New Roman" w:hAnsi="Times New Roman" w:cs="Times New Roman"/>
          <w:i/>
          <w:sz w:val="28"/>
          <w:szCs w:val="28"/>
        </w:rPr>
      </w:pPr>
    </w:p>
    <w:p w:rsidR="00B81D1D" w:rsidRDefault="00E12294" w:rsidP="00012A00">
      <w:pPr>
        <w:jc w:val="both"/>
        <w:rPr>
          <w:rFonts w:ascii="Times New Roman" w:hAnsi="Times New Roman" w:cs="Times New Roman"/>
          <w:sz w:val="28"/>
          <w:szCs w:val="28"/>
        </w:rPr>
      </w:pPr>
      <w:r>
        <w:rPr>
          <w:rFonts w:ascii="Times New Roman" w:hAnsi="Times New Roman" w:cs="Times New Roman"/>
          <w:sz w:val="28"/>
          <w:szCs w:val="28"/>
        </w:rPr>
        <w:lastRenderedPageBreak/>
        <w:t>teachers</w:t>
      </w:r>
      <w:r>
        <w:rPr>
          <w:rStyle w:val="FootnoteReference"/>
          <w:rFonts w:ascii="Times New Roman" w:hAnsi="Times New Roman" w:cs="Times New Roman"/>
          <w:sz w:val="28"/>
          <w:szCs w:val="28"/>
        </w:rPr>
        <w:footnoteReference w:id="10"/>
      </w:r>
      <w:r>
        <w:rPr>
          <w:rFonts w:ascii="Times New Roman" w:hAnsi="Times New Roman" w:cs="Times New Roman"/>
          <w:sz w:val="28"/>
          <w:szCs w:val="28"/>
        </w:rPr>
        <w:t xml:space="preserve"> most of whom are not on the government payroll and are, therefore, wholly reliant on contributions (often in kind) from parents and other community </w:t>
      </w:r>
      <w:r w:rsidR="004474BB">
        <w:rPr>
          <w:rFonts w:ascii="Times New Roman" w:hAnsi="Times New Roman" w:cs="Times New Roman"/>
          <w:sz w:val="28"/>
          <w:szCs w:val="28"/>
        </w:rPr>
        <w:t xml:space="preserve">members.  In some countries such as Sierra Leone, nearly half of all primary school teachers are not paid by government. In the mid-late 2000s, in </w:t>
      </w:r>
      <w:r w:rsidR="00B81D1D">
        <w:rPr>
          <w:rFonts w:ascii="Times New Roman" w:hAnsi="Times New Roman" w:cs="Times New Roman"/>
          <w:sz w:val="28"/>
          <w:szCs w:val="28"/>
        </w:rPr>
        <w:t xml:space="preserve">Francophone Central and West Africa, community teachers earned at least three-five times less than government teachers. More recent data is patchy, but it would appear that little has changed during the last 10-15 years.      </w:t>
      </w:r>
    </w:p>
    <w:p w:rsidR="0008314B" w:rsidRPr="0008314B" w:rsidRDefault="0008314B" w:rsidP="00012A00">
      <w:pPr>
        <w:jc w:val="both"/>
        <w:rPr>
          <w:rFonts w:ascii="Times New Roman" w:hAnsi="Times New Roman" w:cs="Times New Roman"/>
          <w:i/>
          <w:sz w:val="28"/>
          <w:szCs w:val="28"/>
        </w:rPr>
      </w:pPr>
      <w:r w:rsidRPr="0008314B">
        <w:rPr>
          <w:rFonts w:ascii="Times New Roman" w:hAnsi="Times New Roman" w:cs="Times New Roman"/>
          <w:i/>
          <w:sz w:val="28"/>
          <w:szCs w:val="28"/>
        </w:rPr>
        <w:t>5.2 Pay trends</w:t>
      </w:r>
    </w:p>
    <w:p w:rsidR="00012A00" w:rsidRDefault="00012A00" w:rsidP="00012A00">
      <w:pPr>
        <w:jc w:val="both"/>
        <w:rPr>
          <w:rFonts w:ascii="Times New Roman" w:hAnsi="Times New Roman" w:cs="Times New Roman"/>
          <w:sz w:val="28"/>
          <w:szCs w:val="28"/>
        </w:rPr>
      </w:pPr>
      <w:r>
        <w:rPr>
          <w:rFonts w:ascii="Times New Roman" w:hAnsi="Times New Roman" w:cs="Times New Roman"/>
          <w:sz w:val="28"/>
          <w:szCs w:val="28"/>
        </w:rPr>
        <w:t>From the early 1980s to the late 1990s, the real incomes of teachers fell appreciably in m</w:t>
      </w:r>
      <w:r w:rsidR="0055042E">
        <w:rPr>
          <w:rFonts w:ascii="Times New Roman" w:hAnsi="Times New Roman" w:cs="Times New Roman"/>
          <w:sz w:val="28"/>
          <w:szCs w:val="28"/>
        </w:rPr>
        <w:t xml:space="preserve">any </w:t>
      </w:r>
      <w:r>
        <w:rPr>
          <w:rFonts w:ascii="Times New Roman" w:hAnsi="Times New Roman" w:cs="Times New Roman"/>
          <w:sz w:val="28"/>
          <w:szCs w:val="28"/>
        </w:rPr>
        <w:t xml:space="preserve">countries in SSA mainly as a result of </w:t>
      </w:r>
      <w:r w:rsidR="0055042E">
        <w:rPr>
          <w:rFonts w:ascii="Times New Roman" w:hAnsi="Times New Roman" w:cs="Times New Roman"/>
          <w:sz w:val="28"/>
          <w:szCs w:val="28"/>
        </w:rPr>
        <w:t xml:space="preserve">deep-seated </w:t>
      </w:r>
      <w:r>
        <w:rPr>
          <w:rFonts w:ascii="Times New Roman" w:hAnsi="Times New Roman" w:cs="Times New Roman"/>
          <w:sz w:val="28"/>
          <w:szCs w:val="28"/>
        </w:rPr>
        <w:t xml:space="preserve">fiscal crisis, high inflation and structural adjustment programmes. It is interesting to note, therefore, that concerns about the ‘relatively high pay’ of teachers first started to be voiced towards the end of this long period of salary decline. </w:t>
      </w:r>
      <w:r w:rsidR="005D500C">
        <w:rPr>
          <w:rFonts w:ascii="Times New Roman" w:hAnsi="Times New Roman" w:cs="Times New Roman"/>
          <w:sz w:val="28"/>
          <w:szCs w:val="28"/>
        </w:rPr>
        <w:t>Sinc</w:t>
      </w:r>
      <w:r w:rsidR="00F20435">
        <w:rPr>
          <w:rFonts w:ascii="Times New Roman" w:hAnsi="Times New Roman" w:cs="Times New Roman"/>
          <w:sz w:val="28"/>
          <w:szCs w:val="28"/>
        </w:rPr>
        <w:t>e the mid-2000s</w:t>
      </w:r>
      <w:r w:rsidR="005D500C">
        <w:rPr>
          <w:rFonts w:ascii="Times New Roman" w:hAnsi="Times New Roman" w:cs="Times New Roman"/>
          <w:sz w:val="28"/>
          <w:szCs w:val="28"/>
        </w:rPr>
        <w:t xml:space="preserve">, there has been a reversal of this downward trend in real incomes in the majority of countries in SSA although with some important exceptions including Kenya and Nigeria (see Figure </w:t>
      </w:r>
      <w:r w:rsidR="00847676">
        <w:rPr>
          <w:rFonts w:ascii="Times New Roman" w:hAnsi="Times New Roman" w:cs="Times New Roman"/>
          <w:sz w:val="28"/>
          <w:szCs w:val="28"/>
        </w:rPr>
        <w:t>4</w:t>
      </w:r>
      <w:r w:rsidR="005D500C">
        <w:rPr>
          <w:rFonts w:ascii="Times New Roman" w:hAnsi="Times New Roman" w:cs="Times New Roman"/>
          <w:sz w:val="28"/>
          <w:szCs w:val="28"/>
        </w:rPr>
        <w:t>).</w:t>
      </w:r>
    </w:p>
    <w:p w:rsidR="00047DE8" w:rsidRDefault="00047DE8" w:rsidP="00B461C6">
      <w:pPr>
        <w:jc w:val="both"/>
        <w:rPr>
          <w:rFonts w:ascii="Times New Roman" w:hAnsi="Times New Roman" w:cs="Times New Roman"/>
          <w:i/>
          <w:sz w:val="28"/>
          <w:szCs w:val="28"/>
        </w:rPr>
      </w:pPr>
      <w:r>
        <w:rPr>
          <w:noProof/>
          <w:lang w:eastAsia="en-GB"/>
        </w:rPr>
        <w:drawing>
          <wp:inline distT="0" distB="0" distL="0" distR="0" wp14:anchorId="1010568B" wp14:editId="0E1B5386">
            <wp:extent cx="4892040" cy="2770632"/>
            <wp:effectExtent l="0" t="0" r="3810" b="1079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56E92" w:rsidRPr="005D500C" w:rsidRDefault="00542C3F" w:rsidP="00B461C6">
      <w:pPr>
        <w:jc w:val="both"/>
        <w:rPr>
          <w:rFonts w:ascii="Times New Roman" w:hAnsi="Times New Roman" w:cs="Times New Roman"/>
          <w:i/>
          <w:sz w:val="28"/>
          <w:szCs w:val="28"/>
        </w:rPr>
      </w:pPr>
      <w:r>
        <w:rPr>
          <w:rFonts w:ascii="Times New Roman" w:hAnsi="Times New Roman" w:cs="Times New Roman"/>
          <w:i/>
          <w:sz w:val="28"/>
          <w:szCs w:val="28"/>
        </w:rPr>
        <w:t>5.3</w:t>
      </w:r>
      <w:r w:rsidR="005D500C" w:rsidRPr="005D500C">
        <w:rPr>
          <w:rFonts w:ascii="Times New Roman" w:hAnsi="Times New Roman" w:cs="Times New Roman"/>
          <w:i/>
          <w:sz w:val="28"/>
          <w:szCs w:val="28"/>
        </w:rPr>
        <w:t xml:space="preserve"> Basic livelihood needs</w:t>
      </w:r>
    </w:p>
    <w:p w:rsidR="004474BB" w:rsidRDefault="005D500C" w:rsidP="00B461C6">
      <w:pPr>
        <w:jc w:val="both"/>
        <w:rPr>
          <w:rFonts w:ascii="Times New Roman" w:hAnsi="Times New Roman" w:cs="Times New Roman"/>
          <w:sz w:val="28"/>
          <w:szCs w:val="28"/>
        </w:rPr>
      </w:pPr>
      <w:r>
        <w:rPr>
          <w:rFonts w:ascii="Times New Roman" w:hAnsi="Times New Roman" w:cs="Times New Roman"/>
          <w:sz w:val="28"/>
          <w:szCs w:val="28"/>
        </w:rPr>
        <w:t xml:space="preserve">The adequacy of teacher pay </w:t>
      </w:r>
      <w:r w:rsidR="00F20435">
        <w:rPr>
          <w:rFonts w:ascii="Times New Roman" w:hAnsi="Times New Roman" w:cs="Times New Roman"/>
          <w:sz w:val="28"/>
          <w:szCs w:val="28"/>
        </w:rPr>
        <w:t xml:space="preserve">in SSA </w:t>
      </w:r>
      <w:r>
        <w:rPr>
          <w:rFonts w:ascii="Times New Roman" w:hAnsi="Times New Roman" w:cs="Times New Roman"/>
          <w:sz w:val="28"/>
          <w:szCs w:val="28"/>
        </w:rPr>
        <w:t xml:space="preserve">in relation to basic livelihood </w:t>
      </w:r>
      <w:r w:rsidR="00F20435">
        <w:rPr>
          <w:rFonts w:ascii="Times New Roman" w:hAnsi="Times New Roman" w:cs="Times New Roman"/>
          <w:sz w:val="28"/>
          <w:szCs w:val="28"/>
        </w:rPr>
        <w:t xml:space="preserve">needs </w:t>
      </w:r>
      <w:r>
        <w:rPr>
          <w:rFonts w:ascii="Times New Roman" w:hAnsi="Times New Roman" w:cs="Times New Roman"/>
          <w:sz w:val="28"/>
          <w:szCs w:val="28"/>
        </w:rPr>
        <w:t xml:space="preserve">has never been </w:t>
      </w:r>
      <w:r w:rsidR="003D1904">
        <w:rPr>
          <w:rFonts w:ascii="Times New Roman" w:hAnsi="Times New Roman" w:cs="Times New Roman"/>
          <w:sz w:val="28"/>
          <w:szCs w:val="28"/>
        </w:rPr>
        <w:t xml:space="preserve">systematically </w:t>
      </w:r>
      <w:r>
        <w:rPr>
          <w:rFonts w:ascii="Times New Roman" w:hAnsi="Times New Roman" w:cs="Times New Roman"/>
          <w:sz w:val="28"/>
          <w:szCs w:val="28"/>
        </w:rPr>
        <w:t>investigated</w:t>
      </w:r>
      <w:r w:rsidR="003D1904">
        <w:rPr>
          <w:rFonts w:ascii="Times New Roman" w:hAnsi="Times New Roman" w:cs="Times New Roman"/>
          <w:sz w:val="28"/>
          <w:szCs w:val="28"/>
        </w:rPr>
        <w:t xml:space="preserve">. A rapid review of teacher pay in 2004 concluded </w:t>
      </w:r>
      <w:r w:rsidR="00F20435">
        <w:rPr>
          <w:rFonts w:ascii="Times New Roman" w:hAnsi="Times New Roman" w:cs="Times New Roman"/>
          <w:sz w:val="28"/>
          <w:szCs w:val="28"/>
        </w:rPr>
        <w:t xml:space="preserve">that </w:t>
      </w:r>
      <w:r w:rsidR="003D1904">
        <w:rPr>
          <w:rFonts w:ascii="Times New Roman" w:hAnsi="Times New Roman" w:cs="Times New Roman"/>
          <w:sz w:val="28"/>
          <w:szCs w:val="28"/>
        </w:rPr>
        <w:t xml:space="preserve">‘in contrast to the findings of World Bank research, there is a broad consensus that teacher’s remuneration in the majority of low income countries is seriously inadequate. This is because total pay does not cover basic household survival needs, let alone enable teachers to enjoy a ‘reasonable </w:t>
      </w:r>
      <w:r w:rsidR="003D1904">
        <w:rPr>
          <w:rFonts w:ascii="Times New Roman" w:hAnsi="Times New Roman" w:cs="Times New Roman"/>
          <w:sz w:val="28"/>
          <w:szCs w:val="28"/>
        </w:rPr>
        <w:lastRenderedPageBreak/>
        <w:t xml:space="preserve">standard of living…The minimum household survival incomes for teachers are typically two-three times higher than the basic government salary (including </w:t>
      </w:r>
      <w:r w:rsidR="004474BB">
        <w:rPr>
          <w:rFonts w:ascii="Times New Roman" w:hAnsi="Times New Roman" w:cs="Times New Roman"/>
          <w:sz w:val="28"/>
          <w:szCs w:val="28"/>
        </w:rPr>
        <w:t>allowances and frequently more than this’ (</w:t>
      </w:r>
      <w:r w:rsidR="008A065F">
        <w:rPr>
          <w:rFonts w:ascii="Times New Roman" w:hAnsi="Times New Roman" w:cs="Times New Roman"/>
          <w:sz w:val="28"/>
          <w:szCs w:val="28"/>
        </w:rPr>
        <w:t>Author</w:t>
      </w:r>
      <w:r w:rsidR="004474BB">
        <w:rPr>
          <w:rFonts w:ascii="Times New Roman" w:hAnsi="Times New Roman" w:cs="Times New Roman"/>
          <w:sz w:val="28"/>
          <w:szCs w:val="28"/>
        </w:rPr>
        <w:t xml:space="preserve">).     .  </w:t>
      </w:r>
    </w:p>
    <w:p w:rsidR="005D500C" w:rsidRPr="005D500C" w:rsidRDefault="005D500C" w:rsidP="00B461C6">
      <w:pPr>
        <w:jc w:val="both"/>
        <w:rPr>
          <w:rFonts w:ascii="Times New Roman" w:hAnsi="Times New Roman" w:cs="Times New Roman"/>
          <w:i/>
          <w:sz w:val="28"/>
          <w:szCs w:val="28"/>
        </w:rPr>
      </w:pPr>
      <w:r w:rsidRPr="005D500C">
        <w:rPr>
          <w:rFonts w:ascii="Times New Roman" w:hAnsi="Times New Roman" w:cs="Times New Roman"/>
          <w:i/>
          <w:sz w:val="28"/>
          <w:szCs w:val="28"/>
        </w:rPr>
        <w:t>Family living wage</w:t>
      </w:r>
    </w:p>
    <w:p w:rsidR="007A56D2" w:rsidRDefault="004F4BDF" w:rsidP="00B461C6">
      <w:pPr>
        <w:jc w:val="both"/>
        <w:rPr>
          <w:rFonts w:ascii="Times New Roman" w:hAnsi="Times New Roman" w:cs="Times New Roman"/>
          <w:sz w:val="28"/>
          <w:szCs w:val="28"/>
        </w:rPr>
      </w:pPr>
      <w:r>
        <w:rPr>
          <w:rFonts w:ascii="Times New Roman" w:hAnsi="Times New Roman" w:cs="Times New Roman"/>
          <w:sz w:val="28"/>
          <w:szCs w:val="28"/>
        </w:rPr>
        <w:t xml:space="preserve">The </w:t>
      </w:r>
      <w:r w:rsidR="00927F07">
        <w:rPr>
          <w:rFonts w:ascii="Times New Roman" w:hAnsi="Times New Roman" w:cs="Times New Roman"/>
          <w:sz w:val="28"/>
          <w:szCs w:val="28"/>
        </w:rPr>
        <w:t xml:space="preserve">Family </w:t>
      </w:r>
      <w:r>
        <w:rPr>
          <w:rFonts w:ascii="Times New Roman" w:hAnsi="Times New Roman" w:cs="Times New Roman"/>
          <w:sz w:val="28"/>
          <w:szCs w:val="28"/>
        </w:rPr>
        <w:t xml:space="preserve">Living Wage </w:t>
      </w:r>
      <w:r w:rsidR="00927F07">
        <w:rPr>
          <w:rFonts w:ascii="Times New Roman" w:hAnsi="Times New Roman" w:cs="Times New Roman"/>
          <w:sz w:val="28"/>
          <w:szCs w:val="28"/>
        </w:rPr>
        <w:t xml:space="preserve">(FLW) </w:t>
      </w:r>
      <w:r>
        <w:rPr>
          <w:rFonts w:ascii="Times New Roman" w:hAnsi="Times New Roman" w:cs="Times New Roman"/>
          <w:sz w:val="28"/>
          <w:szCs w:val="28"/>
        </w:rPr>
        <w:t xml:space="preserve">is based on the concept that work should provide an adequate income to cover the </w:t>
      </w:r>
      <w:r w:rsidR="0055042E">
        <w:rPr>
          <w:rFonts w:ascii="Times New Roman" w:hAnsi="Times New Roman" w:cs="Times New Roman"/>
          <w:sz w:val="28"/>
          <w:szCs w:val="28"/>
        </w:rPr>
        <w:t xml:space="preserve">minimum </w:t>
      </w:r>
      <w:r>
        <w:rPr>
          <w:rFonts w:ascii="Times New Roman" w:hAnsi="Times New Roman" w:cs="Times New Roman"/>
          <w:sz w:val="28"/>
          <w:szCs w:val="28"/>
        </w:rPr>
        <w:t xml:space="preserve">necessary living costs of a family. It is </w:t>
      </w:r>
      <w:r w:rsidR="007A56D2">
        <w:rPr>
          <w:rFonts w:ascii="Times New Roman" w:hAnsi="Times New Roman" w:cs="Times New Roman"/>
          <w:sz w:val="28"/>
          <w:szCs w:val="28"/>
        </w:rPr>
        <w:t xml:space="preserve">the </w:t>
      </w:r>
      <w:r>
        <w:rPr>
          <w:rFonts w:ascii="Times New Roman" w:hAnsi="Times New Roman" w:cs="Times New Roman"/>
          <w:sz w:val="28"/>
          <w:szCs w:val="28"/>
        </w:rPr>
        <w:t xml:space="preserve">approximate income needed to meet a family’s basic needs including food, transport, health, education, tax deductions and other necessities. In low-income countries, </w:t>
      </w:r>
      <w:r w:rsidR="00286206">
        <w:rPr>
          <w:rFonts w:ascii="Times New Roman" w:hAnsi="Times New Roman" w:cs="Times New Roman"/>
          <w:sz w:val="28"/>
          <w:szCs w:val="28"/>
        </w:rPr>
        <w:t xml:space="preserve">food items </w:t>
      </w:r>
      <w:r>
        <w:rPr>
          <w:rFonts w:ascii="Times New Roman" w:hAnsi="Times New Roman" w:cs="Times New Roman"/>
          <w:sz w:val="28"/>
          <w:szCs w:val="28"/>
        </w:rPr>
        <w:t>typically</w:t>
      </w:r>
      <w:r w:rsidR="00286206">
        <w:rPr>
          <w:rFonts w:ascii="Times New Roman" w:hAnsi="Times New Roman" w:cs="Times New Roman"/>
          <w:sz w:val="28"/>
          <w:szCs w:val="28"/>
        </w:rPr>
        <w:t xml:space="preserve"> account for </w:t>
      </w:r>
      <w:r>
        <w:rPr>
          <w:rFonts w:ascii="Times New Roman" w:hAnsi="Times New Roman" w:cs="Times New Roman"/>
          <w:sz w:val="28"/>
          <w:szCs w:val="28"/>
        </w:rPr>
        <w:t>over</w:t>
      </w:r>
      <w:r w:rsidR="00927F07">
        <w:rPr>
          <w:rFonts w:ascii="Times New Roman" w:hAnsi="Times New Roman" w:cs="Times New Roman"/>
          <w:sz w:val="28"/>
          <w:szCs w:val="28"/>
        </w:rPr>
        <w:t xml:space="preserve"> two</w:t>
      </w:r>
      <w:r>
        <w:rPr>
          <w:rFonts w:ascii="Times New Roman" w:hAnsi="Times New Roman" w:cs="Times New Roman"/>
          <w:sz w:val="28"/>
          <w:szCs w:val="28"/>
        </w:rPr>
        <w:t>-thirds of total family expenditure</w:t>
      </w:r>
      <w:r w:rsidR="00286206">
        <w:rPr>
          <w:rFonts w:ascii="Times New Roman" w:hAnsi="Times New Roman" w:cs="Times New Roman"/>
          <w:sz w:val="28"/>
          <w:szCs w:val="28"/>
        </w:rPr>
        <w:t xml:space="preserve">. The FLW is based on a </w:t>
      </w:r>
      <w:r w:rsidR="0055042E">
        <w:rPr>
          <w:rFonts w:ascii="Times New Roman" w:hAnsi="Times New Roman" w:cs="Times New Roman"/>
          <w:sz w:val="28"/>
          <w:szCs w:val="28"/>
        </w:rPr>
        <w:t>‘</w:t>
      </w:r>
      <w:r w:rsidR="00286206">
        <w:rPr>
          <w:rFonts w:ascii="Times New Roman" w:hAnsi="Times New Roman" w:cs="Times New Roman"/>
          <w:sz w:val="28"/>
          <w:szCs w:val="28"/>
        </w:rPr>
        <w:t>healthy diet</w:t>
      </w:r>
      <w:r w:rsidR="0055042E">
        <w:rPr>
          <w:rFonts w:ascii="Times New Roman" w:hAnsi="Times New Roman" w:cs="Times New Roman"/>
          <w:sz w:val="28"/>
          <w:szCs w:val="28"/>
        </w:rPr>
        <w:t>’</w:t>
      </w:r>
      <w:r w:rsidR="00286206">
        <w:rPr>
          <w:rFonts w:ascii="Times New Roman" w:hAnsi="Times New Roman" w:cs="Times New Roman"/>
          <w:sz w:val="28"/>
          <w:szCs w:val="28"/>
        </w:rPr>
        <w:t xml:space="preserve"> (as recommended by the WHO and World Bank) amounting to </w:t>
      </w:r>
      <w:r w:rsidR="009022DB">
        <w:rPr>
          <w:rFonts w:ascii="Times New Roman" w:hAnsi="Times New Roman" w:cs="Times New Roman"/>
          <w:sz w:val="28"/>
          <w:szCs w:val="28"/>
        </w:rPr>
        <w:t>2,1</w:t>
      </w:r>
      <w:r>
        <w:rPr>
          <w:rFonts w:ascii="Times New Roman" w:hAnsi="Times New Roman" w:cs="Times New Roman"/>
          <w:sz w:val="28"/>
          <w:szCs w:val="28"/>
        </w:rPr>
        <w:t>00 calories per day</w:t>
      </w:r>
      <w:r w:rsidR="00927F07">
        <w:rPr>
          <w:rFonts w:ascii="Times New Roman" w:hAnsi="Times New Roman" w:cs="Times New Roman"/>
          <w:sz w:val="28"/>
          <w:szCs w:val="28"/>
        </w:rPr>
        <w:t xml:space="preserve"> for each family member</w:t>
      </w:r>
      <w:r>
        <w:rPr>
          <w:rFonts w:ascii="Times New Roman" w:hAnsi="Times New Roman" w:cs="Times New Roman"/>
          <w:sz w:val="28"/>
          <w:szCs w:val="28"/>
        </w:rPr>
        <w:t>.</w:t>
      </w:r>
      <w:r w:rsidR="007A56D2">
        <w:rPr>
          <w:rFonts w:ascii="Times New Roman" w:hAnsi="Times New Roman" w:cs="Times New Roman"/>
          <w:sz w:val="28"/>
          <w:szCs w:val="28"/>
        </w:rPr>
        <w:t xml:space="preserve"> An NGO, WageIndicator, uses prices from national cost of living surveys to calculate </w:t>
      </w:r>
      <w:r w:rsidR="00535135">
        <w:rPr>
          <w:rFonts w:ascii="Times New Roman" w:hAnsi="Times New Roman" w:cs="Times New Roman"/>
          <w:sz w:val="28"/>
          <w:szCs w:val="28"/>
        </w:rPr>
        <w:t>individual and family living w</w:t>
      </w:r>
      <w:r w:rsidR="007A56D2">
        <w:rPr>
          <w:rFonts w:ascii="Times New Roman" w:hAnsi="Times New Roman" w:cs="Times New Roman"/>
          <w:sz w:val="28"/>
          <w:szCs w:val="28"/>
        </w:rPr>
        <w:t>ages in more than 70 countries.</w:t>
      </w:r>
      <w:r>
        <w:rPr>
          <w:rFonts w:ascii="Times New Roman" w:hAnsi="Times New Roman" w:cs="Times New Roman"/>
          <w:sz w:val="28"/>
          <w:szCs w:val="28"/>
        </w:rPr>
        <w:t xml:space="preserve"> </w:t>
      </w:r>
    </w:p>
    <w:p w:rsidR="00656E92" w:rsidRDefault="007A56D2" w:rsidP="00B461C6">
      <w:pPr>
        <w:jc w:val="both"/>
        <w:rPr>
          <w:rFonts w:ascii="Times New Roman" w:hAnsi="Times New Roman" w:cs="Times New Roman"/>
          <w:sz w:val="28"/>
          <w:szCs w:val="28"/>
        </w:rPr>
      </w:pPr>
      <w:r>
        <w:rPr>
          <w:rFonts w:ascii="Times New Roman" w:hAnsi="Times New Roman" w:cs="Times New Roman"/>
          <w:sz w:val="28"/>
          <w:szCs w:val="28"/>
        </w:rPr>
        <w:t xml:space="preserve">WageIndicator living wage estimates </w:t>
      </w:r>
      <w:r w:rsidR="00535135">
        <w:rPr>
          <w:rFonts w:ascii="Times New Roman" w:hAnsi="Times New Roman" w:cs="Times New Roman"/>
          <w:sz w:val="28"/>
          <w:szCs w:val="28"/>
        </w:rPr>
        <w:t xml:space="preserve">for countries in SSA have been </w:t>
      </w:r>
      <w:r>
        <w:rPr>
          <w:rFonts w:ascii="Times New Roman" w:hAnsi="Times New Roman" w:cs="Times New Roman"/>
          <w:sz w:val="28"/>
          <w:szCs w:val="28"/>
        </w:rPr>
        <w:t>used in order to assess the extent to which primary school teacher pay is sufficient to meet the basic needs of a ‘standard’ family of two adults and two children with an average of 1.6 adults working per family</w:t>
      </w:r>
      <w:r w:rsidR="00793913">
        <w:rPr>
          <w:rStyle w:val="FootnoteReference"/>
          <w:rFonts w:ascii="Times New Roman" w:hAnsi="Times New Roman" w:cs="Times New Roman"/>
          <w:sz w:val="28"/>
          <w:szCs w:val="28"/>
        </w:rPr>
        <w:footnoteReference w:id="11"/>
      </w:r>
      <w:r>
        <w:rPr>
          <w:rFonts w:ascii="Times New Roman" w:hAnsi="Times New Roman" w:cs="Times New Roman"/>
          <w:sz w:val="28"/>
          <w:szCs w:val="28"/>
        </w:rPr>
        <w:t xml:space="preserve">.  </w:t>
      </w:r>
      <w:r w:rsidR="00047DE8">
        <w:rPr>
          <w:rFonts w:ascii="Times New Roman" w:hAnsi="Times New Roman" w:cs="Times New Roman"/>
          <w:sz w:val="28"/>
          <w:szCs w:val="28"/>
        </w:rPr>
        <w:t>Figure 5</w:t>
      </w:r>
      <w:r w:rsidR="003D7362">
        <w:rPr>
          <w:rFonts w:ascii="Times New Roman" w:hAnsi="Times New Roman" w:cs="Times New Roman"/>
          <w:sz w:val="28"/>
          <w:szCs w:val="28"/>
        </w:rPr>
        <w:t xml:space="preserve"> presents the scatter plots of </w:t>
      </w:r>
      <w:r w:rsidR="00535135">
        <w:rPr>
          <w:rFonts w:ascii="Times New Roman" w:hAnsi="Times New Roman" w:cs="Times New Roman"/>
          <w:sz w:val="28"/>
          <w:szCs w:val="28"/>
        </w:rPr>
        <w:t xml:space="preserve">primary school </w:t>
      </w:r>
      <w:r w:rsidR="003D7362">
        <w:rPr>
          <w:rFonts w:ascii="Times New Roman" w:hAnsi="Times New Roman" w:cs="Times New Roman"/>
          <w:sz w:val="28"/>
          <w:szCs w:val="28"/>
        </w:rPr>
        <w:t xml:space="preserve">teacher gross pay </w:t>
      </w:r>
      <w:r w:rsidR="00535135">
        <w:rPr>
          <w:rFonts w:ascii="Times New Roman" w:hAnsi="Times New Roman" w:cs="Times New Roman"/>
          <w:sz w:val="28"/>
          <w:szCs w:val="28"/>
        </w:rPr>
        <w:t xml:space="preserve">expressed </w:t>
      </w:r>
      <w:r w:rsidR="003D7362">
        <w:rPr>
          <w:rFonts w:ascii="Times New Roman" w:hAnsi="Times New Roman" w:cs="Times New Roman"/>
          <w:sz w:val="28"/>
          <w:szCs w:val="28"/>
        </w:rPr>
        <w:t>as a percentage of the FLW and GDP per capita (in PPP</w:t>
      </w:r>
      <w:r w:rsidR="00535135">
        <w:rPr>
          <w:rFonts w:ascii="Times New Roman" w:hAnsi="Times New Roman" w:cs="Times New Roman"/>
          <w:sz w:val="28"/>
          <w:szCs w:val="28"/>
        </w:rPr>
        <w:t>, $,2020</w:t>
      </w:r>
      <w:r w:rsidR="003D7362">
        <w:rPr>
          <w:rFonts w:ascii="Times New Roman" w:hAnsi="Times New Roman" w:cs="Times New Roman"/>
          <w:sz w:val="28"/>
          <w:szCs w:val="28"/>
        </w:rPr>
        <w:t xml:space="preserve">). </w:t>
      </w:r>
      <w:r w:rsidR="002F21E0">
        <w:rPr>
          <w:rFonts w:ascii="Times New Roman" w:hAnsi="Times New Roman" w:cs="Times New Roman"/>
          <w:sz w:val="28"/>
          <w:szCs w:val="28"/>
        </w:rPr>
        <w:t>Mean t</w:t>
      </w:r>
      <w:r w:rsidR="003D7362">
        <w:rPr>
          <w:rFonts w:ascii="Times New Roman" w:hAnsi="Times New Roman" w:cs="Times New Roman"/>
          <w:sz w:val="28"/>
          <w:szCs w:val="28"/>
        </w:rPr>
        <w:t xml:space="preserve">eacher pay in </w:t>
      </w:r>
      <w:r w:rsidR="00AC7831">
        <w:rPr>
          <w:rFonts w:ascii="Times New Roman" w:hAnsi="Times New Roman" w:cs="Times New Roman"/>
          <w:sz w:val="28"/>
          <w:szCs w:val="28"/>
        </w:rPr>
        <w:t xml:space="preserve">the eight countries in </w:t>
      </w:r>
      <w:r w:rsidR="003D7362">
        <w:rPr>
          <w:rFonts w:ascii="Times New Roman" w:hAnsi="Times New Roman" w:cs="Times New Roman"/>
          <w:sz w:val="28"/>
          <w:szCs w:val="28"/>
        </w:rPr>
        <w:t xml:space="preserve">Cluster A </w:t>
      </w:r>
      <w:r w:rsidR="00AC7831">
        <w:rPr>
          <w:rFonts w:ascii="Times New Roman" w:hAnsi="Times New Roman" w:cs="Times New Roman"/>
          <w:sz w:val="28"/>
          <w:szCs w:val="28"/>
        </w:rPr>
        <w:t>is less than 4</w:t>
      </w:r>
      <w:r w:rsidR="003D7362">
        <w:rPr>
          <w:rFonts w:ascii="Times New Roman" w:hAnsi="Times New Roman" w:cs="Times New Roman"/>
          <w:sz w:val="28"/>
          <w:szCs w:val="28"/>
        </w:rPr>
        <w:t xml:space="preserve">0% of the </w:t>
      </w:r>
      <w:r w:rsidR="00AC7831">
        <w:rPr>
          <w:rFonts w:ascii="Times New Roman" w:hAnsi="Times New Roman" w:cs="Times New Roman"/>
          <w:sz w:val="28"/>
          <w:szCs w:val="28"/>
        </w:rPr>
        <w:t xml:space="preserve">FLW, between minus 25% and plus 25% in the 17 countries in Cluster B and over 50% in seven countries in Cluster C.   </w:t>
      </w:r>
      <w:r w:rsidR="003D736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47676" w:rsidRDefault="00847676" w:rsidP="00B461C6">
      <w:pPr>
        <w:jc w:val="both"/>
        <w:rPr>
          <w:rFonts w:ascii="Times New Roman" w:hAnsi="Times New Roman" w:cs="Times New Roman"/>
          <w:sz w:val="28"/>
          <w:szCs w:val="28"/>
        </w:rPr>
      </w:pPr>
      <w:r>
        <w:rPr>
          <w:noProof/>
          <w:lang w:eastAsia="en-GB"/>
        </w:rPr>
        <w:drawing>
          <wp:inline distT="0" distB="0" distL="0" distR="0" wp14:anchorId="700A4670" wp14:editId="553D347E">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86206" w:rsidRDefault="00286206" w:rsidP="00B461C6">
      <w:pPr>
        <w:jc w:val="both"/>
        <w:rPr>
          <w:rFonts w:ascii="Times New Roman" w:hAnsi="Times New Roman" w:cs="Times New Roman"/>
          <w:sz w:val="28"/>
          <w:szCs w:val="28"/>
        </w:rPr>
      </w:pPr>
      <w:r>
        <w:rPr>
          <w:rFonts w:ascii="Times New Roman" w:hAnsi="Times New Roman" w:cs="Times New Roman"/>
          <w:sz w:val="28"/>
          <w:szCs w:val="28"/>
        </w:rPr>
        <w:t>More d</w:t>
      </w:r>
      <w:r w:rsidR="002F21E0">
        <w:rPr>
          <w:rFonts w:ascii="Times New Roman" w:hAnsi="Times New Roman" w:cs="Times New Roman"/>
          <w:sz w:val="28"/>
          <w:szCs w:val="28"/>
        </w:rPr>
        <w:t xml:space="preserve">etailed country level analysis is needed in order to establish what proportions of teachers, both those who are on the government payroll and those </w:t>
      </w:r>
      <w:r w:rsidR="002F21E0">
        <w:rPr>
          <w:rFonts w:ascii="Times New Roman" w:hAnsi="Times New Roman" w:cs="Times New Roman"/>
          <w:sz w:val="28"/>
          <w:szCs w:val="28"/>
        </w:rPr>
        <w:lastRenderedPageBreak/>
        <w:t xml:space="preserve">who are not, </w:t>
      </w:r>
      <w:r w:rsidR="0094419C">
        <w:rPr>
          <w:rFonts w:ascii="Times New Roman" w:hAnsi="Times New Roman" w:cs="Times New Roman"/>
          <w:sz w:val="28"/>
          <w:szCs w:val="28"/>
        </w:rPr>
        <w:t xml:space="preserve">are paid </w:t>
      </w:r>
      <w:r w:rsidR="002F21E0">
        <w:rPr>
          <w:rFonts w:ascii="Times New Roman" w:hAnsi="Times New Roman" w:cs="Times New Roman"/>
          <w:sz w:val="28"/>
          <w:szCs w:val="28"/>
        </w:rPr>
        <w:t>below the FLW.</w:t>
      </w:r>
      <w:r>
        <w:rPr>
          <w:rFonts w:ascii="Times New Roman" w:hAnsi="Times New Roman" w:cs="Times New Roman"/>
          <w:sz w:val="28"/>
          <w:szCs w:val="28"/>
        </w:rPr>
        <w:t xml:space="preserve"> For example, Figure </w:t>
      </w:r>
      <w:r w:rsidR="00047DE8">
        <w:rPr>
          <w:rFonts w:ascii="Times New Roman" w:hAnsi="Times New Roman" w:cs="Times New Roman"/>
          <w:sz w:val="28"/>
          <w:szCs w:val="28"/>
        </w:rPr>
        <w:t>6</w:t>
      </w:r>
      <w:r w:rsidR="00535135">
        <w:rPr>
          <w:rFonts w:ascii="Times New Roman" w:hAnsi="Times New Roman" w:cs="Times New Roman"/>
          <w:sz w:val="28"/>
          <w:szCs w:val="28"/>
        </w:rPr>
        <w:t xml:space="preserve"> </w:t>
      </w:r>
      <w:r>
        <w:rPr>
          <w:rFonts w:ascii="Times New Roman" w:hAnsi="Times New Roman" w:cs="Times New Roman"/>
          <w:sz w:val="28"/>
          <w:szCs w:val="28"/>
        </w:rPr>
        <w:t xml:space="preserve">shows that </w:t>
      </w:r>
      <w:r w:rsidR="00921136">
        <w:rPr>
          <w:rFonts w:ascii="Times New Roman" w:hAnsi="Times New Roman" w:cs="Times New Roman"/>
          <w:sz w:val="28"/>
          <w:szCs w:val="28"/>
        </w:rPr>
        <w:t>the starting salaries of government primary school teachers in half of the countries for which data is available was less than 75% of the FLW. These countries include Ethiopia, Nigeria, Kenya, Uganda and Tanzania which, between them, account for nearly half of all teachers in SSA</w:t>
      </w:r>
      <w:r w:rsidR="00921136">
        <w:rPr>
          <w:rStyle w:val="FootnoteReference"/>
          <w:rFonts w:ascii="Times New Roman" w:hAnsi="Times New Roman" w:cs="Times New Roman"/>
          <w:sz w:val="28"/>
          <w:szCs w:val="28"/>
        </w:rPr>
        <w:footnoteReference w:id="12"/>
      </w:r>
      <w:r w:rsidR="00921136">
        <w:rPr>
          <w:rFonts w:ascii="Times New Roman" w:hAnsi="Times New Roman" w:cs="Times New Roman"/>
          <w:sz w:val="28"/>
          <w:szCs w:val="28"/>
        </w:rPr>
        <w:t>. It is not surprising</w:t>
      </w:r>
      <w:r w:rsidR="00535135">
        <w:rPr>
          <w:rFonts w:ascii="Times New Roman" w:hAnsi="Times New Roman" w:cs="Times New Roman"/>
          <w:sz w:val="28"/>
          <w:szCs w:val="28"/>
        </w:rPr>
        <w:t>,</w:t>
      </w:r>
      <w:r w:rsidR="00921136">
        <w:rPr>
          <w:rFonts w:ascii="Times New Roman" w:hAnsi="Times New Roman" w:cs="Times New Roman"/>
          <w:sz w:val="28"/>
          <w:szCs w:val="28"/>
        </w:rPr>
        <w:t xml:space="preserve"> therefore</w:t>
      </w:r>
      <w:r w:rsidR="00535135">
        <w:rPr>
          <w:rFonts w:ascii="Times New Roman" w:hAnsi="Times New Roman" w:cs="Times New Roman"/>
          <w:sz w:val="28"/>
          <w:szCs w:val="28"/>
        </w:rPr>
        <w:t>,</w:t>
      </w:r>
      <w:r w:rsidR="00921136">
        <w:rPr>
          <w:rFonts w:ascii="Times New Roman" w:hAnsi="Times New Roman" w:cs="Times New Roman"/>
          <w:sz w:val="28"/>
          <w:szCs w:val="28"/>
        </w:rPr>
        <w:t xml:space="preserve"> that teaching is such an unpopular career option among school leavers.   </w:t>
      </w:r>
      <w:r w:rsidR="0094419C">
        <w:rPr>
          <w:rFonts w:ascii="Times New Roman" w:hAnsi="Times New Roman" w:cs="Times New Roman"/>
          <w:sz w:val="28"/>
          <w:szCs w:val="28"/>
        </w:rPr>
        <w:t xml:space="preserve"> </w:t>
      </w:r>
    </w:p>
    <w:p w:rsidR="00047DE8" w:rsidRDefault="00AD7A1F" w:rsidP="00B461C6">
      <w:pPr>
        <w:jc w:val="both"/>
        <w:rPr>
          <w:rFonts w:ascii="Times New Roman" w:hAnsi="Times New Roman" w:cs="Times New Roman"/>
          <w:sz w:val="28"/>
          <w:szCs w:val="28"/>
        </w:rPr>
      </w:pPr>
      <w:r>
        <w:rPr>
          <w:rFonts w:ascii="Times New Roman" w:hAnsi="Times New Roman" w:cs="Times New Roman"/>
          <w:sz w:val="28"/>
          <w:szCs w:val="28"/>
        </w:rPr>
        <w:t>Despite the paucity of information</w:t>
      </w:r>
      <w:r w:rsidR="00B465C1">
        <w:rPr>
          <w:rFonts w:ascii="Times New Roman" w:hAnsi="Times New Roman" w:cs="Times New Roman"/>
          <w:sz w:val="28"/>
          <w:szCs w:val="28"/>
        </w:rPr>
        <w:t>,</w:t>
      </w:r>
      <w:r>
        <w:rPr>
          <w:rFonts w:ascii="Times New Roman" w:hAnsi="Times New Roman" w:cs="Times New Roman"/>
          <w:sz w:val="28"/>
          <w:szCs w:val="28"/>
        </w:rPr>
        <w:t xml:space="preserve"> it is clear that the ‘contributions’ received by volunteer/community teachers </w:t>
      </w:r>
      <w:r w:rsidR="00B81D1D">
        <w:rPr>
          <w:rFonts w:ascii="Times New Roman" w:hAnsi="Times New Roman" w:cs="Times New Roman"/>
          <w:sz w:val="28"/>
          <w:szCs w:val="28"/>
        </w:rPr>
        <w:t xml:space="preserve">do </w:t>
      </w:r>
      <w:r w:rsidR="00535135">
        <w:rPr>
          <w:rFonts w:ascii="Times New Roman" w:hAnsi="Times New Roman" w:cs="Times New Roman"/>
          <w:sz w:val="28"/>
          <w:szCs w:val="28"/>
        </w:rPr>
        <w:t xml:space="preserve">not cover even </w:t>
      </w:r>
      <w:r>
        <w:rPr>
          <w:rFonts w:ascii="Times New Roman" w:hAnsi="Times New Roman" w:cs="Times New Roman"/>
          <w:sz w:val="28"/>
          <w:szCs w:val="28"/>
        </w:rPr>
        <w:t>the</w:t>
      </w:r>
      <w:r w:rsidR="00722B81">
        <w:rPr>
          <w:rFonts w:ascii="Times New Roman" w:hAnsi="Times New Roman" w:cs="Times New Roman"/>
          <w:sz w:val="28"/>
          <w:szCs w:val="28"/>
        </w:rPr>
        <w:t>ir</w:t>
      </w:r>
      <w:r>
        <w:rPr>
          <w:rFonts w:ascii="Times New Roman" w:hAnsi="Times New Roman" w:cs="Times New Roman"/>
          <w:sz w:val="28"/>
          <w:szCs w:val="28"/>
        </w:rPr>
        <w:t xml:space="preserve"> most basic </w:t>
      </w:r>
      <w:r w:rsidR="00535135">
        <w:rPr>
          <w:rFonts w:ascii="Times New Roman" w:hAnsi="Times New Roman" w:cs="Times New Roman"/>
          <w:sz w:val="28"/>
          <w:szCs w:val="28"/>
        </w:rPr>
        <w:t xml:space="preserve">livelihood </w:t>
      </w:r>
      <w:r>
        <w:rPr>
          <w:rFonts w:ascii="Times New Roman" w:hAnsi="Times New Roman" w:cs="Times New Roman"/>
          <w:sz w:val="28"/>
          <w:szCs w:val="28"/>
        </w:rPr>
        <w:t>needs</w:t>
      </w:r>
      <w:r w:rsidR="00722B81">
        <w:rPr>
          <w:rFonts w:ascii="Times New Roman" w:hAnsi="Times New Roman" w:cs="Times New Roman"/>
          <w:sz w:val="28"/>
          <w:szCs w:val="28"/>
        </w:rPr>
        <w:t>. T</w:t>
      </w:r>
      <w:r w:rsidR="00512C4F">
        <w:rPr>
          <w:rFonts w:ascii="Times New Roman" w:hAnsi="Times New Roman" w:cs="Times New Roman"/>
          <w:sz w:val="28"/>
          <w:szCs w:val="28"/>
        </w:rPr>
        <w:t>he income</w:t>
      </w:r>
      <w:r w:rsidR="00722B81">
        <w:rPr>
          <w:rFonts w:ascii="Times New Roman" w:hAnsi="Times New Roman" w:cs="Times New Roman"/>
          <w:sz w:val="28"/>
          <w:szCs w:val="28"/>
        </w:rPr>
        <w:t>s</w:t>
      </w:r>
      <w:r w:rsidR="00512C4F">
        <w:rPr>
          <w:rFonts w:ascii="Times New Roman" w:hAnsi="Times New Roman" w:cs="Times New Roman"/>
          <w:sz w:val="28"/>
          <w:szCs w:val="28"/>
        </w:rPr>
        <w:t xml:space="preserve"> of </w:t>
      </w:r>
      <w:r w:rsidR="00722B81">
        <w:rPr>
          <w:rFonts w:ascii="Times New Roman" w:hAnsi="Times New Roman" w:cs="Times New Roman"/>
          <w:sz w:val="28"/>
          <w:szCs w:val="28"/>
        </w:rPr>
        <w:t xml:space="preserve">the large majority of </w:t>
      </w:r>
      <w:r w:rsidR="00512C4F">
        <w:rPr>
          <w:rFonts w:ascii="Times New Roman" w:hAnsi="Times New Roman" w:cs="Times New Roman"/>
          <w:sz w:val="28"/>
          <w:szCs w:val="28"/>
        </w:rPr>
        <w:t xml:space="preserve">teachers </w:t>
      </w:r>
      <w:r w:rsidR="00722B81">
        <w:rPr>
          <w:rFonts w:ascii="Times New Roman" w:hAnsi="Times New Roman" w:cs="Times New Roman"/>
          <w:sz w:val="28"/>
          <w:szCs w:val="28"/>
        </w:rPr>
        <w:t xml:space="preserve">employed by </w:t>
      </w:r>
      <w:r w:rsidR="00512C4F">
        <w:rPr>
          <w:rFonts w:ascii="Times New Roman" w:hAnsi="Times New Roman" w:cs="Times New Roman"/>
          <w:sz w:val="28"/>
          <w:szCs w:val="28"/>
        </w:rPr>
        <w:t xml:space="preserve">private primary schools </w:t>
      </w:r>
      <w:r w:rsidR="00722B81">
        <w:rPr>
          <w:rFonts w:ascii="Times New Roman" w:hAnsi="Times New Roman" w:cs="Times New Roman"/>
          <w:sz w:val="28"/>
          <w:szCs w:val="28"/>
        </w:rPr>
        <w:t xml:space="preserve">are also widely reported to be between 50-25% less </w:t>
      </w:r>
      <w:r w:rsidR="00535135">
        <w:rPr>
          <w:rFonts w:ascii="Times New Roman" w:hAnsi="Times New Roman" w:cs="Times New Roman"/>
          <w:sz w:val="28"/>
          <w:szCs w:val="28"/>
        </w:rPr>
        <w:t xml:space="preserve">than </w:t>
      </w:r>
      <w:r w:rsidR="00722B81">
        <w:rPr>
          <w:rFonts w:ascii="Times New Roman" w:hAnsi="Times New Roman" w:cs="Times New Roman"/>
          <w:sz w:val="28"/>
          <w:szCs w:val="28"/>
        </w:rPr>
        <w:t>for teachers in government schools which</w:t>
      </w:r>
      <w:r w:rsidR="00535135">
        <w:rPr>
          <w:rFonts w:ascii="Times New Roman" w:hAnsi="Times New Roman" w:cs="Times New Roman"/>
          <w:sz w:val="28"/>
          <w:szCs w:val="28"/>
        </w:rPr>
        <w:t>,</w:t>
      </w:r>
      <w:r w:rsidR="00722B81">
        <w:rPr>
          <w:rFonts w:ascii="Times New Roman" w:hAnsi="Times New Roman" w:cs="Times New Roman"/>
          <w:sz w:val="28"/>
          <w:szCs w:val="28"/>
        </w:rPr>
        <w:t xml:space="preserve"> again</w:t>
      </w:r>
      <w:r w:rsidR="00535135">
        <w:rPr>
          <w:rFonts w:ascii="Times New Roman" w:hAnsi="Times New Roman" w:cs="Times New Roman"/>
          <w:sz w:val="28"/>
          <w:szCs w:val="28"/>
        </w:rPr>
        <w:t>,</w:t>
      </w:r>
      <w:r w:rsidR="00722B81">
        <w:rPr>
          <w:rFonts w:ascii="Times New Roman" w:hAnsi="Times New Roman" w:cs="Times New Roman"/>
          <w:sz w:val="28"/>
          <w:szCs w:val="28"/>
        </w:rPr>
        <w:t xml:space="preserve"> </w:t>
      </w:r>
      <w:r w:rsidR="00B465C1">
        <w:rPr>
          <w:rFonts w:ascii="Times New Roman" w:hAnsi="Times New Roman" w:cs="Times New Roman"/>
          <w:sz w:val="28"/>
          <w:szCs w:val="28"/>
        </w:rPr>
        <w:t xml:space="preserve">indicates that </w:t>
      </w:r>
      <w:r w:rsidR="00722B81">
        <w:rPr>
          <w:rFonts w:ascii="Times New Roman" w:hAnsi="Times New Roman" w:cs="Times New Roman"/>
          <w:sz w:val="28"/>
          <w:szCs w:val="28"/>
        </w:rPr>
        <w:t xml:space="preserve">their pay </w:t>
      </w:r>
      <w:r w:rsidR="00B465C1">
        <w:rPr>
          <w:rFonts w:ascii="Times New Roman" w:hAnsi="Times New Roman" w:cs="Times New Roman"/>
          <w:sz w:val="28"/>
          <w:szCs w:val="28"/>
        </w:rPr>
        <w:t>covers less than half of the FWL.</w:t>
      </w:r>
    </w:p>
    <w:p w:rsidR="009E10C6" w:rsidRDefault="00047DE8" w:rsidP="00B461C6">
      <w:pPr>
        <w:jc w:val="both"/>
        <w:rPr>
          <w:rFonts w:ascii="Times New Roman" w:hAnsi="Times New Roman" w:cs="Times New Roman"/>
          <w:sz w:val="28"/>
          <w:szCs w:val="28"/>
        </w:rPr>
      </w:pPr>
      <w:r>
        <w:rPr>
          <w:noProof/>
          <w:lang w:eastAsia="en-GB"/>
        </w:rPr>
        <w:drawing>
          <wp:inline distT="0" distB="0" distL="0" distR="0" wp14:anchorId="2B4D8BF2" wp14:editId="376F30B7">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B465C1">
        <w:rPr>
          <w:rFonts w:ascii="Times New Roman" w:hAnsi="Times New Roman" w:cs="Times New Roman"/>
          <w:sz w:val="28"/>
          <w:szCs w:val="28"/>
        </w:rPr>
        <w:t xml:space="preserve"> </w:t>
      </w:r>
      <w:r w:rsidR="00512C4F">
        <w:rPr>
          <w:rFonts w:ascii="Times New Roman" w:hAnsi="Times New Roman" w:cs="Times New Roman"/>
          <w:sz w:val="28"/>
          <w:szCs w:val="28"/>
        </w:rPr>
        <w:t xml:space="preserve"> </w:t>
      </w:r>
      <w:r w:rsidR="0094419C">
        <w:rPr>
          <w:rFonts w:ascii="Times New Roman" w:hAnsi="Times New Roman" w:cs="Times New Roman"/>
          <w:sz w:val="28"/>
          <w:szCs w:val="28"/>
        </w:rPr>
        <w:t xml:space="preserve">  </w:t>
      </w:r>
      <w:r w:rsidR="002F21E0">
        <w:rPr>
          <w:rFonts w:ascii="Times New Roman" w:hAnsi="Times New Roman" w:cs="Times New Roman"/>
          <w:sz w:val="28"/>
          <w:szCs w:val="28"/>
        </w:rPr>
        <w:t xml:space="preserve">  </w:t>
      </w:r>
    </w:p>
    <w:p w:rsidR="009A5619" w:rsidRDefault="009A5619" w:rsidP="001405A0">
      <w:pPr>
        <w:jc w:val="both"/>
        <w:rPr>
          <w:rFonts w:ascii="Times New Roman" w:hAnsi="Times New Roman" w:cs="Times New Roman"/>
          <w:b/>
          <w:i/>
          <w:sz w:val="28"/>
          <w:szCs w:val="28"/>
        </w:rPr>
      </w:pPr>
    </w:p>
    <w:p w:rsidR="001405A0" w:rsidRPr="00847676" w:rsidRDefault="00FD1E50" w:rsidP="001405A0">
      <w:pPr>
        <w:jc w:val="both"/>
        <w:rPr>
          <w:rFonts w:ascii="Times New Roman" w:hAnsi="Times New Roman" w:cs="Times New Roman"/>
          <w:b/>
          <w:i/>
          <w:sz w:val="28"/>
          <w:szCs w:val="28"/>
        </w:rPr>
      </w:pPr>
      <w:r w:rsidRPr="00847676">
        <w:rPr>
          <w:rFonts w:ascii="Times New Roman" w:hAnsi="Times New Roman" w:cs="Times New Roman"/>
          <w:b/>
          <w:i/>
          <w:sz w:val="28"/>
          <w:szCs w:val="28"/>
        </w:rPr>
        <w:t>6. The World Bank and teacher pay</w:t>
      </w:r>
      <w:r w:rsidR="00EB4146" w:rsidRPr="00847676">
        <w:rPr>
          <w:rFonts w:ascii="Times New Roman" w:hAnsi="Times New Roman" w:cs="Times New Roman"/>
          <w:b/>
          <w:i/>
          <w:sz w:val="28"/>
          <w:szCs w:val="28"/>
        </w:rPr>
        <w:t xml:space="preserve"> in SSA</w:t>
      </w:r>
    </w:p>
    <w:p w:rsidR="00DC0387" w:rsidRDefault="00FD1E50" w:rsidP="001405A0">
      <w:pPr>
        <w:jc w:val="both"/>
        <w:rPr>
          <w:rFonts w:ascii="Times New Roman" w:hAnsi="Times New Roman" w:cs="Times New Roman"/>
          <w:sz w:val="28"/>
          <w:szCs w:val="28"/>
        </w:rPr>
      </w:pPr>
      <w:r>
        <w:rPr>
          <w:rFonts w:ascii="Times New Roman" w:hAnsi="Times New Roman" w:cs="Times New Roman"/>
          <w:sz w:val="28"/>
          <w:szCs w:val="28"/>
        </w:rPr>
        <w:t xml:space="preserve">As discussed earlier, the World Bank played a leading role </w:t>
      </w:r>
      <w:r w:rsidR="00D16BB9">
        <w:rPr>
          <w:rFonts w:ascii="Times New Roman" w:hAnsi="Times New Roman" w:cs="Times New Roman"/>
          <w:sz w:val="28"/>
          <w:szCs w:val="28"/>
        </w:rPr>
        <w:t xml:space="preserve">during the early-mid 2000s </w:t>
      </w:r>
      <w:r>
        <w:rPr>
          <w:rFonts w:ascii="Times New Roman" w:hAnsi="Times New Roman" w:cs="Times New Roman"/>
          <w:sz w:val="28"/>
          <w:szCs w:val="28"/>
        </w:rPr>
        <w:t xml:space="preserve">in highlighting the adverse impacts on primary school enrolment and completion rates in countries where teacher pay was </w:t>
      </w:r>
      <w:r w:rsidR="001325A2">
        <w:rPr>
          <w:rFonts w:ascii="Times New Roman" w:hAnsi="Times New Roman" w:cs="Times New Roman"/>
          <w:sz w:val="28"/>
          <w:szCs w:val="28"/>
        </w:rPr>
        <w:t xml:space="preserve">adjudged </w:t>
      </w:r>
      <w:r>
        <w:rPr>
          <w:rFonts w:ascii="Times New Roman" w:hAnsi="Times New Roman" w:cs="Times New Roman"/>
          <w:sz w:val="28"/>
          <w:szCs w:val="28"/>
        </w:rPr>
        <w:t xml:space="preserve">to be relatively high.  With teacher pay accounting for over 80% of total recurrent expenditure in most countries, the Bank’s priority was to contain salary costs mainly by placing increasing reliance </w:t>
      </w:r>
      <w:r w:rsidR="00D16BB9">
        <w:rPr>
          <w:rFonts w:ascii="Times New Roman" w:hAnsi="Times New Roman" w:cs="Times New Roman"/>
          <w:sz w:val="28"/>
          <w:szCs w:val="28"/>
        </w:rPr>
        <w:t>on</w:t>
      </w:r>
      <w:r>
        <w:rPr>
          <w:rFonts w:ascii="Times New Roman" w:hAnsi="Times New Roman" w:cs="Times New Roman"/>
          <w:sz w:val="28"/>
          <w:szCs w:val="28"/>
        </w:rPr>
        <w:t xml:space="preserve"> contract </w:t>
      </w:r>
      <w:r w:rsidR="00D16BB9">
        <w:rPr>
          <w:rFonts w:ascii="Times New Roman" w:hAnsi="Times New Roman" w:cs="Times New Roman"/>
          <w:sz w:val="28"/>
          <w:szCs w:val="28"/>
        </w:rPr>
        <w:t xml:space="preserve">and less qualified </w:t>
      </w:r>
      <w:r>
        <w:rPr>
          <w:rFonts w:ascii="Times New Roman" w:hAnsi="Times New Roman" w:cs="Times New Roman"/>
          <w:sz w:val="28"/>
          <w:szCs w:val="28"/>
        </w:rPr>
        <w:t xml:space="preserve">teachers and, along with the IMF, strongly resisting teacher demands for higher pay. Along with much increased donor funding, this enabled a rapid expansion in teacher recruitment </w:t>
      </w:r>
      <w:r>
        <w:rPr>
          <w:rFonts w:ascii="Times New Roman" w:hAnsi="Times New Roman" w:cs="Times New Roman"/>
          <w:sz w:val="28"/>
          <w:szCs w:val="28"/>
        </w:rPr>
        <w:lastRenderedPageBreak/>
        <w:t>and thus enrolments.</w:t>
      </w:r>
      <w:r w:rsidR="00D16BB9">
        <w:rPr>
          <w:rFonts w:ascii="Times New Roman" w:hAnsi="Times New Roman" w:cs="Times New Roman"/>
          <w:sz w:val="28"/>
          <w:szCs w:val="28"/>
        </w:rPr>
        <w:t xml:space="preserve"> However, these ‘salary adjustment’ policies and practices also had quite serious negative consequences most notably on the overall quality of teaching and the morale and thus motivation of the teaching force.  </w:t>
      </w:r>
      <w:r>
        <w:rPr>
          <w:rFonts w:ascii="Times New Roman" w:hAnsi="Times New Roman" w:cs="Times New Roman"/>
          <w:sz w:val="28"/>
          <w:szCs w:val="28"/>
        </w:rPr>
        <w:t xml:space="preserve"> </w:t>
      </w:r>
    </w:p>
    <w:p w:rsidR="00D16BB9" w:rsidRPr="00F64BC8" w:rsidRDefault="00D16BB9" w:rsidP="001405A0">
      <w:pPr>
        <w:jc w:val="both"/>
        <w:rPr>
          <w:rFonts w:ascii="Times New Roman" w:hAnsi="Times New Roman" w:cs="Times New Roman"/>
          <w:sz w:val="28"/>
          <w:szCs w:val="28"/>
        </w:rPr>
      </w:pPr>
      <w:r w:rsidRPr="00F64BC8">
        <w:rPr>
          <w:rFonts w:ascii="Times New Roman" w:hAnsi="Times New Roman" w:cs="Times New Roman"/>
          <w:sz w:val="28"/>
          <w:szCs w:val="28"/>
        </w:rPr>
        <w:t>Twenty years</w:t>
      </w:r>
      <w:r w:rsidR="00F64BC8">
        <w:rPr>
          <w:rFonts w:ascii="Times New Roman" w:hAnsi="Times New Roman" w:cs="Times New Roman"/>
          <w:sz w:val="28"/>
          <w:szCs w:val="28"/>
        </w:rPr>
        <w:t xml:space="preserve"> on</w:t>
      </w:r>
      <w:r w:rsidRPr="00F64BC8">
        <w:rPr>
          <w:rFonts w:ascii="Times New Roman" w:hAnsi="Times New Roman" w:cs="Times New Roman"/>
          <w:sz w:val="28"/>
          <w:szCs w:val="28"/>
        </w:rPr>
        <w:t>, there are signs that the Bank is</w:t>
      </w:r>
      <w:r w:rsidR="00F64BC8" w:rsidRPr="00F64BC8">
        <w:rPr>
          <w:rFonts w:ascii="Times New Roman" w:hAnsi="Times New Roman" w:cs="Times New Roman"/>
          <w:sz w:val="28"/>
          <w:szCs w:val="28"/>
        </w:rPr>
        <w:t xml:space="preserve"> incre</w:t>
      </w:r>
      <w:r w:rsidR="00EB4146">
        <w:rPr>
          <w:rFonts w:ascii="Times New Roman" w:hAnsi="Times New Roman" w:cs="Times New Roman"/>
          <w:sz w:val="28"/>
          <w:szCs w:val="28"/>
        </w:rPr>
        <w:t xml:space="preserve">asingly recognising the pivotal </w:t>
      </w:r>
      <w:r w:rsidR="00F64BC8" w:rsidRPr="00F64BC8">
        <w:rPr>
          <w:rFonts w:ascii="Times New Roman" w:hAnsi="Times New Roman" w:cs="Times New Roman"/>
          <w:sz w:val="28"/>
          <w:szCs w:val="28"/>
        </w:rPr>
        <w:t>importance of both competent and</w:t>
      </w:r>
      <w:r w:rsidR="00F64BC8">
        <w:rPr>
          <w:rFonts w:ascii="Times New Roman" w:hAnsi="Times New Roman" w:cs="Times New Roman"/>
          <w:sz w:val="28"/>
          <w:szCs w:val="28"/>
        </w:rPr>
        <w:t xml:space="preserve"> committed teacher</w:t>
      </w:r>
      <w:r w:rsidR="001168E0">
        <w:rPr>
          <w:rFonts w:ascii="Times New Roman" w:hAnsi="Times New Roman" w:cs="Times New Roman"/>
          <w:sz w:val="28"/>
          <w:szCs w:val="28"/>
        </w:rPr>
        <w:t>s</w:t>
      </w:r>
      <w:r w:rsidR="00C9477C">
        <w:rPr>
          <w:rFonts w:ascii="Times New Roman" w:hAnsi="Times New Roman" w:cs="Times New Roman"/>
          <w:sz w:val="28"/>
          <w:szCs w:val="28"/>
        </w:rPr>
        <w:t>,</w:t>
      </w:r>
      <w:r w:rsidR="00F64BC8">
        <w:rPr>
          <w:rFonts w:ascii="Times New Roman" w:hAnsi="Times New Roman" w:cs="Times New Roman"/>
          <w:sz w:val="28"/>
          <w:szCs w:val="28"/>
        </w:rPr>
        <w:t xml:space="preserve"> especially given the </w:t>
      </w:r>
      <w:r w:rsidR="001325A2">
        <w:rPr>
          <w:rFonts w:ascii="Times New Roman" w:hAnsi="Times New Roman" w:cs="Times New Roman"/>
          <w:sz w:val="28"/>
          <w:szCs w:val="28"/>
        </w:rPr>
        <w:t xml:space="preserve">persistent </w:t>
      </w:r>
      <w:r w:rsidR="00F64BC8">
        <w:rPr>
          <w:rFonts w:ascii="Times New Roman" w:hAnsi="Times New Roman" w:cs="Times New Roman"/>
          <w:sz w:val="28"/>
          <w:szCs w:val="28"/>
        </w:rPr>
        <w:t xml:space="preserve">‘learning crisis’ throughout the continent.  </w:t>
      </w:r>
      <w:r w:rsidR="001168E0">
        <w:rPr>
          <w:rFonts w:ascii="Times New Roman" w:hAnsi="Times New Roman" w:cs="Times New Roman"/>
          <w:sz w:val="28"/>
          <w:szCs w:val="28"/>
        </w:rPr>
        <w:t xml:space="preserve">This change in approach to teacher pay is reflected in the two highest profile Bank publications on education in recent years, namely the </w:t>
      </w:r>
      <w:r w:rsidR="00255AEC">
        <w:rPr>
          <w:rFonts w:ascii="Times New Roman" w:hAnsi="Times New Roman" w:cs="Times New Roman"/>
          <w:sz w:val="28"/>
          <w:szCs w:val="28"/>
        </w:rPr>
        <w:t xml:space="preserve">2018 </w:t>
      </w:r>
      <w:r w:rsidR="001168E0">
        <w:rPr>
          <w:rFonts w:ascii="Times New Roman" w:hAnsi="Times New Roman" w:cs="Times New Roman"/>
          <w:sz w:val="28"/>
          <w:szCs w:val="28"/>
        </w:rPr>
        <w:t xml:space="preserve">World Development Report </w:t>
      </w:r>
      <w:r w:rsidR="0051659D">
        <w:rPr>
          <w:rFonts w:ascii="Times New Roman" w:hAnsi="Times New Roman" w:cs="Times New Roman"/>
          <w:sz w:val="28"/>
          <w:szCs w:val="28"/>
        </w:rPr>
        <w:t xml:space="preserve">(WDR) </w:t>
      </w:r>
      <w:r w:rsidR="001168E0">
        <w:rPr>
          <w:rFonts w:ascii="Times New Roman" w:hAnsi="Times New Roman" w:cs="Times New Roman"/>
          <w:sz w:val="28"/>
          <w:szCs w:val="28"/>
        </w:rPr>
        <w:t xml:space="preserve">entitled </w:t>
      </w:r>
      <w:r w:rsidR="002F106A">
        <w:rPr>
          <w:rFonts w:ascii="Times New Roman" w:hAnsi="Times New Roman" w:cs="Times New Roman"/>
          <w:sz w:val="28"/>
          <w:szCs w:val="28"/>
        </w:rPr>
        <w:t>‘Learning to Realize Education’s Promise’ a</w:t>
      </w:r>
      <w:r w:rsidR="00C9477C">
        <w:rPr>
          <w:rFonts w:ascii="Times New Roman" w:hAnsi="Times New Roman" w:cs="Times New Roman"/>
          <w:sz w:val="28"/>
          <w:szCs w:val="28"/>
        </w:rPr>
        <w:t>nd the sector review ‘</w:t>
      </w:r>
      <w:r w:rsidR="001168E0">
        <w:rPr>
          <w:rFonts w:ascii="Times New Roman" w:hAnsi="Times New Roman" w:cs="Times New Roman"/>
          <w:sz w:val="28"/>
          <w:szCs w:val="28"/>
        </w:rPr>
        <w:t xml:space="preserve">Facing Forward: Schooling for Learning in Africa’.  </w:t>
      </w:r>
    </w:p>
    <w:p w:rsidR="0056719D" w:rsidRDefault="00BE0C43" w:rsidP="001168E0">
      <w:pPr>
        <w:jc w:val="both"/>
        <w:rPr>
          <w:rFonts w:ascii="Times New Roman" w:hAnsi="Times New Roman" w:cs="Times New Roman"/>
          <w:sz w:val="28"/>
          <w:szCs w:val="28"/>
        </w:rPr>
      </w:pPr>
      <w:r>
        <w:rPr>
          <w:rFonts w:ascii="Times New Roman" w:hAnsi="Times New Roman" w:cs="Times New Roman"/>
          <w:sz w:val="28"/>
          <w:szCs w:val="28"/>
        </w:rPr>
        <w:t xml:space="preserve">The </w:t>
      </w:r>
      <w:r w:rsidR="0051659D">
        <w:rPr>
          <w:rFonts w:ascii="Times New Roman" w:hAnsi="Times New Roman" w:cs="Times New Roman"/>
          <w:sz w:val="28"/>
          <w:szCs w:val="28"/>
        </w:rPr>
        <w:t>W</w:t>
      </w:r>
      <w:r>
        <w:rPr>
          <w:rFonts w:ascii="Times New Roman" w:hAnsi="Times New Roman" w:cs="Times New Roman"/>
          <w:sz w:val="28"/>
          <w:szCs w:val="28"/>
        </w:rPr>
        <w:t xml:space="preserve">DR’s commentary on teachers is noticeably different from earlier Bank education reviews. </w:t>
      </w:r>
      <w:r w:rsidR="00B85648">
        <w:rPr>
          <w:rFonts w:ascii="Times New Roman" w:hAnsi="Times New Roman" w:cs="Times New Roman"/>
          <w:sz w:val="28"/>
          <w:szCs w:val="28"/>
        </w:rPr>
        <w:t>T</w:t>
      </w:r>
      <w:r>
        <w:rPr>
          <w:rFonts w:ascii="Times New Roman" w:hAnsi="Times New Roman" w:cs="Times New Roman"/>
          <w:sz w:val="28"/>
          <w:szCs w:val="28"/>
        </w:rPr>
        <w:t xml:space="preserve">he report does </w:t>
      </w:r>
      <w:r w:rsidR="00B85648">
        <w:rPr>
          <w:rFonts w:ascii="Times New Roman" w:hAnsi="Times New Roman" w:cs="Times New Roman"/>
          <w:sz w:val="28"/>
          <w:szCs w:val="28"/>
        </w:rPr>
        <w:t xml:space="preserve">not </w:t>
      </w:r>
      <w:r>
        <w:rPr>
          <w:rFonts w:ascii="Times New Roman" w:hAnsi="Times New Roman" w:cs="Times New Roman"/>
          <w:sz w:val="28"/>
          <w:szCs w:val="28"/>
        </w:rPr>
        <w:t xml:space="preserve">explicitly state that teachers are </w:t>
      </w:r>
      <w:r w:rsidR="001325A2">
        <w:rPr>
          <w:rFonts w:ascii="Times New Roman" w:hAnsi="Times New Roman" w:cs="Times New Roman"/>
          <w:sz w:val="28"/>
          <w:szCs w:val="28"/>
        </w:rPr>
        <w:t xml:space="preserve">either </w:t>
      </w:r>
      <w:r>
        <w:rPr>
          <w:rFonts w:ascii="Times New Roman" w:hAnsi="Times New Roman" w:cs="Times New Roman"/>
          <w:sz w:val="28"/>
          <w:szCs w:val="28"/>
        </w:rPr>
        <w:t xml:space="preserve">underpaid </w:t>
      </w:r>
      <w:r w:rsidR="001325A2">
        <w:rPr>
          <w:rFonts w:ascii="Times New Roman" w:hAnsi="Times New Roman" w:cs="Times New Roman"/>
          <w:sz w:val="28"/>
          <w:szCs w:val="28"/>
        </w:rPr>
        <w:t xml:space="preserve">or overpaid </w:t>
      </w:r>
      <w:r>
        <w:rPr>
          <w:rFonts w:ascii="Times New Roman" w:hAnsi="Times New Roman" w:cs="Times New Roman"/>
          <w:sz w:val="28"/>
          <w:szCs w:val="28"/>
        </w:rPr>
        <w:t xml:space="preserve">nor is </w:t>
      </w:r>
      <w:r w:rsidR="001325A2">
        <w:rPr>
          <w:rFonts w:ascii="Times New Roman" w:hAnsi="Times New Roman" w:cs="Times New Roman"/>
          <w:sz w:val="28"/>
          <w:szCs w:val="28"/>
        </w:rPr>
        <w:t xml:space="preserve">country or regional </w:t>
      </w:r>
      <w:r>
        <w:rPr>
          <w:rFonts w:ascii="Times New Roman" w:hAnsi="Times New Roman" w:cs="Times New Roman"/>
          <w:sz w:val="28"/>
          <w:szCs w:val="28"/>
        </w:rPr>
        <w:t>data of any kind presented on teacher pay</w:t>
      </w:r>
      <w:r w:rsidR="00B85648">
        <w:rPr>
          <w:rFonts w:ascii="Times New Roman" w:hAnsi="Times New Roman" w:cs="Times New Roman"/>
          <w:sz w:val="28"/>
          <w:szCs w:val="28"/>
        </w:rPr>
        <w:t>. However,</w:t>
      </w:r>
      <w:r>
        <w:rPr>
          <w:rFonts w:ascii="Times New Roman" w:hAnsi="Times New Roman" w:cs="Times New Roman"/>
          <w:sz w:val="28"/>
          <w:szCs w:val="28"/>
        </w:rPr>
        <w:t xml:space="preserve"> </w:t>
      </w:r>
      <w:r w:rsidR="005A4F97">
        <w:rPr>
          <w:rFonts w:ascii="Times New Roman" w:hAnsi="Times New Roman" w:cs="Times New Roman"/>
          <w:sz w:val="28"/>
          <w:szCs w:val="28"/>
        </w:rPr>
        <w:t xml:space="preserve">for the first time in a review of this kind, </w:t>
      </w:r>
      <w:r>
        <w:rPr>
          <w:rFonts w:ascii="Times New Roman" w:hAnsi="Times New Roman" w:cs="Times New Roman"/>
          <w:sz w:val="28"/>
          <w:szCs w:val="28"/>
        </w:rPr>
        <w:t xml:space="preserve">there is a clear recognition that that </w:t>
      </w:r>
      <w:r w:rsidR="005A4F97">
        <w:rPr>
          <w:rFonts w:ascii="Times New Roman" w:hAnsi="Times New Roman" w:cs="Times New Roman"/>
          <w:sz w:val="28"/>
          <w:szCs w:val="28"/>
        </w:rPr>
        <w:t xml:space="preserve">‘over the last few decades, the status of the teaching profession has declined across the world in terms of pay, respect, and working conditions’ and that </w:t>
      </w:r>
      <w:r>
        <w:rPr>
          <w:rFonts w:ascii="Times New Roman" w:hAnsi="Times New Roman" w:cs="Times New Roman"/>
          <w:sz w:val="28"/>
          <w:szCs w:val="28"/>
        </w:rPr>
        <w:t>‘i</w:t>
      </w:r>
      <w:r w:rsidR="001168E0">
        <w:rPr>
          <w:rFonts w:ascii="Times New Roman" w:hAnsi="Times New Roman" w:cs="Times New Roman"/>
          <w:sz w:val="28"/>
          <w:szCs w:val="28"/>
        </w:rPr>
        <w:t>n many systems, teachers have few incentives (financial or professional) for good performance beyond their intrinsic motivation</w:t>
      </w:r>
      <w:r>
        <w:rPr>
          <w:rFonts w:ascii="Times New Roman" w:hAnsi="Times New Roman" w:cs="Times New Roman"/>
          <w:sz w:val="28"/>
          <w:szCs w:val="28"/>
        </w:rPr>
        <w:t>’</w:t>
      </w:r>
      <w:r w:rsidR="001168E0">
        <w:rPr>
          <w:rFonts w:ascii="Times New Roman" w:hAnsi="Times New Roman" w:cs="Times New Roman"/>
          <w:sz w:val="28"/>
          <w:szCs w:val="28"/>
        </w:rPr>
        <w:t xml:space="preserve"> </w:t>
      </w:r>
      <w:r>
        <w:rPr>
          <w:rFonts w:ascii="Times New Roman" w:hAnsi="Times New Roman" w:cs="Times New Roman"/>
          <w:sz w:val="28"/>
          <w:szCs w:val="28"/>
        </w:rPr>
        <w:t>(</w:t>
      </w:r>
      <w:r w:rsidR="001168E0">
        <w:rPr>
          <w:rFonts w:ascii="Times New Roman" w:hAnsi="Times New Roman" w:cs="Times New Roman"/>
          <w:sz w:val="28"/>
          <w:szCs w:val="28"/>
        </w:rPr>
        <w:t>p.132</w:t>
      </w:r>
      <w:r>
        <w:rPr>
          <w:rFonts w:ascii="Times New Roman" w:hAnsi="Times New Roman" w:cs="Times New Roman"/>
          <w:sz w:val="28"/>
          <w:szCs w:val="28"/>
        </w:rPr>
        <w:t>)</w:t>
      </w:r>
      <w:r w:rsidR="00B85648">
        <w:rPr>
          <w:rFonts w:ascii="Times New Roman" w:hAnsi="Times New Roman" w:cs="Times New Roman"/>
          <w:sz w:val="28"/>
          <w:szCs w:val="28"/>
        </w:rPr>
        <w:t xml:space="preserve">. </w:t>
      </w:r>
      <w:r w:rsidR="005A4F97">
        <w:rPr>
          <w:rFonts w:ascii="Times New Roman" w:hAnsi="Times New Roman" w:cs="Times New Roman"/>
          <w:sz w:val="28"/>
          <w:szCs w:val="28"/>
        </w:rPr>
        <w:t xml:space="preserve"> The report also goes on to note </w:t>
      </w:r>
      <w:r w:rsidR="0051659D">
        <w:rPr>
          <w:rFonts w:ascii="Times New Roman" w:hAnsi="Times New Roman" w:cs="Times New Roman"/>
          <w:sz w:val="28"/>
          <w:szCs w:val="28"/>
        </w:rPr>
        <w:t xml:space="preserve">that </w:t>
      </w:r>
      <w:r w:rsidR="005A4F97">
        <w:rPr>
          <w:rFonts w:ascii="Times New Roman" w:hAnsi="Times New Roman" w:cs="Times New Roman"/>
          <w:sz w:val="28"/>
          <w:szCs w:val="28"/>
        </w:rPr>
        <w:t>‘across many countries, average teacher pay has fallen relative to that of other professions’. Along with the ‘narrow pay structure’</w:t>
      </w:r>
      <w:r w:rsidR="001455BD">
        <w:rPr>
          <w:rFonts w:ascii="Times New Roman" w:hAnsi="Times New Roman" w:cs="Times New Roman"/>
          <w:sz w:val="28"/>
          <w:szCs w:val="28"/>
        </w:rPr>
        <w:t xml:space="preserve"> and often exceptionally </w:t>
      </w:r>
      <w:r w:rsidR="0051659D">
        <w:rPr>
          <w:rFonts w:ascii="Times New Roman" w:hAnsi="Times New Roman" w:cs="Times New Roman"/>
          <w:sz w:val="28"/>
          <w:szCs w:val="28"/>
        </w:rPr>
        <w:t xml:space="preserve">challenging </w:t>
      </w:r>
      <w:r w:rsidR="001455BD">
        <w:rPr>
          <w:rFonts w:ascii="Times New Roman" w:hAnsi="Times New Roman" w:cs="Times New Roman"/>
          <w:sz w:val="28"/>
          <w:szCs w:val="28"/>
        </w:rPr>
        <w:t xml:space="preserve">working conditions (with ‘long working hours’ and </w:t>
      </w:r>
      <w:r w:rsidR="0051659D">
        <w:rPr>
          <w:rFonts w:ascii="Times New Roman" w:hAnsi="Times New Roman" w:cs="Times New Roman"/>
          <w:sz w:val="28"/>
          <w:szCs w:val="28"/>
        </w:rPr>
        <w:t>‘</w:t>
      </w:r>
      <w:r w:rsidR="001455BD">
        <w:rPr>
          <w:rFonts w:ascii="Times New Roman" w:hAnsi="Times New Roman" w:cs="Times New Roman"/>
          <w:sz w:val="28"/>
          <w:szCs w:val="28"/>
        </w:rPr>
        <w:t>outside responsibilities</w:t>
      </w:r>
      <w:r w:rsidR="0051659D">
        <w:rPr>
          <w:rFonts w:ascii="Times New Roman" w:hAnsi="Times New Roman" w:cs="Times New Roman"/>
          <w:sz w:val="28"/>
          <w:szCs w:val="28"/>
        </w:rPr>
        <w:t>’</w:t>
      </w:r>
      <w:r w:rsidR="001455BD">
        <w:rPr>
          <w:rFonts w:ascii="Times New Roman" w:hAnsi="Times New Roman" w:cs="Times New Roman"/>
          <w:sz w:val="28"/>
          <w:szCs w:val="28"/>
        </w:rPr>
        <w:t>), it is hardly surprising t</w:t>
      </w:r>
      <w:r w:rsidR="005A4F97">
        <w:rPr>
          <w:rFonts w:ascii="Times New Roman" w:hAnsi="Times New Roman" w:cs="Times New Roman"/>
          <w:sz w:val="28"/>
          <w:szCs w:val="28"/>
        </w:rPr>
        <w:t xml:space="preserve">hat </w:t>
      </w:r>
      <w:r w:rsidR="00B85648">
        <w:rPr>
          <w:rFonts w:ascii="Times New Roman" w:hAnsi="Times New Roman" w:cs="Times New Roman"/>
          <w:sz w:val="28"/>
          <w:szCs w:val="28"/>
        </w:rPr>
        <w:t>‘i</w:t>
      </w:r>
      <w:r w:rsidR="001168E0">
        <w:rPr>
          <w:rFonts w:ascii="Times New Roman" w:hAnsi="Times New Roman" w:cs="Times New Roman"/>
          <w:sz w:val="28"/>
          <w:szCs w:val="28"/>
        </w:rPr>
        <w:t>n many countries and economies, the youth who plan to go into teaching are not among the brightest academic performers</w:t>
      </w:r>
      <w:r w:rsidR="00B85648">
        <w:rPr>
          <w:rFonts w:ascii="Times New Roman" w:hAnsi="Times New Roman" w:cs="Times New Roman"/>
          <w:sz w:val="28"/>
          <w:szCs w:val="28"/>
        </w:rPr>
        <w:t>’</w:t>
      </w:r>
      <w:r w:rsidR="001168E0">
        <w:rPr>
          <w:rFonts w:ascii="Times New Roman" w:hAnsi="Times New Roman" w:cs="Times New Roman"/>
          <w:sz w:val="28"/>
          <w:szCs w:val="28"/>
        </w:rPr>
        <w:t xml:space="preserve"> </w:t>
      </w:r>
      <w:r w:rsidR="00B85648">
        <w:rPr>
          <w:rFonts w:ascii="Times New Roman" w:hAnsi="Times New Roman" w:cs="Times New Roman"/>
          <w:sz w:val="28"/>
          <w:szCs w:val="28"/>
        </w:rPr>
        <w:t>(p.</w:t>
      </w:r>
      <w:r w:rsidR="001168E0">
        <w:rPr>
          <w:rFonts w:ascii="Times New Roman" w:hAnsi="Times New Roman" w:cs="Times New Roman"/>
          <w:sz w:val="28"/>
          <w:szCs w:val="28"/>
        </w:rPr>
        <w:t>136</w:t>
      </w:r>
      <w:r w:rsidR="00B85648">
        <w:rPr>
          <w:rFonts w:ascii="Times New Roman" w:hAnsi="Times New Roman" w:cs="Times New Roman"/>
          <w:sz w:val="28"/>
          <w:szCs w:val="28"/>
        </w:rPr>
        <w:t xml:space="preserve">). </w:t>
      </w:r>
      <w:r w:rsidR="001455BD">
        <w:rPr>
          <w:rFonts w:ascii="Times New Roman" w:hAnsi="Times New Roman" w:cs="Times New Roman"/>
          <w:sz w:val="28"/>
          <w:szCs w:val="28"/>
        </w:rPr>
        <w:t xml:space="preserve">The report has few suggestions about </w:t>
      </w:r>
      <w:r w:rsidR="001325A2">
        <w:rPr>
          <w:rFonts w:ascii="Times New Roman" w:hAnsi="Times New Roman" w:cs="Times New Roman"/>
          <w:sz w:val="28"/>
          <w:szCs w:val="28"/>
        </w:rPr>
        <w:t xml:space="preserve">how </w:t>
      </w:r>
      <w:r w:rsidR="001455BD">
        <w:rPr>
          <w:rFonts w:ascii="Times New Roman" w:hAnsi="Times New Roman" w:cs="Times New Roman"/>
          <w:sz w:val="28"/>
          <w:szCs w:val="28"/>
        </w:rPr>
        <w:t>this crisis in teaching profession should be tackled other than to ‘f</w:t>
      </w:r>
      <w:r w:rsidR="001168E0">
        <w:rPr>
          <w:rFonts w:ascii="Times New Roman" w:hAnsi="Times New Roman" w:cs="Times New Roman"/>
          <w:sz w:val="28"/>
          <w:szCs w:val="28"/>
        </w:rPr>
        <w:t>ocus on specific financial and non-financial incentives as one possible mechanism for teacher motivation’.</w:t>
      </w:r>
      <w:r w:rsidR="001455BD">
        <w:rPr>
          <w:rFonts w:ascii="Times New Roman" w:hAnsi="Times New Roman" w:cs="Times New Roman"/>
          <w:sz w:val="28"/>
          <w:szCs w:val="28"/>
        </w:rPr>
        <w:t xml:space="preserve"> However, given that pay levels as a whole are so inadequate in the majority of countries, it is unlikely that ‘specific incentives’ can have much impact</w:t>
      </w:r>
      <w:r w:rsidR="001325A2">
        <w:rPr>
          <w:rFonts w:ascii="Times New Roman" w:hAnsi="Times New Roman" w:cs="Times New Roman"/>
          <w:sz w:val="28"/>
          <w:szCs w:val="28"/>
        </w:rPr>
        <w:t xml:space="preserve"> on teacher livelihoods and motivation</w:t>
      </w:r>
      <w:r w:rsidR="00EB4146">
        <w:rPr>
          <w:rFonts w:ascii="Times New Roman" w:hAnsi="Times New Roman" w:cs="Times New Roman"/>
          <w:sz w:val="28"/>
          <w:szCs w:val="28"/>
        </w:rPr>
        <w:t xml:space="preserve"> especially if they are confined to a relatively limited of teachers.</w:t>
      </w:r>
    </w:p>
    <w:p w:rsidR="001E4BAF" w:rsidRDefault="0051659D" w:rsidP="00C4119A">
      <w:pPr>
        <w:jc w:val="both"/>
        <w:rPr>
          <w:rFonts w:ascii="Times New Roman" w:hAnsi="Times New Roman" w:cs="Times New Roman"/>
          <w:b/>
          <w:i/>
          <w:sz w:val="28"/>
          <w:szCs w:val="28"/>
        </w:rPr>
      </w:pPr>
      <w:r>
        <w:rPr>
          <w:rFonts w:ascii="Times New Roman" w:hAnsi="Times New Roman" w:cs="Times New Roman"/>
          <w:sz w:val="28"/>
          <w:szCs w:val="28"/>
        </w:rPr>
        <w:t xml:space="preserve">The </w:t>
      </w:r>
      <w:r w:rsidR="001405A0">
        <w:rPr>
          <w:rFonts w:ascii="Times New Roman" w:hAnsi="Times New Roman" w:cs="Times New Roman"/>
          <w:sz w:val="28"/>
          <w:szCs w:val="28"/>
        </w:rPr>
        <w:t>Facing Forward report</w:t>
      </w:r>
      <w:r>
        <w:rPr>
          <w:rFonts w:ascii="Times New Roman" w:hAnsi="Times New Roman" w:cs="Times New Roman"/>
          <w:sz w:val="28"/>
          <w:szCs w:val="28"/>
        </w:rPr>
        <w:t xml:space="preserve">’s discussion of teachers </w:t>
      </w:r>
      <w:r w:rsidR="001325A2">
        <w:rPr>
          <w:rFonts w:ascii="Times New Roman" w:hAnsi="Times New Roman" w:cs="Times New Roman"/>
          <w:sz w:val="28"/>
          <w:szCs w:val="28"/>
        </w:rPr>
        <w:t xml:space="preserve">in Africa </w:t>
      </w:r>
      <w:r>
        <w:rPr>
          <w:rFonts w:ascii="Times New Roman" w:hAnsi="Times New Roman" w:cs="Times New Roman"/>
          <w:sz w:val="28"/>
          <w:szCs w:val="28"/>
        </w:rPr>
        <w:t>is more am</w:t>
      </w:r>
      <w:r w:rsidR="001E4BAF">
        <w:rPr>
          <w:rFonts w:ascii="Times New Roman" w:hAnsi="Times New Roman" w:cs="Times New Roman"/>
          <w:sz w:val="28"/>
          <w:szCs w:val="28"/>
        </w:rPr>
        <w:t xml:space="preserve">bivalent </w:t>
      </w:r>
      <w:r>
        <w:rPr>
          <w:rFonts w:ascii="Times New Roman" w:hAnsi="Times New Roman" w:cs="Times New Roman"/>
          <w:sz w:val="28"/>
          <w:szCs w:val="28"/>
        </w:rPr>
        <w:t xml:space="preserve">and less explicit about the shortcomings of teacher pay than the WDR. In fact, it is noticeable that </w:t>
      </w:r>
      <w:r w:rsidR="001325A2">
        <w:rPr>
          <w:rFonts w:ascii="Times New Roman" w:hAnsi="Times New Roman" w:cs="Times New Roman"/>
          <w:sz w:val="28"/>
          <w:szCs w:val="28"/>
        </w:rPr>
        <w:t xml:space="preserve">the report </w:t>
      </w:r>
      <w:r w:rsidR="001405A0">
        <w:rPr>
          <w:rFonts w:ascii="Times New Roman" w:hAnsi="Times New Roman" w:cs="Times New Roman"/>
          <w:sz w:val="28"/>
          <w:szCs w:val="28"/>
        </w:rPr>
        <w:t>reiterate</w:t>
      </w:r>
      <w:r>
        <w:rPr>
          <w:rFonts w:ascii="Times New Roman" w:hAnsi="Times New Roman" w:cs="Times New Roman"/>
          <w:sz w:val="28"/>
          <w:szCs w:val="28"/>
        </w:rPr>
        <w:t>s</w:t>
      </w:r>
      <w:r w:rsidR="001405A0">
        <w:rPr>
          <w:rFonts w:ascii="Times New Roman" w:hAnsi="Times New Roman" w:cs="Times New Roman"/>
          <w:sz w:val="28"/>
          <w:szCs w:val="28"/>
        </w:rPr>
        <w:t xml:space="preserve"> the </w:t>
      </w:r>
      <w:r>
        <w:rPr>
          <w:rFonts w:ascii="Times New Roman" w:hAnsi="Times New Roman" w:cs="Times New Roman"/>
          <w:sz w:val="28"/>
          <w:szCs w:val="28"/>
        </w:rPr>
        <w:t xml:space="preserve">main findings </w:t>
      </w:r>
      <w:r w:rsidR="001405A0">
        <w:rPr>
          <w:rFonts w:ascii="Times New Roman" w:hAnsi="Times New Roman" w:cs="Times New Roman"/>
          <w:sz w:val="28"/>
          <w:szCs w:val="28"/>
        </w:rPr>
        <w:t>of the Evans</w:t>
      </w:r>
      <w:r w:rsidR="001325A2">
        <w:rPr>
          <w:rFonts w:ascii="Times New Roman" w:hAnsi="Times New Roman" w:cs="Times New Roman"/>
          <w:sz w:val="28"/>
          <w:szCs w:val="28"/>
        </w:rPr>
        <w:t xml:space="preserve"> et al</w:t>
      </w:r>
      <w:r w:rsidR="0006234C">
        <w:rPr>
          <w:rFonts w:ascii="Times New Roman" w:hAnsi="Times New Roman" w:cs="Times New Roman"/>
          <w:sz w:val="28"/>
          <w:szCs w:val="28"/>
        </w:rPr>
        <w:t>.</w:t>
      </w:r>
      <w:r w:rsidR="001325A2">
        <w:rPr>
          <w:rFonts w:ascii="Times New Roman" w:hAnsi="Times New Roman" w:cs="Times New Roman"/>
          <w:sz w:val="28"/>
          <w:szCs w:val="28"/>
        </w:rPr>
        <w:t xml:space="preserve"> working paper</w:t>
      </w:r>
      <w:r>
        <w:rPr>
          <w:rFonts w:ascii="Times New Roman" w:hAnsi="Times New Roman" w:cs="Times New Roman"/>
          <w:sz w:val="28"/>
          <w:szCs w:val="28"/>
        </w:rPr>
        <w:t xml:space="preserve"> </w:t>
      </w:r>
      <w:r w:rsidR="001405A0">
        <w:rPr>
          <w:rFonts w:ascii="Times New Roman" w:hAnsi="Times New Roman" w:cs="Times New Roman"/>
          <w:sz w:val="28"/>
          <w:szCs w:val="28"/>
        </w:rPr>
        <w:t xml:space="preserve">that ‘the hourly pay of teachers in both primary and secondary schools generally exceeds that of peers in nonteaching jobs’ </w:t>
      </w:r>
      <w:r>
        <w:rPr>
          <w:rFonts w:ascii="Times New Roman" w:hAnsi="Times New Roman" w:cs="Times New Roman"/>
          <w:sz w:val="28"/>
          <w:szCs w:val="28"/>
        </w:rPr>
        <w:t>(</w:t>
      </w:r>
      <w:r w:rsidR="001405A0">
        <w:rPr>
          <w:rFonts w:ascii="Times New Roman" w:hAnsi="Times New Roman" w:cs="Times New Roman"/>
          <w:sz w:val="28"/>
          <w:szCs w:val="28"/>
        </w:rPr>
        <w:t>p</w:t>
      </w:r>
      <w:r>
        <w:rPr>
          <w:rFonts w:ascii="Times New Roman" w:hAnsi="Times New Roman" w:cs="Times New Roman"/>
          <w:sz w:val="28"/>
          <w:szCs w:val="28"/>
        </w:rPr>
        <w:t>.</w:t>
      </w:r>
      <w:r w:rsidR="001405A0">
        <w:rPr>
          <w:rFonts w:ascii="Times New Roman" w:hAnsi="Times New Roman" w:cs="Times New Roman"/>
          <w:sz w:val="28"/>
          <w:szCs w:val="28"/>
        </w:rPr>
        <w:t>248</w:t>
      </w:r>
      <w:r>
        <w:rPr>
          <w:rFonts w:ascii="Times New Roman" w:hAnsi="Times New Roman" w:cs="Times New Roman"/>
          <w:sz w:val="28"/>
          <w:szCs w:val="28"/>
        </w:rPr>
        <w:t>) thereby implying that teachers in SSA are relatively well paid</w:t>
      </w:r>
      <w:r w:rsidR="001405A0">
        <w:rPr>
          <w:rFonts w:ascii="Times New Roman" w:hAnsi="Times New Roman" w:cs="Times New Roman"/>
          <w:sz w:val="28"/>
          <w:szCs w:val="28"/>
        </w:rPr>
        <w:t xml:space="preserve">. </w:t>
      </w:r>
      <w:r w:rsidR="001325A2">
        <w:rPr>
          <w:rFonts w:ascii="Times New Roman" w:hAnsi="Times New Roman" w:cs="Times New Roman"/>
          <w:sz w:val="28"/>
          <w:szCs w:val="28"/>
        </w:rPr>
        <w:t xml:space="preserve">And yet, </w:t>
      </w:r>
      <w:r>
        <w:rPr>
          <w:rFonts w:ascii="Times New Roman" w:hAnsi="Times New Roman" w:cs="Times New Roman"/>
          <w:sz w:val="28"/>
          <w:szCs w:val="28"/>
        </w:rPr>
        <w:t xml:space="preserve">the report also acknowledges that </w:t>
      </w:r>
      <w:r w:rsidR="004F6154">
        <w:rPr>
          <w:rFonts w:ascii="Times New Roman" w:hAnsi="Times New Roman" w:cs="Times New Roman"/>
          <w:sz w:val="28"/>
          <w:szCs w:val="28"/>
        </w:rPr>
        <w:t>‘i</w:t>
      </w:r>
      <w:r w:rsidR="001405A0">
        <w:rPr>
          <w:rFonts w:ascii="Times New Roman" w:hAnsi="Times New Roman" w:cs="Times New Roman"/>
          <w:sz w:val="28"/>
          <w:szCs w:val="28"/>
        </w:rPr>
        <w:t xml:space="preserve">f wholesale increases in teacher salaries are not feasible, a narrower focus </w:t>
      </w:r>
      <w:r w:rsidR="001405A0">
        <w:rPr>
          <w:rFonts w:ascii="Times New Roman" w:hAnsi="Times New Roman" w:cs="Times New Roman"/>
          <w:sz w:val="28"/>
          <w:szCs w:val="28"/>
        </w:rPr>
        <w:lastRenderedPageBreak/>
        <w:t xml:space="preserve">on selected increases my still help to relieve debilitating bottlenecks (for example, by staffing hard-to-fill positions, as in remote schools’ </w:t>
      </w:r>
      <w:r w:rsidR="004F6154">
        <w:rPr>
          <w:rFonts w:ascii="Times New Roman" w:hAnsi="Times New Roman" w:cs="Times New Roman"/>
          <w:sz w:val="28"/>
          <w:szCs w:val="28"/>
        </w:rPr>
        <w:t>(</w:t>
      </w:r>
      <w:r w:rsidR="001405A0">
        <w:rPr>
          <w:rFonts w:ascii="Times New Roman" w:hAnsi="Times New Roman" w:cs="Times New Roman"/>
          <w:sz w:val="28"/>
          <w:szCs w:val="28"/>
        </w:rPr>
        <w:t>p. 253-255</w:t>
      </w:r>
      <w:r w:rsidR="004F6154">
        <w:rPr>
          <w:rFonts w:ascii="Times New Roman" w:hAnsi="Times New Roman" w:cs="Times New Roman"/>
          <w:sz w:val="28"/>
          <w:szCs w:val="28"/>
        </w:rPr>
        <w:t>)</w:t>
      </w:r>
      <w:r w:rsidR="001405A0">
        <w:rPr>
          <w:rFonts w:ascii="Times New Roman" w:hAnsi="Times New Roman" w:cs="Times New Roman"/>
          <w:sz w:val="28"/>
          <w:szCs w:val="28"/>
        </w:rPr>
        <w:t xml:space="preserve">. </w:t>
      </w:r>
    </w:p>
    <w:p w:rsidR="00B465C1" w:rsidRPr="001405A0" w:rsidRDefault="00C4119A" w:rsidP="00B465C1">
      <w:pPr>
        <w:jc w:val="both"/>
        <w:rPr>
          <w:rFonts w:ascii="Times New Roman" w:hAnsi="Times New Roman" w:cs="Times New Roman"/>
          <w:b/>
          <w:i/>
          <w:sz w:val="28"/>
          <w:szCs w:val="28"/>
        </w:rPr>
      </w:pPr>
      <w:r>
        <w:rPr>
          <w:rFonts w:ascii="Times New Roman" w:hAnsi="Times New Roman" w:cs="Times New Roman"/>
          <w:b/>
          <w:i/>
          <w:sz w:val="28"/>
          <w:szCs w:val="28"/>
        </w:rPr>
        <w:t>7</w:t>
      </w:r>
      <w:r w:rsidR="00B465C1" w:rsidRPr="001405A0">
        <w:rPr>
          <w:rFonts w:ascii="Times New Roman" w:hAnsi="Times New Roman" w:cs="Times New Roman"/>
          <w:b/>
          <w:i/>
          <w:sz w:val="28"/>
          <w:szCs w:val="28"/>
        </w:rPr>
        <w:t>. Conclusion</w:t>
      </w:r>
    </w:p>
    <w:p w:rsidR="00682D0A" w:rsidRDefault="004F6154" w:rsidP="00B461C6">
      <w:pPr>
        <w:jc w:val="both"/>
        <w:rPr>
          <w:rFonts w:ascii="Times New Roman" w:hAnsi="Times New Roman" w:cs="Times New Roman"/>
          <w:sz w:val="28"/>
          <w:szCs w:val="28"/>
        </w:rPr>
      </w:pPr>
      <w:r>
        <w:rPr>
          <w:rFonts w:ascii="Times New Roman" w:hAnsi="Times New Roman" w:cs="Times New Roman"/>
          <w:sz w:val="28"/>
          <w:szCs w:val="28"/>
        </w:rPr>
        <w:t xml:space="preserve">The overall conclusion of this </w:t>
      </w:r>
      <w:r w:rsidR="007545AC">
        <w:rPr>
          <w:rFonts w:ascii="Times New Roman" w:hAnsi="Times New Roman" w:cs="Times New Roman"/>
          <w:sz w:val="28"/>
          <w:szCs w:val="28"/>
        </w:rPr>
        <w:t>review</w:t>
      </w:r>
      <w:r>
        <w:rPr>
          <w:rFonts w:ascii="Times New Roman" w:hAnsi="Times New Roman" w:cs="Times New Roman"/>
          <w:sz w:val="28"/>
          <w:szCs w:val="28"/>
        </w:rPr>
        <w:t xml:space="preserve"> is that</w:t>
      </w:r>
      <w:r w:rsidR="00C4119A">
        <w:rPr>
          <w:rFonts w:ascii="Times New Roman" w:hAnsi="Times New Roman" w:cs="Times New Roman"/>
          <w:sz w:val="28"/>
          <w:szCs w:val="28"/>
        </w:rPr>
        <w:t xml:space="preserve"> primary school teachers are </w:t>
      </w:r>
      <w:r w:rsidR="00E12294">
        <w:rPr>
          <w:rFonts w:ascii="Times New Roman" w:hAnsi="Times New Roman" w:cs="Times New Roman"/>
          <w:sz w:val="28"/>
          <w:szCs w:val="28"/>
        </w:rPr>
        <w:t>n</w:t>
      </w:r>
      <w:r w:rsidR="00C4119A">
        <w:rPr>
          <w:rFonts w:ascii="Times New Roman" w:hAnsi="Times New Roman" w:cs="Times New Roman"/>
          <w:sz w:val="28"/>
          <w:szCs w:val="28"/>
        </w:rPr>
        <w:t xml:space="preserve">ot ‘relatively well paid’ in most counties in SSA. This is true with respect to each of the three </w:t>
      </w:r>
      <w:r w:rsidR="007545AC">
        <w:rPr>
          <w:rFonts w:ascii="Times New Roman" w:hAnsi="Times New Roman" w:cs="Times New Roman"/>
          <w:sz w:val="28"/>
          <w:szCs w:val="28"/>
        </w:rPr>
        <w:t xml:space="preserve">key </w:t>
      </w:r>
      <w:r w:rsidR="00C4119A">
        <w:rPr>
          <w:rFonts w:ascii="Times New Roman" w:hAnsi="Times New Roman" w:cs="Times New Roman"/>
          <w:sz w:val="28"/>
          <w:szCs w:val="28"/>
        </w:rPr>
        <w:t>pay dimensions, namely PCGDP ratios, educational and occupational pay comparisons, and living standards. However, it is important to reiterate that, given the limitations of the available evidence, these findings are</w:t>
      </w:r>
      <w:r w:rsidR="00682D0A">
        <w:rPr>
          <w:rFonts w:ascii="Times New Roman" w:hAnsi="Times New Roman" w:cs="Times New Roman"/>
          <w:sz w:val="28"/>
          <w:szCs w:val="28"/>
        </w:rPr>
        <w:t xml:space="preserve"> preliminary and</w:t>
      </w:r>
      <w:r w:rsidR="00E943C0">
        <w:rPr>
          <w:rFonts w:ascii="Times New Roman" w:hAnsi="Times New Roman" w:cs="Times New Roman"/>
          <w:sz w:val="28"/>
          <w:szCs w:val="28"/>
        </w:rPr>
        <w:t>, therefore,</w:t>
      </w:r>
      <w:r w:rsidR="00682D0A">
        <w:rPr>
          <w:rFonts w:ascii="Times New Roman" w:hAnsi="Times New Roman" w:cs="Times New Roman"/>
          <w:sz w:val="28"/>
          <w:szCs w:val="28"/>
        </w:rPr>
        <w:t xml:space="preserve"> </w:t>
      </w:r>
      <w:r w:rsidR="00C4119A">
        <w:rPr>
          <w:rFonts w:ascii="Times New Roman" w:hAnsi="Times New Roman" w:cs="Times New Roman"/>
          <w:sz w:val="28"/>
          <w:szCs w:val="28"/>
        </w:rPr>
        <w:t>tenta</w:t>
      </w:r>
      <w:r w:rsidR="00682D0A">
        <w:rPr>
          <w:rFonts w:ascii="Times New Roman" w:hAnsi="Times New Roman" w:cs="Times New Roman"/>
          <w:sz w:val="28"/>
          <w:szCs w:val="28"/>
        </w:rPr>
        <w:t>tive.</w:t>
      </w:r>
    </w:p>
    <w:p w:rsidR="001E704B" w:rsidRDefault="00682D0A" w:rsidP="00B461C6">
      <w:pPr>
        <w:jc w:val="both"/>
        <w:rPr>
          <w:rFonts w:ascii="Times New Roman" w:hAnsi="Times New Roman" w:cs="Times New Roman"/>
          <w:sz w:val="28"/>
          <w:szCs w:val="28"/>
        </w:rPr>
      </w:pPr>
      <w:r>
        <w:rPr>
          <w:rFonts w:ascii="Times New Roman" w:hAnsi="Times New Roman" w:cs="Times New Roman"/>
          <w:sz w:val="28"/>
          <w:szCs w:val="28"/>
        </w:rPr>
        <w:t xml:space="preserve">This review also highlights the analytical shortcomings of the key publications on teacher pay in SSA. In particular, econometric </w:t>
      </w:r>
      <w:r w:rsidR="00636EF2">
        <w:rPr>
          <w:rFonts w:ascii="Times New Roman" w:hAnsi="Times New Roman" w:cs="Times New Roman"/>
          <w:sz w:val="28"/>
          <w:szCs w:val="28"/>
        </w:rPr>
        <w:t xml:space="preserve">(particularly those based on randomised control trials) </w:t>
      </w:r>
      <w:r>
        <w:rPr>
          <w:rFonts w:ascii="Times New Roman" w:hAnsi="Times New Roman" w:cs="Times New Roman"/>
          <w:sz w:val="28"/>
          <w:szCs w:val="28"/>
        </w:rPr>
        <w:t xml:space="preserve">and other statistical analysis must be grounded in an in-depth contextual understanding of the teacher and other occupational labour markets under investigation. </w:t>
      </w:r>
      <w:r w:rsidR="00636EF2">
        <w:rPr>
          <w:rFonts w:ascii="Times New Roman" w:hAnsi="Times New Roman" w:cs="Times New Roman"/>
          <w:sz w:val="28"/>
          <w:szCs w:val="28"/>
        </w:rPr>
        <w:t>P</w:t>
      </w:r>
      <w:r>
        <w:rPr>
          <w:rFonts w:ascii="Times New Roman" w:hAnsi="Times New Roman" w:cs="Times New Roman"/>
          <w:sz w:val="28"/>
          <w:szCs w:val="28"/>
        </w:rPr>
        <w:t xml:space="preserve">rimary school teachers are a highly heterogeneous group which makes intra and inter-country </w:t>
      </w:r>
      <w:r w:rsidR="001E704B">
        <w:rPr>
          <w:rFonts w:ascii="Times New Roman" w:hAnsi="Times New Roman" w:cs="Times New Roman"/>
          <w:sz w:val="28"/>
          <w:szCs w:val="28"/>
        </w:rPr>
        <w:t xml:space="preserve">occupational </w:t>
      </w:r>
      <w:r>
        <w:rPr>
          <w:rFonts w:ascii="Times New Roman" w:hAnsi="Times New Roman" w:cs="Times New Roman"/>
          <w:sz w:val="28"/>
          <w:szCs w:val="28"/>
        </w:rPr>
        <w:t xml:space="preserve">pay comparisons </w:t>
      </w:r>
      <w:r w:rsidR="00636EF2">
        <w:rPr>
          <w:rFonts w:ascii="Times New Roman" w:hAnsi="Times New Roman" w:cs="Times New Roman"/>
          <w:sz w:val="28"/>
          <w:szCs w:val="28"/>
        </w:rPr>
        <w:t>very challenging</w:t>
      </w:r>
      <w:r w:rsidR="001E704B">
        <w:rPr>
          <w:rFonts w:ascii="Times New Roman" w:hAnsi="Times New Roman" w:cs="Times New Roman"/>
          <w:sz w:val="28"/>
          <w:szCs w:val="28"/>
        </w:rPr>
        <w:t xml:space="preserve">. </w:t>
      </w:r>
    </w:p>
    <w:p w:rsidR="00A80F00" w:rsidRPr="00D624AA" w:rsidRDefault="00D624AA" w:rsidP="00B461C6">
      <w:pPr>
        <w:jc w:val="both"/>
        <w:rPr>
          <w:rFonts w:ascii="Times New Roman" w:hAnsi="Times New Roman" w:cs="Times New Roman"/>
          <w:i/>
          <w:sz w:val="28"/>
          <w:szCs w:val="28"/>
        </w:rPr>
      </w:pPr>
      <w:r w:rsidRPr="00D624AA">
        <w:rPr>
          <w:rFonts w:ascii="Times New Roman" w:hAnsi="Times New Roman" w:cs="Times New Roman"/>
          <w:i/>
          <w:sz w:val="28"/>
          <w:szCs w:val="28"/>
        </w:rPr>
        <w:t>Future research</w:t>
      </w:r>
      <w:r w:rsidR="00682D0A" w:rsidRPr="00D624AA">
        <w:rPr>
          <w:rFonts w:ascii="Times New Roman" w:hAnsi="Times New Roman" w:cs="Times New Roman"/>
          <w:i/>
          <w:sz w:val="28"/>
          <w:szCs w:val="28"/>
        </w:rPr>
        <w:t xml:space="preserve"> </w:t>
      </w:r>
      <w:r w:rsidR="005D655C">
        <w:rPr>
          <w:rFonts w:ascii="Times New Roman" w:hAnsi="Times New Roman" w:cs="Times New Roman"/>
          <w:i/>
          <w:sz w:val="28"/>
          <w:szCs w:val="28"/>
        </w:rPr>
        <w:t>priorities</w:t>
      </w:r>
      <w:r w:rsidR="00682D0A" w:rsidRPr="00D624AA">
        <w:rPr>
          <w:rFonts w:ascii="Times New Roman" w:hAnsi="Times New Roman" w:cs="Times New Roman"/>
          <w:i/>
          <w:sz w:val="28"/>
          <w:szCs w:val="28"/>
        </w:rPr>
        <w:t xml:space="preserve">  </w:t>
      </w:r>
      <w:r w:rsidR="00C4119A" w:rsidRPr="00D624AA">
        <w:rPr>
          <w:rFonts w:ascii="Times New Roman" w:hAnsi="Times New Roman" w:cs="Times New Roman"/>
          <w:i/>
          <w:sz w:val="28"/>
          <w:szCs w:val="28"/>
        </w:rPr>
        <w:t xml:space="preserve">    </w:t>
      </w:r>
    </w:p>
    <w:p w:rsidR="004F6154" w:rsidRDefault="00D624AA" w:rsidP="00B461C6">
      <w:pPr>
        <w:jc w:val="both"/>
        <w:rPr>
          <w:rFonts w:ascii="Times New Roman" w:hAnsi="Times New Roman" w:cs="Times New Roman"/>
          <w:sz w:val="28"/>
          <w:szCs w:val="28"/>
        </w:rPr>
      </w:pPr>
      <w:r>
        <w:rPr>
          <w:rFonts w:ascii="Times New Roman" w:hAnsi="Times New Roman" w:cs="Times New Roman"/>
          <w:sz w:val="28"/>
          <w:szCs w:val="28"/>
        </w:rPr>
        <w:t xml:space="preserve">The education Sustainable Development Goals will not be attained </w:t>
      </w:r>
      <w:r w:rsidR="00FE5CFE">
        <w:rPr>
          <w:rFonts w:ascii="Times New Roman" w:hAnsi="Times New Roman" w:cs="Times New Roman"/>
          <w:sz w:val="28"/>
          <w:szCs w:val="28"/>
        </w:rPr>
        <w:t xml:space="preserve">by 2030 </w:t>
      </w:r>
      <w:r>
        <w:rPr>
          <w:rFonts w:ascii="Times New Roman" w:hAnsi="Times New Roman" w:cs="Times New Roman"/>
          <w:sz w:val="28"/>
          <w:szCs w:val="28"/>
        </w:rPr>
        <w:t xml:space="preserve">unless teachers </w:t>
      </w:r>
      <w:r w:rsidR="0006234C">
        <w:rPr>
          <w:rFonts w:ascii="Times New Roman" w:hAnsi="Times New Roman" w:cs="Times New Roman"/>
          <w:sz w:val="28"/>
          <w:szCs w:val="28"/>
        </w:rPr>
        <w:t xml:space="preserve">in SSA and elsewhere </w:t>
      </w:r>
      <w:r>
        <w:rPr>
          <w:rFonts w:ascii="Times New Roman" w:hAnsi="Times New Roman" w:cs="Times New Roman"/>
          <w:sz w:val="28"/>
          <w:szCs w:val="28"/>
        </w:rPr>
        <w:t xml:space="preserve">are adequately paid and motivated. This calls, therefore, for a concerted research effort that covers all the key issues and concerns concerning teacher remuneration and general well-being in SSA. </w:t>
      </w:r>
      <w:r w:rsidR="00BA2930">
        <w:rPr>
          <w:rFonts w:ascii="Times New Roman" w:hAnsi="Times New Roman" w:cs="Times New Roman"/>
          <w:sz w:val="28"/>
          <w:szCs w:val="28"/>
        </w:rPr>
        <w:t xml:space="preserve">In particular, large-scale, in-depth </w:t>
      </w:r>
      <w:r w:rsidR="00E943C0">
        <w:rPr>
          <w:rFonts w:ascii="Times New Roman" w:hAnsi="Times New Roman" w:cs="Times New Roman"/>
          <w:sz w:val="28"/>
          <w:szCs w:val="28"/>
        </w:rPr>
        <w:t xml:space="preserve">national </w:t>
      </w:r>
      <w:r w:rsidR="00BA2930">
        <w:rPr>
          <w:rFonts w:ascii="Times New Roman" w:hAnsi="Times New Roman" w:cs="Times New Roman"/>
          <w:sz w:val="28"/>
          <w:szCs w:val="28"/>
        </w:rPr>
        <w:t xml:space="preserve">salary surveys should be undertaken in every country as soon as possible and basic information on teacher pay should </w:t>
      </w:r>
      <w:r w:rsidR="00E943C0">
        <w:rPr>
          <w:rFonts w:ascii="Times New Roman" w:hAnsi="Times New Roman" w:cs="Times New Roman"/>
          <w:sz w:val="28"/>
          <w:szCs w:val="28"/>
        </w:rPr>
        <w:t>be submitted annually to the UNESCO</w:t>
      </w:r>
      <w:r w:rsidR="00BA2930">
        <w:rPr>
          <w:rFonts w:ascii="Times New Roman" w:hAnsi="Times New Roman" w:cs="Times New Roman"/>
          <w:sz w:val="28"/>
          <w:szCs w:val="28"/>
        </w:rPr>
        <w:t xml:space="preserve"> Institute of Statistics.  </w:t>
      </w:r>
    </w:p>
    <w:p w:rsidR="005D655C" w:rsidRDefault="005D655C" w:rsidP="00B461C6">
      <w:pPr>
        <w:jc w:val="both"/>
        <w:rPr>
          <w:rFonts w:ascii="Times New Roman" w:hAnsi="Times New Roman" w:cs="Times New Roman"/>
          <w:sz w:val="28"/>
          <w:szCs w:val="28"/>
        </w:rPr>
      </w:pPr>
      <w:r>
        <w:rPr>
          <w:rFonts w:ascii="Times New Roman" w:hAnsi="Times New Roman" w:cs="Times New Roman"/>
          <w:sz w:val="28"/>
          <w:szCs w:val="28"/>
        </w:rPr>
        <w:t>As elsewhere, statistical and econometric analysis should also be supplemented by high-quality qualitative research which provides the necessary in-depth contextual understanding of teacher material and psychological well-being in SSA. High quality ethnographic studies are particularly important</w:t>
      </w:r>
      <w:r w:rsidR="00636EF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D655C" w:rsidRDefault="005D655C" w:rsidP="00B461C6">
      <w:pPr>
        <w:jc w:val="both"/>
        <w:rPr>
          <w:rFonts w:ascii="Times New Roman" w:hAnsi="Times New Roman" w:cs="Times New Roman"/>
          <w:sz w:val="28"/>
          <w:szCs w:val="28"/>
        </w:rPr>
      </w:pPr>
    </w:p>
    <w:p w:rsidR="00D2148D" w:rsidRDefault="00D2148D" w:rsidP="00B461C6">
      <w:pPr>
        <w:jc w:val="both"/>
        <w:rPr>
          <w:rFonts w:ascii="Times New Roman" w:hAnsi="Times New Roman" w:cs="Times New Roman"/>
          <w:sz w:val="28"/>
          <w:szCs w:val="28"/>
        </w:rPr>
      </w:pPr>
    </w:p>
    <w:p w:rsidR="004E2913" w:rsidRPr="004E2913" w:rsidRDefault="004E2913" w:rsidP="00B461C6">
      <w:pPr>
        <w:jc w:val="both"/>
        <w:rPr>
          <w:rFonts w:ascii="Times New Roman" w:hAnsi="Times New Roman" w:cs="Times New Roman"/>
          <w:sz w:val="28"/>
          <w:szCs w:val="28"/>
        </w:rPr>
      </w:pPr>
    </w:p>
    <w:p w:rsidR="00F178C0" w:rsidRPr="004E2913" w:rsidRDefault="00F178C0" w:rsidP="00B461C6">
      <w:pPr>
        <w:jc w:val="both"/>
        <w:rPr>
          <w:rFonts w:ascii="Times New Roman" w:hAnsi="Times New Roman" w:cs="Times New Roman"/>
          <w:sz w:val="28"/>
          <w:szCs w:val="28"/>
        </w:rPr>
      </w:pPr>
    </w:p>
    <w:p w:rsidR="002B3930" w:rsidRPr="00B461C6" w:rsidRDefault="002B3930" w:rsidP="00B461C6">
      <w:pPr>
        <w:jc w:val="both"/>
        <w:rPr>
          <w:rFonts w:ascii="Times New Roman" w:hAnsi="Times New Roman" w:cs="Times New Roman"/>
          <w:sz w:val="28"/>
          <w:szCs w:val="28"/>
        </w:rPr>
      </w:pPr>
    </w:p>
    <w:p w:rsidR="00F178C0" w:rsidRDefault="00F178C0" w:rsidP="00B461C6">
      <w:pPr>
        <w:jc w:val="both"/>
        <w:rPr>
          <w:rFonts w:ascii="Times New Roman" w:hAnsi="Times New Roman" w:cs="Times New Roman"/>
          <w:b/>
          <w:sz w:val="28"/>
          <w:szCs w:val="28"/>
        </w:rPr>
      </w:pPr>
    </w:p>
    <w:p w:rsidR="00B461C6" w:rsidRPr="00B461C6" w:rsidRDefault="00B461C6" w:rsidP="00B461C6">
      <w:pPr>
        <w:jc w:val="both"/>
        <w:rPr>
          <w:rFonts w:ascii="Times New Roman" w:hAnsi="Times New Roman" w:cs="Times New Roman"/>
          <w:b/>
          <w:sz w:val="28"/>
          <w:szCs w:val="28"/>
        </w:rPr>
      </w:pPr>
    </w:p>
    <w:p w:rsidR="00F178C0" w:rsidRPr="00B461C6" w:rsidRDefault="00F178C0" w:rsidP="00B461C6">
      <w:pPr>
        <w:jc w:val="both"/>
        <w:rPr>
          <w:rFonts w:ascii="Times New Roman" w:hAnsi="Times New Roman" w:cs="Times New Roman"/>
          <w:sz w:val="28"/>
          <w:szCs w:val="28"/>
        </w:rPr>
      </w:pPr>
    </w:p>
    <w:p w:rsidR="00F178C0" w:rsidRPr="00C52BBE" w:rsidRDefault="00E943C0" w:rsidP="00C52BBE">
      <w:pPr>
        <w:jc w:val="center"/>
        <w:rPr>
          <w:rFonts w:ascii="Times New Roman" w:hAnsi="Times New Roman" w:cs="Times New Roman"/>
          <w:b/>
          <w:sz w:val="28"/>
          <w:szCs w:val="28"/>
        </w:rPr>
      </w:pPr>
      <w:r>
        <w:rPr>
          <w:rFonts w:ascii="Times New Roman" w:hAnsi="Times New Roman" w:cs="Times New Roman"/>
          <w:b/>
          <w:sz w:val="28"/>
          <w:szCs w:val="28"/>
        </w:rPr>
        <w:t>R</w:t>
      </w:r>
      <w:r w:rsidR="00C52BBE" w:rsidRPr="00C52BBE">
        <w:rPr>
          <w:rFonts w:ascii="Times New Roman" w:hAnsi="Times New Roman" w:cs="Times New Roman"/>
          <w:b/>
          <w:sz w:val="28"/>
          <w:szCs w:val="28"/>
        </w:rPr>
        <w:t>eferences</w:t>
      </w:r>
    </w:p>
    <w:p w:rsidR="00C52BBE" w:rsidRDefault="00C52BBE" w:rsidP="00B461C6">
      <w:pPr>
        <w:jc w:val="both"/>
        <w:rPr>
          <w:rFonts w:ascii="Times New Roman" w:hAnsi="Times New Roman" w:cs="Times New Roman"/>
          <w:sz w:val="28"/>
          <w:szCs w:val="28"/>
        </w:rPr>
      </w:pPr>
    </w:p>
    <w:p w:rsidR="00E943C0" w:rsidRDefault="007545AC" w:rsidP="00C52BBE">
      <w:pPr>
        <w:jc w:val="both"/>
        <w:rPr>
          <w:rFonts w:ascii="Times New Roman" w:hAnsi="Times New Roman" w:cs="Times New Roman"/>
          <w:sz w:val="28"/>
          <w:szCs w:val="28"/>
        </w:rPr>
      </w:pPr>
      <w:r>
        <w:rPr>
          <w:rFonts w:ascii="Times New Roman" w:hAnsi="Times New Roman" w:cs="Times New Roman"/>
          <w:sz w:val="28"/>
          <w:szCs w:val="28"/>
        </w:rPr>
        <w:t>Barton, N., Bold, T., S</w:t>
      </w:r>
      <w:r w:rsidR="00E943C0">
        <w:rPr>
          <w:rFonts w:ascii="Times New Roman" w:hAnsi="Times New Roman" w:cs="Times New Roman"/>
          <w:sz w:val="28"/>
          <w:szCs w:val="28"/>
        </w:rPr>
        <w:t>andefur, J. 2017. Measuring Rents from Public Employment: Regression Discontinuity Evidence from Kenya. Working Paper 457, June. Washington D.C.</w:t>
      </w:r>
      <w:r w:rsidR="00F93C17">
        <w:rPr>
          <w:rFonts w:ascii="Times New Roman" w:hAnsi="Times New Roman" w:cs="Times New Roman"/>
          <w:sz w:val="28"/>
          <w:szCs w:val="28"/>
        </w:rPr>
        <w:t>,</w:t>
      </w:r>
      <w:r w:rsidR="00E943C0">
        <w:rPr>
          <w:rFonts w:ascii="Times New Roman" w:hAnsi="Times New Roman" w:cs="Times New Roman"/>
          <w:sz w:val="28"/>
          <w:szCs w:val="28"/>
        </w:rPr>
        <w:t xml:space="preserve"> Center for Global Development. </w:t>
      </w:r>
    </w:p>
    <w:p w:rsidR="00AE352D" w:rsidRDefault="00AE352D" w:rsidP="00C52BBE">
      <w:pPr>
        <w:jc w:val="both"/>
        <w:rPr>
          <w:rFonts w:ascii="Times New Roman" w:hAnsi="Times New Roman" w:cs="Times New Roman"/>
          <w:sz w:val="28"/>
          <w:szCs w:val="28"/>
        </w:rPr>
      </w:pPr>
      <w:r>
        <w:rPr>
          <w:rFonts w:ascii="Times New Roman" w:hAnsi="Times New Roman" w:cs="Times New Roman"/>
          <w:sz w:val="28"/>
          <w:szCs w:val="28"/>
        </w:rPr>
        <w:t>Bashir, S., Lockheed, M., Ninan, E., Tan</w:t>
      </w:r>
      <w:r w:rsidR="007545AC">
        <w:rPr>
          <w:rFonts w:ascii="Times New Roman" w:hAnsi="Times New Roman" w:cs="Times New Roman"/>
          <w:sz w:val="28"/>
          <w:szCs w:val="28"/>
        </w:rPr>
        <w:t>,</w:t>
      </w:r>
      <w:r>
        <w:rPr>
          <w:rFonts w:ascii="Times New Roman" w:hAnsi="Times New Roman" w:cs="Times New Roman"/>
          <w:sz w:val="28"/>
          <w:szCs w:val="28"/>
        </w:rPr>
        <w:t xml:space="preserve"> J-P. 2018. Facing Forward: Schooling for Learning in Sub-Saharan Africa. Washington D.C., World Bank.</w:t>
      </w:r>
    </w:p>
    <w:p w:rsidR="00C52BBE" w:rsidRDefault="00C52BBE" w:rsidP="00C52BBE">
      <w:pPr>
        <w:jc w:val="both"/>
        <w:rPr>
          <w:rFonts w:ascii="Times New Roman" w:hAnsi="Times New Roman" w:cs="Times New Roman"/>
          <w:sz w:val="28"/>
          <w:szCs w:val="28"/>
        </w:rPr>
      </w:pPr>
      <w:r>
        <w:rPr>
          <w:rFonts w:ascii="Times New Roman" w:hAnsi="Times New Roman" w:cs="Times New Roman"/>
          <w:sz w:val="28"/>
          <w:szCs w:val="28"/>
        </w:rPr>
        <w:t>Bruns,</w:t>
      </w:r>
      <w:r w:rsidR="00E943C0">
        <w:rPr>
          <w:rFonts w:ascii="Times New Roman" w:hAnsi="Times New Roman" w:cs="Times New Roman"/>
          <w:sz w:val="28"/>
          <w:szCs w:val="28"/>
        </w:rPr>
        <w:t xml:space="preserve"> B.</w:t>
      </w:r>
      <w:r>
        <w:rPr>
          <w:rFonts w:ascii="Times New Roman" w:hAnsi="Times New Roman" w:cs="Times New Roman"/>
          <w:sz w:val="28"/>
          <w:szCs w:val="28"/>
        </w:rPr>
        <w:t xml:space="preserve"> Mingat,</w:t>
      </w:r>
      <w:r w:rsidR="00E943C0">
        <w:rPr>
          <w:rFonts w:ascii="Times New Roman" w:hAnsi="Times New Roman" w:cs="Times New Roman"/>
          <w:sz w:val="28"/>
          <w:szCs w:val="28"/>
        </w:rPr>
        <w:t xml:space="preserve"> A.</w:t>
      </w:r>
      <w:r>
        <w:rPr>
          <w:rFonts w:ascii="Times New Roman" w:hAnsi="Times New Roman" w:cs="Times New Roman"/>
          <w:sz w:val="28"/>
          <w:szCs w:val="28"/>
        </w:rPr>
        <w:t xml:space="preserve"> Rakotamalala</w:t>
      </w:r>
      <w:r w:rsidR="00E943C0">
        <w:rPr>
          <w:rFonts w:ascii="Times New Roman" w:hAnsi="Times New Roman" w:cs="Times New Roman"/>
          <w:sz w:val="28"/>
          <w:szCs w:val="28"/>
        </w:rPr>
        <w:t>, R.</w:t>
      </w:r>
      <w:r>
        <w:rPr>
          <w:rFonts w:ascii="Times New Roman" w:hAnsi="Times New Roman" w:cs="Times New Roman"/>
          <w:sz w:val="28"/>
          <w:szCs w:val="28"/>
        </w:rPr>
        <w:t xml:space="preserve"> 2003</w:t>
      </w:r>
      <w:r w:rsidR="00E943C0">
        <w:rPr>
          <w:rFonts w:ascii="Times New Roman" w:hAnsi="Times New Roman" w:cs="Times New Roman"/>
          <w:sz w:val="28"/>
          <w:szCs w:val="28"/>
        </w:rPr>
        <w:t>. Achieving Universal Primary Education: A Chance for Every Child. Washington D.C.</w:t>
      </w:r>
      <w:r w:rsidR="00F93C17">
        <w:rPr>
          <w:rFonts w:ascii="Times New Roman" w:hAnsi="Times New Roman" w:cs="Times New Roman"/>
          <w:sz w:val="28"/>
          <w:szCs w:val="28"/>
        </w:rPr>
        <w:t>,</w:t>
      </w:r>
      <w:r w:rsidR="00E943C0">
        <w:rPr>
          <w:rFonts w:ascii="Times New Roman" w:hAnsi="Times New Roman" w:cs="Times New Roman"/>
          <w:sz w:val="28"/>
          <w:szCs w:val="28"/>
        </w:rPr>
        <w:t xml:space="preserve"> World Bank.</w:t>
      </w:r>
    </w:p>
    <w:p w:rsidR="00C52BBE" w:rsidRDefault="00C52BBE" w:rsidP="00C52BBE">
      <w:pPr>
        <w:jc w:val="both"/>
        <w:rPr>
          <w:rFonts w:ascii="Times New Roman" w:hAnsi="Times New Roman" w:cs="Times New Roman"/>
          <w:sz w:val="28"/>
          <w:szCs w:val="28"/>
        </w:rPr>
      </w:pPr>
      <w:r>
        <w:rPr>
          <w:rFonts w:ascii="Times New Roman" w:hAnsi="Times New Roman" w:cs="Times New Roman"/>
          <w:sz w:val="28"/>
          <w:szCs w:val="28"/>
        </w:rPr>
        <w:t>Evans</w:t>
      </w:r>
      <w:r w:rsidR="00E943C0">
        <w:rPr>
          <w:rFonts w:ascii="Times New Roman" w:hAnsi="Times New Roman" w:cs="Times New Roman"/>
          <w:sz w:val="28"/>
          <w:szCs w:val="28"/>
        </w:rPr>
        <w:t>, D., Yuan, F., Filmer, D. 2020. Teacher Pay in Africa: Evidence from 15 countries. Policy Research Working Paper 9385. Washington D.C., World Bank.</w:t>
      </w:r>
    </w:p>
    <w:p w:rsidR="00470354" w:rsidRDefault="00470354" w:rsidP="00C52BBE">
      <w:pPr>
        <w:jc w:val="both"/>
        <w:rPr>
          <w:rFonts w:ascii="Times New Roman" w:hAnsi="Times New Roman" w:cs="Times New Roman"/>
          <w:sz w:val="28"/>
          <w:szCs w:val="28"/>
        </w:rPr>
      </w:pPr>
      <w:r>
        <w:rPr>
          <w:rFonts w:ascii="Times New Roman" w:hAnsi="Times New Roman" w:cs="Times New Roman"/>
          <w:sz w:val="28"/>
          <w:szCs w:val="28"/>
        </w:rPr>
        <w:t>Farrell, J.P. 1993. Teachers in Developing Countries: Improving effectiveness and Managing Costs. EDI Seminar Series. Washington D.C., Economic Development Institute.</w:t>
      </w:r>
    </w:p>
    <w:p w:rsidR="00C52BBE" w:rsidRDefault="00C52BBE" w:rsidP="00C52BBE">
      <w:pPr>
        <w:jc w:val="both"/>
        <w:rPr>
          <w:rFonts w:ascii="Times New Roman" w:hAnsi="Times New Roman" w:cs="Times New Roman"/>
          <w:sz w:val="28"/>
          <w:szCs w:val="28"/>
        </w:rPr>
      </w:pPr>
      <w:r>
        <w:rPr>
          <w:rFonts w:ascii="Times New Roman" w:hAnsi="Times New Roman" w:cs="Times New Roman"/>
          <w:sz w:val="28"/>
          <w:szCs w:val="28"/>
        </w:rPr>
        <w:t>Majgaard</w:t>
      </w:r>
      <w:r w:rsidR="00572BA4">
        <w:rPr>
          <w:rFonts w:ascii="Times New Roman" w:hAnsi="Times New Roman" w:cs="Times New Roman"/>
          <w:sz w:val="28"/>
          <w:szCs w:val="28"/>
        </w:rPr>
        <w:t xml:space="preserve">, K., </w:t>
      </w:r>
      <w:r>
        <w:rPr>
          <w:rFonts w:ascii="Times New Roman" w:hAnsi="Times New Roman" w:cs="Times New Roman"/>
          <w:sz w:val="28"/>
          <w:szCs w:val="28"/>
        </w:rPr>
        <w:t>Mingat</w:t>
      </w:r>
      <w:r w:rsidR="00572BA4">
        <w:rPr>
          <w:rFonts w:ascii="Times New Roman" w:hAnsi="Times New Roman" w:cs="Times New Roman"/>
          <w:sz w:val="28"/>
          <w:szCs w:val="28"/>
        </w:rPr>
        <w:t>, A.</w:t>
      </w:r>
      <w:r>
        <w:rPr>
          <w:rFonts w:ascii="Times New Roman" w:hAnsi="Times New Roman" w:cs="Times New Roman"/>
          <w:sz w:val="28"/>
          <w:szCs w:val="28"/>
        </w:rPr>
        <w:t xml:space="preserve"> 2011. Education in S</w:t>
      </w:r>
      <w:r w:rsidR="00572BA4">
        <w:rPr>
          <w:rFonts w:ascii="Times New Roman" w:hAnsi="Times New Roman" w:cs="Times New Roman"/>
          <w:sz w:val="28"/>
          <w:szCs w:val="28"/>
        </w:rPr>
        <w:t>ub-</w:t>
      </w:r>
      <w:r>
        <w:rPr>
          <w:rFonts w:ascii="Times New Roman" w:hAnsi="Times New Roman" w:cs="Times New Roman"/>
          <w:sz w:val="28"/>
          <w:szCs w:val="28"/>
        </w:rPr>
        <w:t>S</w:t>
      </w:r>
      <w:r w:rsidR="00572BA4">
        <w:rPr>
          <w:rFonts w:ascii="Times New Roman" w:hAnsi="Times New Roman" w:cs="Times New Roman"/>
          <w:sz w:val="28"/>
          <w:szCs w:val="28"/>
        </w:rPr>
        <w:t>aharan Africa: A Comparative A</w:t>
      </w:r>
      <w:r>
        <w:rPr>
          <w:rFonts w:ascii="Times New Roman" w:hAnsi="Times New Roman" w:cs="Times New Roman"/>
          <w:sz w:val="28"/>
          <w:szCs w:val="28"/>
        </w:rPr>
        <w:t>nalysis.</w:t>
      </w:r>
      <w:r w:rsidR="00572BA4">
        <w:rPr>
          <w:rFonts w:ascii="Times New Roman" w:hAnsi="Times New Roman" w:cs="Times New Roman"/>
          <w:sz w:val="28"/>
          <w:szCs w:val="28"/>
        </w:rPr>
        <w:t xml:space="preserve"> Washington D.C., World Bank.</w:t>
      </w:r>
      <w:bookmarkStart w:id="0" w:name="_GoBack"/>
      <w:bookmarkEnd w:id="0"/>
    </w:p>
    <w:p w:rsidR="00E943C0" w:rsidRDefault="00E943C0" w:rsidP="00B461C6">
      <w:pPr>
        <w:jc w:val="both"/>
        <w:rPr>
          <w:rFonts w:ascii="Times New Roman" w:hAnsi="Times New Roman" w:cs="Times New Roman"/>
          <w:sz w:val="28"/>
          <w:szCs w:val="28"/>
        </w:rPr>
      </w:pPr>
      <w:r>
        <w:rPr>
          <w:rFonts w:ascii="Times New Roman" w:hAnsi="Times New Roman" w:cs="Times New Roman"/>
          <w:sz w:val="28"/>
          <w:szCs w:val="28"/>
        </w:rPr>
        <w:t>Mbiti</w:t>
      </w:r>
      <w:r w:rsidR="00854847">
        <w:rPr>
          <w:rFonts w:ascii="Times New Roman" w:hAnsi="Times New Roman" w:cs="Times New Roman"/>
          <w:sz w:val="28"/>
          <w:szCs w:val="28"/>
        </w:rPr>
        <w:t>, I., Romero, M., Schipper, Y. 2019. Designing effective teacher performance pay programs: Experimental evidence from Tanzania. NBER Working Paper Series no. 25903. Cambridge, NBER.</w:t>
      </w:r>
    </w:p>
    <w:p w:rsidR="00C52BBE" w:rsidRDefault="00D75687" w:rsidP="00B461C6">
      <w:pPr>
        <w:jc w:val="both"/>
        <w:rPr>
          <w:rFonts w:ascii="Times New Roman" w:hAnsi="Times New Roman" w:cs="Times New Roman"/>
          <w:sz w:val="28"/>
          <w:szCs w:val="28"/>
        </w:rPr>
      </w:pPr>
      <w:r>
        <w:rPr>
          <w:rFonts w:ascii="Times New Roman" w:hAnsi="Times New Roman" w:cs="Times New Roman"/>
          <w:sz w:val="28"/>
          <w:szCs w:val="28"/>
        </w:rPr>
        <w:t xml:space="preserve">Mingat, A. </w:t>
      </w:r>
      <w:r w:rsidR="00C52BBE">
        <w:rPr>
          <w:rFonts w:ascii="Times New Roman" w:hAnsi="Times New Roman" w:cs="Times New Roman"/>
          <w:sz w:val="28"/>
          <w:szCs w:val="28"/>
        </w:rPr>
        <w:t>2001</w:t>
      </w:r>
      <w:r>
        <w:rPr>
          <w:rFonts w:ascii="Times New Roman" w:hAnsi="Times New Roman" w:cs="Times New Roman"/>
          <w:sz w:val="28"/>
          <w:szCs w:val="28"/>
        </w:rPr>
        <w:t>. Teacher Salary Issues in African Countrie</w:t>
      </w:r>
      <w:r w:rsidR="000C0D2B">
        <w:rPr>
          <w:rFonts w:ascii="Times New Roman" w:hAnsi="Times New Roman" w:cs="Times New Roman"/>
          <w:sz w:val="28"/>
          <w:szCs w:val="28"/>
        </w:rPr>
        <w:t xml:space="preserve">s. World Bank Region, Human </w:t>
      </w:r>
      <w:r>
        <w:rPr>
          <w:rFonts w:ascii="Times New Roman" w:hAnsi="Times New Roman" w:cs="Times New Roman"/>
          <w:sz w:val="28"/>
          <w:szCs w:val="28"/>
        </w:rPr>
        <w:t>Development Analysis and Policy Development Support Tea. Washington D.C., World Bank.</w:t>
      </w:r>
    </w:p>
    <w:p w:rsidR="00572BA4" w:rsidRDefault="00572BA4" w:rsidP="00B461C6">
      <w:pPr>
        <w:jc w:val="both"/>
        <w:rPr>
          <w:rFonts w:ascii="Times New Roman" w:hAnsi="Times New Roman" w:cs="Times New Roman"/>
          <w:sz w:val="28"/>
          <w:szCs w:val="28"/>
        </w:rPr>
      </w:pPr>
      <w:r>
        <w:rPr>
          <w:rFonts w:ascii="Times New Roman" w:hAnsi="Times New Roman" w:cs="Times New Roman"/>
          <w:sz w:val="28"/>
          <w:szCs w:val="28"/>
        </w:rPr>
        <w:t xml:space="preserve">OECD. </w:t>
      </w:r>
      <w:r w:rsidR="007545AC">
        <w:rPr>
          <w:rFonts w:ascii="Times New Roman" w:hAnsi="Times New Roman" w:cs="Times New Roman"/>
          <w:sz w:val="28"/>
          <w:szCs w:val="28"/>
        </w:rPr>
        <w:t>20</w:t>
      </w:r>
      <w:r w:rsidR="00AE352D">
        <w:rPr>
          <w:rFonts w:ascii="Times New Roman" w:hAnsi="Times New Roman" w:cs="Times New Roman"/>
          <w:sz w:val="28"/>
          <w:szCs w:val="28"/>
        </w:rPr>
        <w:t>2</w:t>
      </w:r>
      <w:r w:rsidR="007545AC">
        <w:rPr>
          <w:rFonts w:ascii="Times New Roman" w:hAnsi="Times New Roman" w:cs="Times New Roman"/>
          <w:sz w:val="28"/>
          <w:szCs w:val="28"/>
        </w:rPr>
        <w:t>1</w:t>
      </w:r>
      <w:r w:rsidR="00AE352D">
        <w:rPr>
          <w:rFonts w:ascii="Times New Roman" w:hAnsi="Times New Roman" w:cs="Times New Roman"/>
          <w:sz w:val="28"/>
          <w:szCs w:val="28"/>
        </w:rPr>
        <w:t>. Education at a Glance. Paris</w:t>
      </w:r>
      <w:r w:rsidR="00F93C17">
        <w:rPr>
          <w:rFonts w:ascii="Times New Roman" w:hAnsi="Times New Roman" w:cs="Times New Roman"/>
          <w:sz w:val="28"/>
          <w:szCs w:val="28"/>
        </w:rPr>
        <w:t>,</w:t>
      </w:r>
      <w:r w:rsidR="00AE352D">
        <w:rPr>
          <w:rFonts w:ascii="Times New Roman" w:hAnsi="Times New Roman" w:cs="Times New Roman"/>
          <w:sz w:val="28"/>
          <w:szCs w:val="28"/>
        </w:rPr>
        <w:t xml:space="preserve"> OECD.</w:t>
      </w:r>
    </w:p>
    <w:p w:rsidR="00925E99" w:rsidRDefault="00925E99" w:rsidP="00B461C6">
      <w:pPr>
        <w:jc w:val="both"/>
        <w:rPr>
          <w:rFonts w:ascii="Times New Roman" w:hAnsi="Times New Roman" w:cs="Times New Roman"/>
          <w:sz w:val="28"/>
          <w:szCs w:val="28"/>
        </w:rPr>
      </w:pPr>
      <w:r>
        <w:rPr>
          <w:rFonts w:ascii="Times New Roman" w:hAnsi="Times New Roman" w:cs="Times New Roman"/>
          <w:sz w:val="28"/>
          <w:szCs w:val="28"/>
        </w:rPr>
        <w:t xml:space="preserve">Sandefur, J. 2018. Chart of the Week: Teacher Pay around the World: Beyond “Disruption” and “De-skilling”. February 20 blog February. Washington D.C., Centre for Global Development. </w:t>
      </w:r>
    </w:p>
    <w:p w:rsidR="00572BA4" w:rsidRDefault="00572BA4" w:rsidP="00B461C6">
      <w:pPr>
        <w:jc w:val="both"/>
        <w:rPr>
          <w:rFonts w:ascii="Times New Roman" w:hAnsi="Times New Roman" w:cs="Times New Roman"/>
          <w:sz w:val="28"/>
          <w:szCs w:val="28"/>
        </w:rPr>
      </w:pPr>
      <w:r>
        <w:rPr>
          <w:rFonts w:ascii="Times New Roman" w:hAnsi="Times New Roman" w:cs="Times New Roman"/>
          <w:sz w:val="28"/>
          <w:szCs w:val="28"/>
        </w:rPr>
        <w:t xml:space="preserve">World Bank. 2018. World Development Report: Learning </w:t>
      </w:r>
      <w:r w:rsidR="000C0D2B">
        <w:rPr>
          <w:rFonts w:ascii="Times New Roman" w:hAnsi="Times New Roman" w:cs="Times New Roman"/>
          <w:sz w:val="28"/>
          <w:szCs w:val="28"/>
        </w:rPr>
        <w:t>to</w:t>
      </w:r>
      <w:r>
        <w:rPr>
          <w:rFonts w:ascii="Times New Roman" w:hAnsi="Times New Roman" w:cs="Times New Roman"/>
          <w:sz w:val="28"/>
          <w:szCs w:val="28"/>
        </w:rPr>
        <w:t xml:space="preserve"> Realize Education’s Promise. Washington D.C., World Bank.</w:t>
      </w:r>
    </w:p>
    <w:p w:rsidR="004474BB" w:rsidRDefault="00925E99" w:rsidP="00B461C6">
      <w:pPr>
        <w:jc w:val="both"/>
        <w:rPr>
          <w:rFonts w:ascii="Times New Roman" w:hAnsi="Times New Roman" w:cs="Times New Roman"/>
          <w:sz w:val="28"/>
          <w:szCs w:val="28"/>
        </w:rPr>
      </w:pPr>
      <w:r>
        <w:rPr>
          <w:rFonts w:ascii="Times New Roman" w:hAnsi="Times New Roman" w:cs="Times New Roman"/>
          <w:sz w:val="28"/>
          <w:szCs w:val="28"/>
        </w:rPr>
        <w:t xml:space="preserve">Zyleman, M., DeStefano, J. 1989. Primary School Teachers’ </w:t>
      </w:r>
      <w:r w:rsidR="000C0D2B">
        <w:rPr>
          <w:rFonts w:ascii="Times New Roman" w:hAnsi="Times New Roman" w:cs="Times New Roman"/>
          <w:sz w:val="28"/>
          <w:szCs w:val="28"/>
        </w:rPr>
        <w:t>Salaries</w:t>
      </w:r>
      <w:r>
        <w:rPr>
          <w:rFonts w:ascii="Times New Roman" w:hAnsi="Times New Roman" w:cs="Times New Roman"/>
          <w:sz w:val="28"/>
          <w:szCs w:val="28"/>
        </w:rPr>
        <w:t xml:space="preserve"> in Sub-Saharan Africa. World Bank Discussion Paper 45. Washington D.C., World Bank.</w:t>
      </w:r>
    </w:p>
    <w:sectPr w:rsidR="004474BB">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456" w:rsidRDefault="00054456" w:rsidP="00174A07">
      <w:pPr>
        <w:spacing w:after="0" w:line="240" w:lineRule="auto"/>
      </w:pPr>
      <w:r>
        <w:separator/>
      </w:r>
    </w:p>
  </w:endnote>
  <w:endnote w:type="continuationSeparator" w:id="0">
    <w:p w:rsidR="00054456" w:rsidRDefault="00054456" w:rsidP="00174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1060499"/>
      <w:docPartObj>
        <w:docPartGallery w:val="Page Numbers (Bottom of Page)"/>
        <w:docPartUnique/>
      </w:docPartObj>
    </w:sdtPr>
    <w:sdtEndPr>
      <w:rPr>
        <w:noProof/>
      </w:rPr>
    </w:sdtEndPr>
    <w:sdtContent>
      <w:p w:rsidR="00FD3B8B" w:rsidRDefault="00FD3B8B">
        <w:pPr>
          <w:pStyle w:val="Footer"/>
          <w:jc w:val="center"/>
        </w:pPr>
        <w:r>
          <w:fldChar w:fldCharType="begin"/>
        </w:r>
        <w:r>
          <w:instrText xml:space="preserve"> PAGE   \* MERGEFORMAT </w:instrText>
        </w:r>
        <w:r>
          <w:fldChar w:fldCharType="separate"/>
        </w:r>
        <w:r w:rsidR="00A46321">
          <w:rPr>
            <w:noProof/>
          </w:rPr>
          <w:t>23</w:t>
        </w:r>
        <w:r>
          <w:rPr>
            <w:noProof/>
          </w:rPr>
          <w:fldChar w:fldCharType="end"/>
        </w:r>
      </w:p>
    </w:sdtContent>
  </w:sdt>
  <w:p w:rsidR="00FD3B8B" w:rsidRDefault="00FD3B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456" w:rsidRDefault="00054456" w:rsidP="00174A07">
      <w:pPr>
        <w:spacing w:after="0" w:line="240" w:lineRule="auto"/>
      </w:pPr>
      <w:r>
        <w:separator/>
      </w:r>
    </w:p>
  </w:footnote>
  <w:footnote w:type="continuationSeparator" w:id="0">
    <w:p w:rsidR="00054456" w:rsidRDefault="00054456" w:rsidP="00174A07">
      <w:pPr>
        <w:spacing w:after="0" w:line="240" w:lineRule="auto"/>
      </w:pPr>
      <w:r>
        <w:continuationSeparator/>
      </w:r>
    </w:p>
  </w:footnote>
  <w:footnote w:id="1">
    <w:p w:rsidR="00FD3B8B" w:rsidRPr="00797A20" w:rsidRDefault="00FD3B8B">
      <w:pPr>
        <w:pStyle w:val="FootnoteText"/>
        <w:rPr>
          <w:rFonts w:ascii="Times New Roman" w:hAnsi="Times New Roman" w:cs="Times New Roman"/>
          <w:sz w:val="24"/>
          <w:szCs w:val="24"/>
        </w:rPr>
      </w:pPr>
      <w:r w:rsidRPr="00797A20">
        <w:rPr>
          <w:rStyle w:val="FootnoteReference"/>
          <w:rFonts w:ascii="Times New Roman" w:hAnsi="Times New Roman" w:cs="Times New Roman"/>
          <w:sz w:val="24"/>
          <w:szCs w:val="24"/>
        </w:rPr>
        <w:footnoteRef/>
      </w:r>
      <w:r w:rsidRPr="00797A20">
        <w:rPr>
          <w:rFonts w:ascii="Times New Roman" w:hAnsi="Times New Roman" w:cs="Times New Roman"/>
          <w:sz w:val="24"/>
          <w:szCs w:val="24"/>
        </w:rPr>
        <w:t xml:space="preserve"> A separate paper on the pay of secondary school teachers in SSA is forthcoming.</w:t>
      </w:r>
    </w:p>
  </w:footnote>
  <w:footnote w:id="2">
    <w:p w:rsidR="00FD3B8B" w:rsidRPr="00797A20" w:rsidRDefault="00FD3B8B" w:rsidP="001B644D">
      <w:pPr>
        <w:pStyle w:val="FootnoteText"/>
        <w:jc w:val="both"/>
        <w:rPr>
          <w:rFonts w:ascii="Times New Roman" w:hAnsi="Times New Roman" w:cs="Times New Roman"/>
          <w:sz w:val="24"/>
          <w:szCs w:val="24"/>
        </w:rPr>
      </w:pPr>
      <w:r w:rsidRPr="00797A20">
        <w:rPr>
          <w:rStyle w:val="FootnoteReference"/>
          <w:sz w:val="24"/>
          <w:szCs w:val="24"/>
        </w:rPr>
        <w:footnoteRef/>
      </w:r>
      <w:r w:rsidRPr="00797A20">
        <w:rPr>
          <w:sz w:val="24"/>
          <w:szCs w:val="24"/>
        </w:rPr>
        <w:t xml:space="preserve"> </w:t>
      </w:r>
      <w:r w:rsidRPr="00797A20">
        <w:rPr>
          <w:rFonts w:ascii="Times New Roman" w:hAnsi="Times New Roman" w:cs="Times New Roman"/>
          <w:sz w:val="24"/>
          <w:szCs w:val="24"/>
        </w:rPr>
        <w:t>Recent information of any kind could not be obtained for Angola, Republic of Congo, Equatorial Guinea, Eritrea, Gabon and Somaliland. Djibouti, Sudan and Mauritania are not included in SSA. The five small island states of Cap Verde, Comoros, Mauritius, Sao Tome Principe and Seychelles were excluded. Concerted efforts were made to obtain basic information from the relevant government institutions (mainly Ministries of Education and Teacher Service Commissions) and teacher trade unions but response rates were negligible.</w:t>
      </w:r>
    </w:p>
  </w:footnote>
  <w:footnote w:id="3">
    <w:p w:rsidR="00FD3B8B" w:rsidRPr="00797A20" w:rsidRDefault="00FD3B8B" w:rsidP="001B644D">
      <w:pPr>
        <w:pStyle w:val="FootnoteText"/>
        <w:jc w:val="both"/>
        <w:rPr>
          <w:rFonts w:ascii="Times New Roman" w:hAnsi="Times New Roman" w:cs="Times New Roman"/>
          <w:sz w:val="24"/>
          <w:szCs w:val="24"/>
        </w:rPr>
      </w:pPr>
      <w:r w:rsidRPr="00797A20">
        <w:rPr>
          <w:rStyle w:val="FootnoteReference"/>
          <w:rFonts w:ascii="Times New Roman" w:hAnsi="Times New Roman" w:cs="Times New Roman"/>
          <w:sz w:val="24"/>
          <w:szCs w:val="24"/>
        </w:rPr>
        <w:footnoteRef/>
      </w:r>
      <w:r w:rsidRPr="00797A20">
        <w:rPr>
          <w:rFonts w:ascii="Times New Roman" w:hAnsi="Times New Roman" w:cs="Times New Roman"/>
          <w:sz w:val="24"/>
          <w:szCs w:val="24"/>
        </w:rPr>
        <w:t xml:space="preserve"> These countries are Guinea Bissau (2010), Mozambique (2015), Namibia (2012), Rwanda (2012), Senegal (2014).</w:t>
      </w:r>
    </w:p>
  </w:footnote>
  <w:footnote w:id="4">
    <w:p w:rsidR="00FD3B8B" w:rsidRPr="00797A20" w:rsidRDefault="00FD3B8B" w:rsidP="001B644D">
      <w:pPr>
        <w:pStyle w:val="FootnoteText"/>
        <w:jc w:val="both"/>
        <w:rPr>
          <w:rFonts w:ascii="Times New Roman" w:hAnsi="Times New Roman" w:cs="Times New Roman"/>
          <w:sz w:val="24"/>
          <w:szCs w:val="24"/>
        </w:rPr>
      </w:pPr>
      <w:r w:rsidRPr="00797A20">
        <w:rPr>
          <w:rStyle w:val="FootnoteReference"/>
          <w:rFonts w:ascii="Times New Roman" w:hAnsi="Times New Roman" w:cs="Times New Roman"/>
          <w:sz w:val="24"/>
          <w:szCs w:val="24"/>
        </w:rPr>
        <w:footnoteRef/>
      </w:r>
      <w:r w:rsidRPr="00797A20">
        <w:rPr>
          <w:rFonts w:ascii="Times New Roman" w:hAnsi="Times New Roman" w:cs="Times New Roman"/>
          <w:sz w:val="24"/>
          <w:szCs w:val="24"/>
        </w:rPr>
        <w:t xml:space="preserve"> ESA reports are mainly produced by the UNESCO IIEP Pole de Dakar team based in Senegal and have a common format. EPERs are undertaken by the World Bank.</w:t>
      </w:r>
    </w:p>
  </w:footnote>
  <w:footnote w:id="5">
    <w:p w:rsidR="00FD3B8B" w:rsidRPr="00797A20" w:rsidRDefault="00FD3B8B" w:rsidP="001B644D">
      <w:pPr>
        <w:pStyle w:val="FootnoteText"/>
        <w:jc w:val="both"/>
        <w:rPr>
          <w:rFonts w:ascii="Times New Roman" w:hAnsi="Times New Roman" w:cs="Times New Roman"/>
          <w:sz w:val="24"/>
          <w:szCs w:val="24"/>
        </w:rPr>
      </w:pPr>
      <w:r w:rsidRPr="00797A20">
        <w:rPr>
          <w:rStyle w:val="FootnoteReference"/>
          <w:rFonts w:ascii="Times New Roman" w:hAnsi="Times New Roman" w:cs="Times New Roman"/>
          <w:sz w:val="24"/>
          <w:szCs w:val="24"/>
        </w:rPr>
        <w:footnoteRef/>
      </w:r>
      <w:r w:rsidRPr="00797A20">
        <w:rPr>
          <w:rFonts w:ascii="Times New Roman" w:hAnsi="Times New Roman" w:cs="Times New Roman"/>
          <w:sz w:val="24"/>
          <w:szCs w:val="24"/>
        </w:rPr>
        <w:t xml:space="preserve"> All but three of these countries are in Anglophone Africa.</w:t>
      </w:r>
    </w:p>
  </w:footnote>
  <w:footnote w:id="6">
    <w:p w:rsidR="00FD3B8B" w:rsidRPr="00797A20" w:rsidRDefault="00FD3B8B" w:rsidP="00836AA2">
      <w:pPr>
        <w:pStyle w:val="FootnoteText"/>
        <w:jc w:val="both"/>
        <w:rPr>
          <w:rFonts w:ascii="Times New Roman" w:hAnsi="Times New Roman" w:cs="Times New Roman"/>
          <w:sz w:val="24"/>
          <w:szCs w:val="24"/>
        </w:rPr>
      </w:pPr>
      <w:r w:rsidRPr="00797A20">
        <w:rPr>
          <w:rStyle w:val="FootnoteReference"/>
          <w:rFonts w:ascii="Times New Roman" w:hAnsi="Times New Roman" w:cs="Times New Roman"/>
          <w:sz w:val="24"/>
          <w:szCs w:val="24"/>
        </w:rPr>
        <w:footnoteRef/>
      </w:r>
      <w:r w:rsidRPr="00797A20">
        <w:rPr>
          <w:rFonts w:ascii="Times New Roman" w:hAnsi="Times New Roman" w:cs="Times New Roman"/>
          <w:sz w:val="24"/>
          <w:szCs w:val="24"/>
        </w:rPr>
        <w:t xml:space="preserve"> There were a few exceptions including Madagascar where some FTI funding was used to supplement the salaries of community-based teachers.</w:t>
      </w:r>
    </w:p>
  </w:footnote>
  <w:footnote w:id="7">
    <w:p w:rsidR="00E12294" w:rsidRPr="00E12294" w:rsidRDefault="00E12294" w:rsidP="00E12294">
      <w:pPr>
        <w:pStyle w:val="FootnoteText"/>
        <w:jc w:val="both"/>
        <w:rPr>
          <w:rFonts w:ascii="Times New Roman" w:hAnsi="Times New Roman" w:cs="Times New Roman"/>
          <w:sz w:val="22"/>
          <w:szCs w:val="22"/>
        </w:rPr>
      </w:pPr>
      <w:r w:rsidRPr="00E12294">
        <w:rPr>
          <w:rStyle w:val="FootnoteReference"/>
          <w:rFonts w:ascii="Times New Roman" w:hAnsi="Times New Roman" w:cs="Times New Roman"/>
          <w:sz w:val="22"/>
          <w:szCs w:val="22"/>
        </w:rPr>
        <w:footnoteRef/>
      </w:r>
      <w:r w:rsidRPr="00E12294">
        <w:rPr>
          <w:rFonts w:ascii="Times New Roman" w:hAnsi="Times New Roman" w:cs="Times New Roman"/>
          <w:sz w:val="22"/>
          <w:szCs w:val="22"/>
        </w:rPr>
        <w:t xml:space="preserve"> It is also worth noting that, in 2020, primary school teachers were paid less than other ‘similarly educated workers’ in all but one of the 19 OECD countries for which data are available. They </w:t>
      </w:r>
      <w:r>
        <w:rPr>
          <w:rFonts w:ascii="Times New Roman" w:hAnsi="Times New Roman" w:cs="Times New Roman"/>
          <w:sz w:val="22"/>
          <w:szCs w:val="22"/>
        </w:rPr>
        <w:t>were</w:t>
      </w:r>
      <w:r w:rsidRPr="00E12294">
        <w:rPr>
          <w:rFonts w:ascii="Times New Roman" w:hAnsi="Times New Roman" w:cs="Times New Roman"/>
          <w:sz w:val="22"/>
          <w:szCs w:val="22"/>
        </w:rPr>
        <w:t xml:space="preserve"> paid 20% or less in 10 of these countries (see OECD, 2021)</w:t>
      </w:r>
    </w:p>
  </w:footnote>
  <w:footnote w:id="8">
    <w:p w:rsidR="00FD3B8B" w:rsidRPr="00D50C81" w:rsidRDefault="00FD3B8B" w:rsidP="00D50C81">
      <w:pPr>
        <w:pStyle w:val="FootnoteText"/>
        <w:rPr>
          <w:rFonts w:ascii="Times New Roman" w:hAnsi="Times New Roman" w:cs="Times New Roman"/>
          <w:sz w:val="22"/>
          <w:szCs w:val="22"/>
        </w:rPr>
      </w:pPr>
      <w:r w:rsidRPr="00D50C81">
        <w:rPr>
          <w:rStyle w:val="FootnoteReference"/>
          <w:rFonts w:ascii="Times New Roman" w:hAnsi="Times New Roman" w:cs="Times New Roman"/>
          <w:sz w:val="22"/>
          <w:szCs w:val="22"/>
        </w:rPr>
        <w:footnoteRef/>
      </w:r>
      <w:r w:rsidRPr="00D50C81">
        <w:rPr>
          <w:rFonts w:ascii="Times New Roman" w:hAnsi="Times New Roman" w:cs="Times New Roman"/>
          <w:sz w:val="22"/>
          <w:szCs w:val="22"/>
        </w:rPr>
        <w:t xml:space="preserve"> Sample sizes range from less than 200 in Liberia, Niger and Uganda to over 1,100 in DRC. The media sample size is 343.</w:t>
      </w:r>
    </w:p>
    <w:p w:rsidR="00FD3B8B" w:rsidRPr="008C014D" w:rsidRDefault="00FD3B8B" w:rsidP="005A781F">
      <w:pPr>
        <w:pStyle w:val="FootnoteText"/>
        <w:rPr>
          <w:rFonts w:ascii="Times New Roman" w:hAnsi="Times New Roman" w:cs="Times New Roman"/>
          <w:sz w:val="24"/>
          <w:szCs w:val="24"/>
        </w:rPr>
      </w:pPr>
    </w:p>
  </w:footnote>
  <w:footnote w:id="9">
    <w:p w:rsidR="00FD3B8B" w:rsidRPr="00B81D1D" w:rsidRDefault="00FD3B8B">
      <w:pPr>
        <w:pStyle w:val="FootnoteText"/>
        <w:rPr>
          <w:rFonts w:ascii="Times New Roman" w:hAnsi="Times New Roman" w:cs="Times New Roman"/>
          <w:sz w:val="22"/>
          <w:szCs w:val="22"/>
        </w:rPr>
      </w:pPr>
      <w:r w:rsidRPr="00B81D1D">
        <w:rPr>
          <w:rStyle w:val="FootnoteReference"/>
          <w:rFonts w:ascii="Times New Roman" w:hAnsi="Times New Roman" w:cs="Times New Roman"/>
          <w:sz w:val="22"/>
          <w:szCs w:val="22"/>
        </w:rPr>
        <w:footnoteRef/>
      </w:r>
      <w:r w:rsidRPr="00B81D1D">
        <w:rPr>
          <w:rFonts w:ascii="Times New Roman" w:hAnsi="Times New Roman" w:cs="Times New Roman"/>
          <w:sz w:val="22"/>
          <w:szCs w:val="22"/>
        </w:rPr>
        <w:t xml:space="preserve"> These concerns were shared with the authors but no response was forthcoming.</w:t>
      </w:r>
    </w:p>
  </w:footnote>
  <w:footnote w:id="10">
    <w:p w:rsidR="00E12294" w:rsidRPr="0008314B" w:rsidRDefault="00E12294" w:rsidP="00E12294">
      <w:pPr>
        <w:pStyle w:val="FootnoteText"/>
        <w:rPr>
          <w:rFonts w:ascii="Times New Roman" w:hAnsi="Times New Roman" w:cs="Times New Roman"/>
          <w:sz w:val="22"/>
          <w:szCs w:val="22"/>
        </w:rPr>
      </w:pPr>
      <w:r w:rsidRPr="0008314B">
        <w:rPr>
          <w:rStyle w:val="FootnoteReference"/>
          <w:rFonts w:ascii="Times New Roman" w:hAnsi="Times New Roman" w:cs="Times New Roman"/>
          <w:sz w:val="22"/>
          <w:szCs w:val="22"/>
        </w:rPr>
        <w:footnoteRef/>
      </w:r>
      <w:r w:rsidRPr="0008314B">
        <w:rPr>
          <w:rFonts w:ascii="Times New Roman" w:hAnsi="Times New Roman" w:cs="Times New Roman"/>
          <w:sz w:val="22"/>
          <w:szCs w:val="22"/>
        </w:rPr>
        <w:t xml:space="preserve"> Also often known as PTA teachers or maitre-parent.</w:t>
      </w:r>
    </w:p>
  </w:footnote>
  <w:footnote w:id="11">
    <w:p w:rsidR="00FD3B8B" w:rsidRPr="00793913" w:rsidRDefault="00FD3B8B">
      <w:pPr>
        <w:pStyle w:val="FootnoteText"/>
        <w:rPr>
          <w:rFonts w:ascii="Times New Roman" w:hAnsi="Times New Roman" w:cs="Times New Roman"/>
          <w:sz w:val="24"/>
          <w:szCs w:val="24"/>
        </w:rPr>
      </w:pPr>
      <w:r w:rsidRPr="00793913">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For the 11</w:t>
      </w:r>
      <w:r w:rsidRPr="00793913">
        <w:rPr>
          <w:rFonts w:ascii="Times New Roman" w:hAnsi="Times New Roman" w:cs="Times New Roman"/>
          <w:sz w:val="24"/>
          <w:szCs w:val="24"/>
        </w:rPr>
        <w:t xml:space="preserve"> countries with no recent WageIndicator data, the FWL </w:t>
      </w:r>
      <w:r>
        <w:rPr>
          <w:rFonts w:ascii="Times New Roman" w:hAnsi="Times New Roman" w:cs="Times New Roman"/>
          <w:sz w:val="24"/>
          <w:szCs w:val="24"/>
        </w:rPr>
        <w:t>from neighbouring countries has</w:t>
      </w:r>
      <w:r w:rsidRPr="00793913">
        <w:rPr>
          <w:rFonts w:ascii="Times New Roman" w:hAnsi="Times New Roman" w:cs="Times New Roman"/>
          <w:sz w:val="24"/>
          <w:szCs w:val="24"/>
        </w:rPr>
        <w:t xml:space="preserve"> been used. </w:t>
      </w:r>
    </w:p>
  </w:footnote>
  <w:footnote w:id="12">
    <w:p w:rsidR="00FD3B8B" w:rsidRPr="00AD7A1F" w:rsidRDefault="00FD3B8B" w:rsidP="00AD7A1F">
      <w:pPr>
        <w:pStyle w:val="FootnoteText"/>
        <w:jc w:val="both"/>
        <w:rPr>
          <w:rFonts w:ascii="Times New Roman" w:hAnsi="Times New Roman" w:cs="Times New Roman"/>
          <w:sz w:val="22"/>
          <w:szCs w:val="22"/>
        </w:rPr>
      </w:pPr>
      <w:r w:rsidRPr="00AD7A1F">
        <w:rPr>
          <w:rStyle w:val="FootnoteReference"/>
          <w:rFonts w:ascii="Times New Roman" w:hAnsi="Times New Roman" w:cs="Times New Roman"/>
          <w:sz w:val="22"/>
          <w:szCs w:val="22"/>
        </w:rPr>
        <w:footnoteRef/>
      </w:r>
      <w:r w:rsidRPr="00AD7A1F">
        <w:rPr>
          <w:rFonts w:ascii="Times New Roman" w:hAnsi="Times New Roman" w:cs="Times New Roman"/>
          <w:sz w:val="22"/>
          <w:szCs w:val="22"/>
        </w:rPr>
        <w:t xml:space="preserve"> The figure for DCR is only for teacher working in rural schools. With much higher costs of living in urban areas,</w:t>
      </w:r>
      <w:r>
        <w:rPr>
          <w:rFonts w:ascii="Times New Roman" w:hAnsi="Times New Roman" w:cs="Times New Roman"/>
          <w:sz w:val="22"/>
          <w:szCs w:val="22"/>
        </w:rPr>
        <w:t xml:space="preserve"> the inclusion of urban teachers </w:t>
      </w:r>
      <w:r w:rsidRPr="00AD7A1F">
        <w:rPr>
          <w:rFonts w:ascii="Times New Roman" w:hAnsi="Times New Roman" w:cs="Times New Roman"/>
          <w:sz w:val="22"/>
          <w:szCs w:val="22"/>
        </w:rPr>
        <w:t xml:space="preserve">would </w:t>
      </w:r>
      <w:r>
        <w:rPr>
          <w:rFonts w:ascii="Times New Roman" w:hAnsi="Times New Roman" w:cs="Times New Roman"/>
          <w:sz w:val="22"/>
          <w:szCs w:val="22"/>
        </w:rPr>
        <w:t xml:space="preserve">that the </w:t>
      </w:r>
      <w:r w:rsidRPr="00AD7A1F">
        <w:rPr>
          <w:rFonts w:ascii="Times New Roman" w:hAnsi="Times New Roman" w:cs="Times New Roman"/>
          <w:sz w:val="22"/>
          <w:szCs w:val="22"/>
        </w:rPr>
        <w:t xml:space="preserve">mean starting salary for the country as a whole would also be well under 75% of the aggregated rural and urban FWL.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16308"/>
    <w:multiLevelType w:val="hybridMultilevel"/>
    <w:tmpl w:val="CFEE7F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0E19E8"/>
    <w:multiLevelType w:val="hybridMultilevel"/>
    <w:tmpl w:val="6C9286DE"/>
    <w:lvl w:ilvl="0" w:tplc="AE080D9C">
      <w:start w:val="7"/>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6E7494"/>
    <w:multiLevelType w:val="hybridMultilevel"/>
    <w:tmpl w:val="74BE0782"/>
    <w:lvl w:ilvl="0" w:tplc="6486FAC8">
      <w:start w:val="7"/>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B5C"/>
    <w:rsid w:val="00012A00"/>
    <w:rsid w:val="000146F3"/>
    <w:rsid w:val="00015EB9"/>
    <w:rsid w:val="00021FE1"/>
    <w:rsid w:val="00025E49"/>
    <w:rsid w:val="00033834"/>
    <w:rsid w:val="00034505"/>
    <w:rsid w:val="00043B77"/>
    <w:rsid w:val="00047DE8"/>
    <w:rsid w:val="00054456"/>
    <w:rsid w:val="0006234C"/>
    <w:rsid w:val="000707C1"/>
    <w:rsid w:val="00075481"/>
    <w:rsid w:val="0008314B"/>
    <w:rsid w:val="00092CC9"/>
    <w:rsid w:val="00095D64"/>
    <w:rsid w:val="000A70E7"/>
    <w:rsid w:val="000B256D"/>
    <w:rsid w:val="000B372B"/>
    <w:rsid w:val="000C0D2B"/>
    <w:rsid w:val="000C6559"/>
    <w:rsid w:val="000E29A2"/>
    <w:rsid w:val="000F4FAB"/>
    <w:rsid w:val="000F7045"/>
    <w:rsid w:val="000F7363"/>
    <w:rsid w:val="0010040C"/>
    <w:rsid w:val="0010371C"/>
    <w:rsid w:val="00106074"/>
    <w:rsid w:val="001168E0"/>
    <w:rsid w:val="00123612"/>
    <w:rsid w:val="001325A2"/>
    <w:rsid w:val="001404B8"/>
    <w:rsid w:val="001405A0"/>
    <w:rsid w:val="001455BD"/>
    <w:rsid w:val="001472A2"/>
    <w:rsid w:val="00154846"/>
    <w:rsid w:val="00155D83"/>
    <w:rsid w:val="0015679A"/>
    <w:rsid w:val="00160BFE"/>
    <w:rsid w:val="001641B5"/>
    <w:rsid w:val="00171FF2"/>
    <w:rsid w:val="001728FD"/>
    <w:rsid w:val="00174A07"/>
    <w:rsid w:val="00182F99"/>
    <w:rsid w:val="001933D2"/>
    <w:rsid w:val="00196768"/>
    <w:rsid w:val="001B644D"/>
    <w:rsid w:val="001D207D"/>
    <w:rsid w:val="001D2995"/>
    <w:rsid w:val="001E1112"/>
    <w:rsid w:val="001E4BAF"/>
    <w:rsid w:val="001E704B"/>
    <w:rsid w:val="001F7807"/>
    <w:rsid w:val="00213C9D"/>
    <w:rsid w:val="00220AE3"/>
    <w:rsid w:val="00237941"/>
    <w:rsid w:val="00243B17"/>
    <w:rsid w:val="00250A54"/>
    <w:rsid w:val="00255AEC"/>
    <w:rsid w:val="0026634A"/>
    <w:rsid w:val="00270A61"/>
    <w:rsid w:val="00286206"/>
    <w:rsid w:val="002934B1"/>
    <w:rsid w:val="002A577E"/>
    <w:rsid w:val="002A6690"/>
    <w:rsid w:val="002B1F07"/>
    <w:rsid w:val="002B3930"/>
    <w:rsid w:val="002B5BB6"/>
    <w:rsid w:val="002C5C86"/>
    <w:rsid w:val="002D5990"/>
    <w:rsid w:val="002F106A"/>
    <w:rsid w:val="002F21E0"/>
    <w:rsid w:val="002F532A"/>
    <w:rsid w:val="0031232C"/>
    <w:rsid w:val="00316D77"/>
    <w:rsid w:val="0033379B"/>
    <w:rsid w:val="00357DDF"/>
    <w:rsid w:val="00360B72"/>
    <w:rsid w:val="00371943"/>
    <w:rsid w:val="0037227E"/>
    <w:rsid w:val="003727AE"/>
    <w:rsid w:val="00372C21"/>
    <w:rsid w:val="00381895"/>
    <w:rsid w:val="003831CE"/>
    <w:rsid w:val="003843A2"/>
    <w:rsid w:val="0039729D"/>
    <w:rsid w:val="003A4E03"/>
    <w:rsid w:val="003C21FA"/>
    <w:rsid w:val="003D16C7"/>
    <w:rsid w:val="003D1904"/>
    <w:rsid w:val="003D2202"/>
    <w:rsid w:val="003D6657"/>
    <w:rsid w:val="003D7362"/>
    <w:rsid w:val="003E175D"/>
    <w:rsid w:val="003F7037"/>
    <w:rsid w:val="00430F8F"/>
    <w:rsid w:val="00433F34"/>
    <w:rsid w:val="004401D2"/>
    <w:rsid w:val="004474BB"/>
    <w:rsid w:val="00450823"/>
    <w:rsid w:val="004537F3"/>
    <w:rsid w:val="004542EA"/>
    <w:rsid w:val="0046330E"/>
    <w:rsid w:val="00466CD8"/>
    <w:rsid w:val="00470354"/>
    <w:rsid w:val="00476D3F"/>
    <w:rsid w:val="004974B7"/>
    <w:rsid w:val="0049797A"/>
    <w:rsid w:val="004A168E"/>
    <w:rsid w:val="004A586A"/>
    <w:rsid w:val="004B2E9C"/>
    <w:rsid w:val="004C4CBD"/>
    <w:rsid w:val="004D7DCA"/>
    <w:rsid w:val="004E16A8"/>
    <w:rsid w:val="004E2913"/>
    <w:rsid w:val="004E62F4"/>
    <w:rsid w:val="004F0538"/>
    <w:rsid w:val="004F1BFB"/>
    <w:rsid w:val="004F3018"/>
    <w:rsid w:val="004F4BDF"/>
    <w:rsid w:val="004F6154"/>
    <w:rsid w:val="00510175"/>
    <w:rsid w:val="00512C4F"/>
    <w:rsid w:val="0051659D"/>
    <w:rsid w:val="0052310A"/>
    <w:rsid w:val="005261E5"/>
    <w:rsid w:val="00535135"/>
    <w:rsid w:val="00542C3F"/>
    <w:rsid w:val="005458C0"/>
    <w:rsid w:val="0055042E"/>
    <w:rsid w:val="00556EB3"/>
    <w:rsid w:val="0056719D"/>
    <w:rsid w:val="00567617"/>
    <w:rsid w:val="005676CC"/>
    <w:rsid w:val="00572BA4"/>
    <w:rsid w:val="00575457"/>
    <w:rsid w:val="0059027C"/>
    <w:rsid w:val="00594BBF"/>
    <w:rsid w:val="005A1E66"/>
    <w:rsid w:val="005A4F97"/>
    <w:rsid w:val="005A781F"/>
    <w:rsid w:val="005C3A9B"/>
    <w:rsid w:val="005D4526"/>
    <w:rsid w:val="005D500C"/>
    <w:rsid w:val="005D655C"/>
    <w:rsid w:val="005D66F8"/>
    <w:rsid w:val="005E59D4"/>
    <w:rsid w:val="00600748"/>
    <w:rsid w:val="00616000"/>
    <w:rsid w:val="00624404"/>
    <w:rsid w:val="0063100D"/>
    <w:rsid w:val="0063270D"/>
    <w:rsid w:val="00633194"/>
    <w:rsid w:val="00636EF2"/>
    <w:rsid w:val="00656E92"/>
    <w:rsid w:val="00661CBE"/>
    <w:rsid w:val="006747A8"/>
    <w:rsid w:val="00682D0A"/>
    <w:rsid w:val="006A08C4"/>
    <w:rsid w:val="006A3128"/>
    <w:rsid w:val="006A321E"/>
    <w:rsid w:val="006A648D"/>
    <w:rsid w:val="006B2346"/>
    <w:rsid w:val="006C0C3F"/>
    <w:rsid w:val="006F3B5C"/>
    <w:rsid w:val="006F4741"/>
    <w:rsid w:val="00715745"/>
    <w:rsid w:val="00722B81"/>
    <w:rsid w:val="00735CE6"/>
    <w:rsid w:val="00744AAF"/>
    <w:rsid w:val="007545AC"/>
    <w:rsid w:val="007674A2"/>
    <w:rsid w:val="00793913"/>
    <w:rsid w:val="007949CB"/>
    <w:rsid w:val="00797A20"/>
    <w:rsid w:val="007A1C9C"/>
    <w:rsid w:val="007A56D2"/>
    <w:rsid w:val="007A6E6A"/>
    <w:rsid w:val="007B3ABF"/>
    <w:rsid w:val="007B3E2B"/>
    <w:rsid w:val="007B6180"/>
    <w:rsid w:val="007C52DC"/>
    <w:rsid w:val="007C6D75"/>
    <w:rsid w:val="007F5ECB"/>
    <w:rsid w:val="0080004A"/>
    <w:rsid w:val="00804EA9"/>
    <w:rsid w:val="0081007B"/>
    <w:rsid w:val="00836AA2"/>
    <w:rsid w:val="00847676"/>
    <w:rsid w:val="00854847"/>
    <w:rsid w:val="008603B9"/>
    <w:rsid w:val="008613C7"/>
    <w:rsid w:val="00876C6C"/>
    <w:rsid w:val="008855A7"/>
    <w:rsid w:val="008A065F"/>
    <w:rsid w:val="008A3F18"/>
    <w:rsid w:val="008B0F3C"/>
    <w:rsid w:val="008B5AD3"/>
    <w:rsid w:val="008C014D"/>
    <w:rsid w:val="008C7353"/>
    <w:rsid w:val="009022DB"/>
    <w:rsid w:val="00913B47"/>
    <w:rsid w:val="0091421A"/>
    <w:rsid w:val="00921136"/>
    <w:rsid w:val="00924781"/>
    <w:rsid w:val="00925E99"/>
    <w:rsid w:val="00927F07"/>
    <w:rsid w:val="00931E9C"/>
    <w:rsid w:val="0093718A"/>
    <w:rsid w:val="00940501"/>
    <w:rsid w:val="0094419C"/>
    <w:rsid w:val="00944F61"/>
    <w:rsid w:val="0094529D"/>
    <w:rsid w:val="00963FAC"/>
    <w:rsid w:val="00980EC4"/>
    <w:rsid w:val="00983E3A"/>
    <w:rsid w:val="00995A1C"/>
    <w:rsid w:val="009A0615"/>
    <w:rsid w:val="009A5619"/>
    <w:rsid w:val="009A6CB4"/>
    <w:rsid w:val="009A710E"/>
    <w:rsid w:val="009B5085"/>
    <w:rsid w:val="009E10C6"/>
    <w:rsid w:val="00A0013D"/>
    <w:rsid w:val="00A07157"/>
    <w:rsid w:val="00A30469"/>
    <w:rsid w:val="00A46321"/>
    <w:rsid w:val="00A63E32"/>
    <w:rsid w:val="00A64972"/>
    <w:rsid w:val="00A6534B"/>
    <w:rsid w:val="00A76B8F"/>
    <w:rsid w:val="00A80F00"/>
    <w:rsid w:val="00A923FC"/>
    <w:rsid w:val="00A97111"/>
    <w:rsid w:val="00AA365F"/>
    <w:rsid w:val="00AC1FBA"/>
    <w:rsid w:val="00AC2058"/>
    <w:rsid w:val="00AC3DCA"/>
    <w:rsid w:val="00AC7831"/>
    <w:rsid w:val="00AD4258"/>
    <w:rsid w:val="00AD7A1F"/>
    <w:rsid w:val="00AE03D2"/>
    <w:rsid w:val="00AE352D"/>
    <w:rsid w:val="00AF2FED"/>
    <w:rsid w:val="00B06956"/>
    <w:rsid w:val="00B151E8"/>
    <w:rsid w:val="00B342AE"/>
    <w:rsid w:val="00B36CFE"/>
    <w:rsid w:val="00B438E3"/>
    <w:rsid w:val="00B4472D"/>
    <w:rsid w:val="00B461C6"/>
    <w:rsid w:val="00B465C1"/>
    <w:rsid w:val="00B81D1D"/>
    <w:rsid w:val="00B85648"/>
    <w:rsid w:val="00B873D4"/>
    <w:rsid w:val="00B9444D"/>
    <w:rsid w:val="00B972F4"/>
    <w:rsid w:val="00BA2257"/>
    <w:rsid w:val="00BA2930"/>
    <w:rsid w:val="00BB3C85"/>
    <w:rsid w:val="00BD5E1C"/>
    <w:rsid w:val="00BE0C43"/>
    <w:rsid w:val="00BE499F"/>
    <w:rsid w:val="00BE75AC"/>
    <w:rsid w:val="00C016ED"/>
    <w:rsid w:val="00C07A8B"/>
    <w:rsid w:val="00C16C97"/>
    <w:rsid w:val="00C20A4B"/>
    <w:rsid w:val="00C4119A"/>
    <w:rsid w:val="00C52BBE"/>
    <w:rsid w:val="00C619C2"/>
    <w:rsid w:val="00C6336C"/>
    <w:rsid w:val="00C80CA7"/>
    <w:rsid w:val="00C92C2D"/>
    <w:rsid w:val="00C9477C"/>
    <w:rsid w:val="00C94C91"/>
    <w:rsid w:val="00CA2B95"/>
    <w:rsid w:val="00CB7638"/>
    <w:rsid w:val="00CB7E43"/>
    <w:rsid w:val="00CC77DB"/>
    <w:rsid w:val="00CD32A4"/>
    <w:rsid w:val="00CD6529"/>
    <w:rsid w:val="00D0721F"/>
    <w:rsid w:val="00D07943"/>
    <w:rsid w:val="00D1517D"/>
    <w:rsid w:val="00D16BB9"/>
    <w:rsid w:val="00D2148D"/>
    <w:rsid w:val="00D22C7D"/>
    <w:rsid w:val="00D2407C"/>
    <w:rsid w:val="00D26EA4"/>
    <w:rsid w:val="00D427FA"/>
    <w:rsid w:val="00D50C81"/>
    <w:rsid w:val="00D53C1E"/>
    <w:rsid w:val="00D624AA"/>
    <w:rsid w:val="00D75687"/>
    <w:rsid w:val="00D768CE"/>
    <w:rsid w:val="00D87C2D"/>
    <w:rsid w:val="00D90DF7"/>
    <w:rsid w:val="00DC0387"/>
    <w:rsid w:val="00DC37E5"/>
    <w:rsid w:val="00DE2D05"/>
    <w:rsid w:val="00DF2CBF"/>
    <w:rsid w:val="00E12294"/>
    <w:rsid w:val="00E30B49"/>
    <w:rsid w:val="00E355D1"/>
    <w:rsid w:val="00E42179"/>
    <w:rsid w:val="00E5358E"/>
    <w:rsid w:val="00E55EE8"/>
    <w:rsid w:val="00E76FE2"/>
    <w:rsid w:val="00E943C0"/>
    <w:rsid w:val="00E95430"/>
    <w:rsid w:val="00EB193F"/>
    <w:rsid w:val="00EB2206"/>
    <w:rsid w:val="00EB4146"/>
    <w:rsid w:val="00EC4625"/>
    <w:rsid w:val="00EE0ED5"/>
    <w:rsid w:val="00EE2216"/>
    <w:rsid w:val="00F178C0"/>
    <w:rsid w:val="00F20435"/>
    <w:rsid w:val="00F335FB"/>
    <w:rsid w:val="00F41D46"/>
    <w:rsid w:val="00F51D94"/>
    <w:rsid w:val="00F64BC8"/>
    <w:rsid w:val="00F86B9E"/>
    <w:rsid w:val="00F90A68"/>
    <w:rsid w:val="00F93C17"/>
    <w:rsid w:val="00F972B9"/>
    <w:rsid w:val="00FB1041"/>
    <w:rsid w:val="00FC7E77"/>
    <w:rsid w:val="00FD0696"/>
    <w:rsid w:val="00FD1E50"/>
    <w:rsid w:val="00FD2CB5"/>
    <w:rsid w:val="00FD3161"/>
    <w:rsid w:val="00FD3B8B"/>
    <w:rsid w:val="00FE5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97700-9E0E-41B4-ABFD-94D065BA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74A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4A07"/>
    <w:rPr>
      <w:sz w:val="20"/>
      <w:szCs w:val="20"/>
    </w:rPr>
  </w:style>
  <w:style w:type="character" w:styleId="FootnoteReference">
    <w:name w:val="footnote reference"/>
    <w:basedOn w:val="DefaultParagraphFont"/>
    <w:uiPriority w:val="99"/>
    <w:semiHidden/>
    <w:unhideWhenUsed/>
    <w:rsid w:val="00174A07"/>
    <w:rPr>
      <w:vertAlign w:val="superscript"/>
    </w:rPr>
  </w:style>
  <w:style w:type="paragraph" w:styleId="Header">
    <w:name w:val="header"/>
    <w:basedOn w:val="Normal"/>
    <w:link w:val="HeaderChar"/>
    <w:uiPriority w:val="99"/>
    <w:unhideWhenUsed/>
    <w:rsid w:val="00512C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C4F"/>
  </w:style>
  <w:style w:type="paragraph" w:styleId="Footer">
    <w:name w:val="footer"/>
    <w:basedOn w:val="Normal"/>
    <w:link w:val="FooterChar"/>
    <w:uiPriority w:val="99"/>
    <w:unhideWhenUsed/>
    <w:rsid w:val="00512C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C4F"/>
  </w:style>
  <w:style w:type="paragraph" w:styleId="ListParagraph">
    <w:name w:val="List Paragraph"/>
    <w:basedOn w:val="Normal"/>
    <w:uiPriority w:val="34"/>
    <w:qFormat/>
    <w:rsid w:val="006A321E"/>
    <w:pPr>
      <w:ind w:left="720"/>
      <w:contextualSpacing/>
    </w:pPr>
  </w:style>
  <w:style w:type="paragraph" w:styleId="BalloonText">
    <w:name w:val="Balloon Text"/>
    <w:basedOn w:val="Normal"/>
    <w:link w:val="BalloonTextChar"/>
    <w:uiPriority w:val="99"/>
    <w:semiHidden/>
    <w:unhideWhenUsed/>
    <w:rsid w:val="00EB22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2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458373">
      <w:bodyDiv w:val="1"/>
      <w:marLeft w:val="0"/>
      <w:marRight w:val="0"/>
      <w:marTop w:val="0"/>
      <w:marBottom w:val="0"/>
      <w:divBdr>
        <w:top w:val="none" w:sz="0" w:space="0" w:color="auto"/>
        <w:left w:val="none" w:sz="0" w:space="0" w:color="auto"/>
        <w:bottom w:val="none" w:sz="0" w:space="0" w:color="auto"/>
        <w:right w:val="none" w:sz="0" w:space="0" w:color="auto"/>
      </w:divBdr>
    </w:div>
    <w:div w:id="831798870">
      <w:bodyDiv w:val="1"/>
      <w:marLeft w:val="0"/>
      <w:marRight w:val="0"/>
      <w:marTop w:val="0"/>
      <w:marBottom w:val="0"/>
      <w:divBdr>
        <w:top w:val="none" w:sz="0" w:space="0" w:color="auto"/>
        <w:left w:val="none" w:sz="0" w:space="0" w:color="auto"/>
        <w:bottom w:val="none" w:sz="0" w:space="0" w:color="auto"/>
        <w:right w:val="none" w:sz="0" w:space="0" w:color="auto"/>
      </w:divBdr>
    </w:div>
    <w:div w:id="856425624">
      <w:bodyDiv w:val="1"/>
      <w:marLeft w:val="0"/>
      <w:marRight w:val="0"/>
      <w:marTop w:val="0"/>
      <w:marBottom w:val="0"/>
      <w:divBdr>
        <w:top w:val="none" w:sz="0" w:space="0" w:color="auto"/>
        <w:left w:val="none" w:sz="0" w:space="0" w:color="auto"/>
        <w:bottom w:val="none" w:sz="0" w:space="0" w:color="auto"/>
        <w:right w:val="none" w:sz="0" w:space="0" w:color="auto"/>
      </w:divBdr>
    </w:div>
    <w:div w:id="121912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aul\Documents\TeacherpayApril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aul\Documents\TeacherpayApril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Paul\Documents\TeacherpayApril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Paul\Documents\TeacherpayApril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Paul\Documents\TeacherpayApril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Paul\Documents\TeacherpayApril1.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a:t>
            </a:r>
            <a:r>
              <a:rPr lang="en-GB" baseline="0"/>
              <a:t> 1: Mean primary school teacher pay as a ratio of GDP per capita in countries in SSA, 2020</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fig1salGDPpcXcountry!$A$1:$A$35</c:f>
              <c:strCache>
                <c:ptCount val="35"/>
                <c:pt idx="0">
                  <c:v>South Sudan</c:v>
                </c:pt>
                <c:pt idx="1">
                  <c:v>Rwanda</c:v>
                </c:pt>
                <c:pt idx="2">
                  <c:v>Madagascar</c:v>
                </c:pt>
                <c:pt idx="3">
                  <c:v>Ghana</c:v>
                </c:pt>
                <c:pt idx="4">
                  <c:v>Nigeria</c:v>
                </c:pt>
                <c:pt idx="5">
                  <c:v>Zimbabwe</c:v>
                </c:pt>
                <c:pt idx="6">
                  <c:v>Gambia</c:v>
                </c:pt>
                <c:pt idx="7">
                  <c:v>Eswatini</c:v>
                </c:pt>
                <c:pt idx="8">
                  <c:v>Tanzania</c:v>
                </c:pt>
                <c:pt idx="9">
                  <c:v>Uganda</c:v>
                </c:pt>
                <c:pt idx="10">
                  <c:v>Kenya</c:v>
                </c:pt>
                <c:pt idx="11">
                  <c:v>Botswana</c:v>
                </c:pt>
                <c:pt idx="12">
                  <c:v>Guinea Bissau</c:v>
                </c:pt>
                <c:pt idx="13">
                  <c:v>Guinea</c:v>
                </c:pt>
                <c:pt idx="14">
                  <c:v>Malawi</c:v>
                </c:pt>
                <c:pt idx="15">
                  <c:v>Cameroon</c:v>
                </c:pt>
                <c:pt idx="16">
                  <c:v>Ethiopia</c:v>
                </c:pt>
                <c:pt idx="17">
                  <c:v>DRC</c:v>
                </c:pt>
                <c:pt idx="18">
                  <c:v>Zambia</c:v>
                </c:pt>
                <c:pt idx="19">
                  <c:v>Burkina Faso</c:v>
                </c:pt>
                <c:pt idx="20">
                  <c:v>Côte d'Ivoire</c:v>
                </c:pt>
                <c:pt idx="21">
                  <c:v>Somalia</c:v>
                </c:pt>
                <c:pt idx="22">
                  <c:v>Liberia</c:v>
                </c:pt>
                <c:pt idx="23">
                  <c:v>Mozambique</c:v>
                </c:pt>
                <c:pt idx="24">
                  <c:v>Sierra Leone</c:v>
                </c:pt>
                <c:pt idx="25">
                  <c:v>Niger</c:v>
                </c:pt>
                <c:pt idx="26">
                  <c:v>CAR</c:v>
                </c:pt>
                <c:pt idx="27">
                  <c:v>Senegal</c:v>
                </c:pt>
                <c:pt idx="28">
                  <c:v>Benin</c:v>
                </c:pt>
                <c:pt idx="29">
                  <c:v>Namibia</c:v>
                </c:pt>
                <c:pt idx="30">
                  <c:v>Mali</c:v>
                </c:pt>
                <c:pt idx="31">
                  <c:v>Chad</c:v>
                </c:pt>
                <c:pt idx="32">
                  <c:v>Togo</c:v>
                </c:pt>
                <c:pt idx="33">
                  <c:v>Burundi</c:v>
                </c:pt>
                <c:pt idx="34">
                  <c:v>Lesotho</c:v>
                </c:pt>
              </c:strCache>
            </c:strRef>
          </c:cat>
          <c:val>
            <c:numRef>
              <c:f>fig1salGDPpcXcountry!$B$1:$B$35</c:f>
              <c:numCache>
                <c:formatCode>0.0</c:formatCode>
                <c:ptCount val="35"/>
                <c:pt idx="0">
                  <c:v>0.38866396761133604</c:v>
                </c:pt>
                <c:pt idx="1">
                  <c:v>0.98508811568007226</c:v>
                </c:pt>
                <c:pt idx="2">
                  <c:v>0.98509397278029809</c:v>
                </c:pt>
                <c:pt idx="3">
                  <c:v>1.013277428371768</c:v>
                </c:pt>
                <c:pt idx="4">
                  <c:v>1.0236985236985237</c:v>
                </c:pt>
                <c:pt idx="5">
                  <c:v>1.2818287037037037</c:v>
                </c:pt>
                <c:pt idx="6">
                  <c:v>1.3773087071240107</c:v>
                </c:pt>
                <c:pt idx="7" formatCode="General">
                  <c:v>1.9176536943034406</c:v>
                </c:pt>
                <c:pt idx="8">
                  <c:v>2.0855807263574255</c:v>
                </c:pt>
                <c:pt idx="9">
                  <c:v>2.0933275185346707</c:v>
                </c:pt>
                <c:pt idx="10">
                  <c:v>2.3382867132867133</c:v>
                </c:pt>
                <c:pt idx="11" formatCode="General">
                  <c:v>2.4439914579693265</c:v>
                </c:pt>
                <c:pt idx="12">
                  <c:v>2.4897330595482545</c:v>
                </c:pt>
                <c:pt idx="13">
                  <c:v>2.7823153409090908</c:v>
                </c:pt>
                <c:pt idx="14">
                  <c:v>2.8284098051539912</c:v>
                </c:pt>
                <c:pt idx="15">
                  <c:v>2.8548887739265392</c:v>
                </c:pt>
                <c:pt idx="16">
                  <c:v>2.8860445912469035</c:v>
                </c:pt>
                <c:pt idx="17">
                  <c:v>3.0937773882559161</c:v>
                </c:pt>
                <c:pt idx="18">
                  <c:v>3.1032986111111112</c:v>
                </c:pt>
                <c:pt idx="19">
                  <c:v>3.2696876374835018</c:v>
                </c:pt>
                <c:pt idx="20">
                  <c:v>3.4091158704008788</c:v>
                </c:pt>
                <c:pt idx="21">
                  <c:v>3.418940609951846</c:v>
                </c:pt>
                <c:pt idx="22">
                  <c:v>3.5490463215258856</c:v>
                </c:pt>
                <c:pt idx="23">
                  <c:v>3.6314572089437163</c:v>
                </c:pt>
                <c:pt idx="24">
                  <c:v>3.6707934721440632</c:v>
                </c:pt>
                <c:pt idx="25">
                  <c:v>3.7763975155279503</c:v>
                </c:pt>
                <c:pt idx="26">
                  <c:v>3.850050658561297</c:v>
                </c:pt>
                <c:pt idx="27">
                  <c:v>3.9737367970311164</c:v>
                </c:pt>
                <c:pt idx="28">
                  <c:v>4.0510844748858448</c:v>
                </c:pt>
                <c:pt idx="29" formatCode="General">
                  <c:v>4.0666810066681007</c:v>
                </c:pt>
                <c:pt idx="30">
                  <c:v>4.5164039198977415</c:v>
                </c:pt>
                <c:pt idx="31">
                  <c:v>4.9937578027465666</c:v>
                </c:pt>
                <c:pt idx="32">
                  <c:v>5.5555555555555554</c:v>
                </c:pt>
                <c:pt idx="33">
                  <c:v>7.5162127107652399</c:v>
                </c:pt>
                <c:pt idx="34">
                  <c:v>9.9938600081866564</c:v>
                </c:pt>
              </c:numCache>
            </c:numRef>
          </c:val>
        </c:ser>
        <c:dLbls>
          <c:showLegendKey val="0"/>
          <c:showVal val="0"/>
          <c:showCatName val="0"/>
          <c:showSerName val="0"/>
          <c:showPercent val="0"/>
          <c:showBubbleSize val="0"/>
        </c:dLbls>
        <c:gapWidth val="219"/>
        <c:overlap val="-27"/>
        <c:axId val="-1578217616"/>
        <c:axId val="-1578208368"/>
      </c:barChart>
      <c:catAx>
        <c:axId val="-1578217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208368"/>
        <c:crosses val="autoZero"/>
        <c:auto val="1"/>
        <c:lblAlgn val="ctr"/>
        <c:lblOffset val="100"/>
        <c:noMultiLvlLbl val="0"/>
      </c:catAx>
      <c:valAx>
        <c:axId val="-1578208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GDPpc</a:t>
                </a:r>
                <a:r>
                  <a:rPr lang="en-GB" baseline="0"/>
                  <a:t>  teacher pay ratio</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217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a:t>
            </a:r>
            <a:r>
              <a:rPr lang="en-GB" baseline="0"/>
              <a:t> 2:  Scatter plots of  GDP per capita and PCGDP teacher pay ratios for countries in SSA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0"/>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Sheet10!$D$6:$D$37</c:f>
              <c:numCache>
                <c:formatCode>General</c:formatCode>
                <c:ptCount val="32"/>
                <c:pt idx="0">
                  <c:v>3504</c:v>
                </c:pt>
                <c:pt idx="1">
                  <c:v>2273</c:v>
                </c:pt>
                <c:pt idx="2">
                  <c:v>771</c:v>
                </c:pt>
                <c:pt idx="3">
                  <c:v>3866</c:v>
                </c:pt>
                <c:pt idx="4">
                  <c:v>987</c:v>
                </c:pt>
                <c:pt idx="5">
                  <c:v>1602</c:v>
                </c:pt>
                <c:pt idx="6">
                  <c:v>1141</c:v>
                </c:pt>
                <c:pt idx="7">
                  <c:v>5463</c:v>
                </c:pt>
                <c:pt idx="8">
                  <c:v>2422</c:v>
                </c:pt>
                <c:pt idx="9">
                  <c:v>2274</c:v>
                </c:pt>
                <c:pt idx="10">
                  <c:v>5724</c:v>
                </c:pt>
                <c:pt idx="11">
                  <c:v>2816</c:v>
                </c:pt>
                <c:pt idx="12">
                  <c:v>1948</c:v>
                </c:pt>
                <c:pt idx="13">
                  <c:v>4576</c:v>
                </c:pt>
                <c:pt idx="14">
                  <c:v>2443</c:v>
                </c:pt>
                <c:pt idx="15">
                  <c:v>1468</c:v>
                </c:pt>
                <c:pt idx="16">
                  <c:v>1543</c:v>
                </c:pt>
                <c:pt idx="17">
                  <c:v>1591</c:v>
                </c:pt>
                <c:pt idx="18">
                  <c:v>2347</c:v>
                </c:pt>
                <c:pt idx="19">
                  <c:v>1297</c:v>
                </c:pt>
                <c:pt idx="20">
                  <c:v>1288</c:v>
                </c:pt>
                <c:pt idx="21">
                  <c:v>5148</c:v>
                </c:pt>
                <c:pt idx="22">
                  <c:v>2213</c:v>
                </c:pt>
                <c:pt idx="23">
                  <c:v>3503</c:v>
                </c:pt>
                <c:pt idx="24">
                  <c:v>1777</c:v>
                </c:pt>
                <c:pt idx="25">
                  <c:v>1246</c:v>
                </c:pt>
                <c:pt idx="26">
                  <c:v>1235</c:v>
                </c:pt>
                <c:pt idx="27">
                  <c:v>2781</c:v>
                </c:pt>
                <c:pt idx="28">
                  <c:v>2223</c:v>
                </c:pt>
                <c:pt idx="29">
                  <c:v>2293</c:v>
                </c:pt>
                <c:pt idx="30">
                  <c:v>3456</c:v>
                </c:pt>
                <c:pt idx="31">
                  <c:v>3456</c:v>
                </c:pt>
              </c:numCache>
            </c:numRef>
          </c:xVal>
          <c:yVal>
            <c:numRef>
              <c:f>Sheet10!$E$6:$E$37</c:f>
              <c:numCache>
                <c:formatCode>0.0</c:formatCode>
                <c:ptCount val="32"/>
                <c:pt idx="0">
                  <c:v>4.0510844748858448</c:v>
                </c:pt>
                <c:pt idx="1">
                  <c:v>3.2696876374835018</c:v>
                </c:pt>
                <c:pt idx="2">
                  <c:v>7.5162127107652399</c:v>
                </c:pt>
                <c:pt idx="3">
                  <c:v>2.8548887739265392</c:v>
                </c:pt>
                <c:pt idx="4">
                  <c:v>3.850050658561297</c:v>
                </c:pt>
                <c:pt idx="5">
                  <c:v>4.9937578027465666</c:v>
                </c:pt>
                <c:pt idx="6">
                  <c:v>3.0937773882559161</c:v>
                </c:pt>
                <c:pt idx="7">
                  <c:v>3.4091158704008788</c:v>
                </c:pt>
                <c:pt idx="8">
                  <c:v>2.8860445912469035</c:v>
                </c:pt>
                <c:pt idx="9">
                  <c:v>1.3773087071240107</c:v>
                </c:pt>
                <c:pt idx="10">
                  <c:v>1.013277428371768</c:v>
                </c:pt>
                <c:pt idx="11">
                  <c:v>2.7823153409090908</c:v>
                </c:pt>
                <c:pt idx="12">
                  <c:v>2.4897330595482545</c:v>
                </c:pt>
                <c:pt idx="13">
                  <c:v>2.3382867132867133</c:v>
                </c:pt>
                <c:pt idx="14">
                  <c:v>9.9938600081866564</c:v>
                </c:pt>
                <c:pt idx="15">
                  <c:v>3.5490463215258856</c:v>
                </c:pt>
                <c:pt idx="16">
                  <c:v>0.98509397278029809</c:v>
                </c:pt>
                <c:pt idx="17">
                  <c:v>2.8284098051539912</c:v>
                </c:pt>
                <c:pt idx="18">
                  <c:v>4.5164039198977415</c:v>
                </c:pt>
                <c:pt idx="19">
                  <c:v>3.6314572089437163</c:v>
                </c:pt>
                <c:pt idx="20">
                  <c:v>3.7763975155279503</c:v>
                </c:pt>
                <c:pt idx="21">
                  <c:v>1.0236985236985237</c:v>
                </c:pt>
                <c:pt idx="22">
                  <c:v>0.98508811568007226</c:v>
                </c:pt>
                <c:pt idx="23">
                  <c:v>3.9737367970311164</c:v>
                </c:pt>
                <c:pt idx="24">
                  <c:v>3.6707934721440632</c:v>
                </c:pt>
                <c:pt idx="25">
                  <c:v>3.418940609951846</c:v>
                </c:pt>
                <c:pt idx="26">
                  <c:v>0.38866396761133604</c:v>
                </c:pt>
                <c:pt idx="27">
                  <c:v>2.0855807263574255</c:v>
                </c:pt>
                <c:pt idx="28">
                  <c:v>5.5555555555555554</c:v>
                </c:pt>
                <c:pt idx="29">
                  <c:v>2.0933275185346707</c:v>
                </c:pt>
                <c:pt idx="30">
                  <c:v>3.1032986111111112</c:v>
                </c:pt>
                <c:pt idx="31">
                  <c:v>1.2818287037037037</c:v>
                </c:pt>
              </c:numCache>
            </c:numRef>
          </c:yVal>
          <c:smooth val="0"/>
        </c:ser>
        <c:dLbls>
          <c:showLegendKey val="0"/>
          <c:showVal val="0"/>
          <c:showCatName val="0"/>
          <c:showSerName val="0"/>
          <c:showPercent val="0"/>
          <c:showBubbleSize val="0"/>
        </c:dLbls>
        <c:axId val="-1578208912"/>
        <c:axId val="-1578210544"/>
      </c:scatterChart>
      <c:valAx>
        <c:axId val="-157820891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a:t>
                </a:r>
                <a:r>
                  <a:rPr lang="en-GB" baseline="0"/>
                  <a:t> capita GDP (PPP $,2020)</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210544"/>
        <c:crosses val="autoZero"/>
        <c:crossBetween val="midCat"/>
      </c:valAx>
      <c:valAx>
        <c:axId val="-15782105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PCGDP pay ratio</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20891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a:t>
            </a:r>
            <a:r>
              <a:rPr lang="en-GB" baseline="0"/>
              <a:t> 3: Average pay of primary school teachers and GDP per capita</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0"/>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Sheet10!$K$6:$K$41</c:f>
              <c:numCache>
                <c:formatCode>General</c:formatCode>
                <c:ptCount val="36"/>
                <c:pt idx="0">
                  <c:v>14195</c:v>
                </c:pt>
                <c:pt idx="1">
                  <c:v>7432</c:v>
                </c:pt>
                <c:pt idx="2">
                  <c:v>5795</c:v>
                </c:pt>
                <c:pt idx="3">
                  <c:v>11037</c:v>
                </c:pt>
                <c:pt idx="4">
                  <c:v>3800</c:v>
                </c:pt>
                <c:pt idx="5">
                  <c:v>8000</c:v>
                </c:pt>
                <c:pt idx="6">
                  <c:v>3530</c:v>
                </c:pt>
                <c:pt idx="7">
                  <c:v>18624</c:v>
                </c:pt>
                <c:pt idx="8">
                  <c:v>6990</c:v>
                </c:pt>
                <c:pt idx="9">
                  <c:v>3132</c:v>
                </c:pt>
                <c:pt idx="10">
                  <c:v>5800</c:v>
                </c:pt>
                <c:pt idx="11">
                  <c:v>7835</c:v>
                </c:pt>
                <c:pt idx="12">
                  <c:v>4850</c:v>
                </c:pt>
                <c:pt idx="13">
                  <c:v>10700</c:v>
                </c:pt>
                <c:pt idx="14">
                  <c:v>24415</c:v>
                </c:pt>
                <c:pt idx="15">
                  <c:v>5210</c:v>
                </c:pt>
                <c:pt idx="16">
                  <c:v>1520</c:v>
                </c:pt>
                <c:pt idx="17">
                  <c:v>4500</c:v>
                </c:pt>
                <c:pt idx="18">
                  <c:v>10600</c:v>
                </c:pt>
                <c:pt idx="19">
                  <c:v>4710</c:v>
                </c:pt>
                <c:pt idx="20">
                  <c:v>4864</c:v>
                </c:pt>
                <c:pt idx="21">
                  <c:v>5270</c:v>
                </c:pt>
                <c:pt idx="22">
                  <c:v>2180</c:v>
                </c:pt>
                <c:pt idx="23">
                  <c:v>13920</c:v>
                </c:pt>
                <c:pt idx="24">
                  <c:v>6523</c:v>
                </c:pt>
                <c:pt idx="25">
                  <c:v>4260</c:v>
                </c:pt>
                <c:pt idx="26">
                  <c:v>480</c:v>
                </c:pt>
                <c:pt idx="27">
                  <c:v>5800</c:v>
                </c:pt>
                <c:pt idx="28">
                  <c:v>12350</c:v>
                </c:pt>
                <c:pt idx="29">
                  <c:v>4800</c:v>
                </c:pt>
                <c:pt idx="30">
                  <c:v>10725</c:v>
                </c:pt>
                <c:pt idx="31">
                  <c:v>4430</c:v>
                </c:pt>
                <c:pt idx="33">
                  <c:v>17000</c:v>
                </c:pt>
                <c:pt idx="34">
                  <c:v>37812</c:v>
                </c:pt>
                <c:pt idx="35">
                  <c:v>37767</c:v>
                </c:pt>
              </c:numCache>
            </c:numRef>
          </c:xVal>
          <c:yVal>
            <c:numRef>
              <c:f>Sheet10!$L$6:$L$41</c:f>
              <c:numCache>
                <c:formatCode>General</c:formatCode>
                <c:ptCount val="36"/>
                <c:pt idx="0">
                  <c:v>3504</c:v>
                </c:pt>
                <c:pt idx="1">
                  <c:v>2273</c:v>
                </c:pt>
                <c:pt idx="2">
                  <c:v>771</c:v>
                </c:pt>
                <c:pt idx="3">
                  <c:v>3866</c:v>
                </c:pt>
                <c:pt idx="4">
                  <c:v>987</c:v>
                </c:pt>
                <c:pt idx="5">
                  <c:v>1602</c:v>
                </c:pt>
                <c:pt idx="6">
                  <c:v>1141</c:v>
                </c:pt>
                <c:pt idx="7">
                  <c:v>5463</c:v>
                </c:pt>
                <c:pt idx="8">
                  <c:v>2422</c:v>
                </c:pt>
                <c:pt idx="9">
                  <c:v>2274</c:v>
                </c:pt>
                <c:pt idx="10">
                  <c:v>5724</c:v>
                </c:pt>
                <c:pt idx="11">
                  <c:v>2816</c:v>
                </c:pt>
                <c:pt idx="12">
                  <c:v>1948</c:v>
                </c:pt>
                <c:pt idx="13">
                  <c:v>4576</c:v>
                </c:pt>
                <c:pt idx="14">
                  <c:v>2443</c:v>
                </c:pt>
                <c:pt idx="15">
                  <c:v>1468</c:v>
                </c:pt>
                <c:pt idx="16">
                  <c:v>1543</c:v>
                </c:pt>
                <c:pt idx="17">
                  <c:v>1591</c:v>
                </c:pt>
                <c:pt idx="18">
                  <c:v>2347</c:v>
                </c:pt>
                <c:pt idx="19">
                  <c:v>1297</c:v>
                </c:pt>
                <c:pt idx="20">
                  <c:v>1288</c:v>
                </c:pt>
                <c:pt idx="21">
                  <c:v>5148</c:v>
                </c:pt>
                <c:pt idx="22">
                  <c:v>2213</c:v>
                </c:pt>
                <c:pt idx="23">
                  <c:v>3503</c:v>
                </c:pt>
                <c:pt idx="24">
                  <c:v>1777</c:v>
                </c:pt>
                <c:pt idx="25">
                  <c:v>1246</c:v>
                </c:pt>
                <c:pt idx="26">
                  <c:v>1235</c:v>
                </c:pt>
                <c:pt idx="27">
                  <c:v>2781</c:v>
                </c:pt>
                <c:pt idx="28">
                  <c:v>2223</c:v>
                </c:pt>
                <c:pt idx="29">
                  <c:v>2293</c:v>
                </c:pt>
                <c:pt idx="30">
                  <c:v>3456</c:v>
                </c:pt>
                <c:pt idx="31">
                  <c:v>3456</c:v>
                </c:pt>
                <c:pt idx="33">
                  <c:v>8865</c:v>
                </c:pt>
                <c:pt idx="34">
                  <c:v>9298</c:v>
                </c:pt>
                <c:pt idx="35">
                  <c:v>15453</c:v>
                </c:pt>
              </c:numCache>
            </c:numRef>
          </c:yVal>
          <c:smooth val="0"/>
        </c:ser>
        <c:dLbls>
          <c:showLegendKey val="0"/>
          <c:showVal val="0"/>
          <c:showCatName val="0"/>
          <c:showSerName val="0"/>
          <c:showPercent val="0"/>
          <c:showBubbleSize val="0"/>
        </c:dLbls>
        <c:axId val="-1578202384"/>
        <c:axId val="-1578215984"/>
      </c:scatterChart>
      <c:valAx>
        <c:axId val="-157820238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Mean teacher</a:t>
                </a:r>
                <a:r>
                  <a:rPr lang="en-GB" baseline="0"/>
                  <a:t> pay (PPP, $,2020)</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215984"/>
        <c:crosses val="autoZero"/>
        <c:crossBetween val="midCat"/>
      </c:valAx>
      <c:valAx>
        <c:axId val="-1578215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GDP</a:t>
                </a:r>
                <a:r>
                  <a:rPr lang="en-GB" baseline="0"/>
                  <a:t> per capia (PPP, $,2020)</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20238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a:t>
            </a:r>
            <a:r>
              <a:rPr lang="en-GB" baseline="0"/>
              <a:t> 4: Percentage change in real incomes among government primary school teachers in SSA, 2005-2020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fig5realincometrends!$A$1:$A$31</c:f>
              <c:strCache>
                <c:ptCount val="31"/>
                <c:pt idx="0">
                  <c:v>Zimbabwe</c:v>
                </c:pt>
                <c:pt idx="1">
                  <c:v>Madagascar</c:v>
                </c:pt>
                <c:pt idx="2">
                  <c:v>Nigeria</c:v>
                </c:pt>
                <c:pt idx="3">
                  <c:v>Gambia</c:v>
                </c:pt>
                <c:pt idx="4">
                  <c:v>Rwanda</c:v>
                </c:pt>
                <c:pt idx="5">
                  <c:v>CAR</c:v>
                </c:pt>
                <c:pt idx="6">
                  <c:v>Kenya</c:v>
                </c:pt>
                <c:pt idx="7">
                  <c:v>Chad</c:v>
                </c:pt>
                <c:pt idx="8">
                  <c:v>Burkina Faso</c:v>
                </c:pt>
                <c:pt idx="9">
                  <c:v>Cameroon</c:v>
                </c:pt>
                <c:pt idx="10">
                  <c:v>Burundi</c:v>
                </c:pt>
                <c:pt idx="11">
                  <c:v>Eswatini</c:v>
                </c:pt>
                <c:pt idx="12">
                  <c:v>Mozambique</c:v>
                </c:pt>
                <c:pt idx="13">
                  <c:v>Niger</c:v>
                </c:pt>
                <c:pt idx="14">
                  <c:v>Guinea Bissau</c:v>
                </c:pt>
                <c:pt idx="15">
                  <c:v>Côte d'Ivoire</c:v>
                </c:pt>
                <c:pt idx="16">
                  <c:v>Senegal</c:v>
                </c:pt>
                <c:pt idx="17">
                  <c:v>Mali</c:v>
                </c:pt>
                <c:pt idx="18">
                  <c:v>Ethiopia</c:v>
                </c:pt>
                <c:pt idx="19">
                  <c:v>Malawi</c:v>
                </c:pt>
                <c:pt idx="20">
                  <c:v>Benin</c:v>
                </c:pt>
                <c:pt idx="21">
                  <c:v>Lesotho</c:v>
                </c:pt>
                <c:pt idx="22">
                  <c:v>Zambia</c:v>
                </c:pt>
                <c:pt idx="23">
                  <c:v>Ghana</c:v>
                </c:pt>
                <c:pt idx="24">
                  <c:v>Uganda</c:v>
                </c:pt>
                <c:pt idx="25">
                  <c:v>Togo</c:v>
                </c:pt>
                <c:pt idx="26">
                  <c:v>Sierra Leone</c:v>
                </c:pt>
                <c:pt idx="27">
                  <c:v>Guinea</c:v>
                </c:pt>
                <c:pt idx="28">
                  <c:v>Liberia</c:v>
                </c:pt>
                <c:pt idx="29">
                  <c:v>Tanzania</c:v>
                </c:pt>
                <c:pt idx="30">
                  <c:v>DRC</c:v>
                </c:pt>
              </c:strCache>
            </c:strRef>
          </c:cat>
          <c:val>
            <c:numRef>
              <c:f>fig5realincometrends!$B$1:$B$31</c:f>
              <c:numCache>
                <c:formatCode>General</c:formatCode>
                <c:ptCount val="31"/>
                <c:pt idx="0">
                  <c:v>-83.041813900311837</c:v>
                </c:pt>
                <c:pt idx="1">
                  <c:v>-82.053130785953954</c:v>
                </c:pt>
                <c:pt idx="2">
                  <c:v>-80.493392883181215</c:v>
                </c:pt>
                <c:pt idx="3">
                  <c:v>-71.092607299568471</c:v>
                </c:pt>
                <c:pt idx="4">
                  <c:v>-57.061136006723309</c:v>
                </c:pt>
                <c:pt idx="5">
                  <c:v>-43.937976299171396</c:v>
                </c:pt>
                <c:pt idx="6">
                  <c:v>-39.816580764014006</c:v>
                </c:pt>
                <c:pt idx="7">
                  <c:v>-30.243735501861146</c:v>
                </c:pt>
                <c:pt idx="8">
                  <c:v>-19.612536268056033</c:v>
                </c:pt>
                <c:pt idx="9">
                  <c:v>-18.943844119899545</c:v>
                </c:pt>
                <c:pt idx="10">
                  <c:v>-9.0575206340498386</c:v>
                </c:pt>
                <c:pt idx="11">
                  <c:v>-8.6168632226555513</c:v>
                </c:pt>
                <c:pt idx="12">
                  <c:v>-4.0790885037300981</c:v>
                </c:pt>
                <c:pt idx="13">
                  <c:v>1.5366721067730746</c:v>
                </c:pt>
                <c:pt idx="14">
                  <c:v>1.6158111155431203</c:v>
                </c:pt>
                <c:pt idx="15">
                  <c:v>6.9695516702039564</c:v>
                </c:pt>
                <c:pt idx="16">
                  <c:v>11.570559376103008</c:v>
                </c:pt>
                <c:pt idx="17">
                  <c:v>16.629232357392613</c:v>
                </c:pt>
                <c:pt idx="18">
                  <c:v>22.795067992672202</c:v>
                </c:pt>
                <c:pt idx="19">
                  <c:v>22.81993779378648</c:v>
                </c:pt>
                <c:pt idx="20">
                  <c:v>23.387575295040016</c:v>
                </c:pt>
                <c:pt idx="21">
                  <c:v>30</c:v>
                </c:pt>
                <c:pt idx="22">
                  <c:v>35.366251029260326</c:v>
                </c:pt>
                <c:pt idx="23">
                  <c:v>35.849313726742722</c:v>
                </c:pt>
                <c:pt idx="24">
                  <c:v>40</c:v>
                </c:pt>
                <c:pt idx="25">
                  <c:v>57.837681826610464</c:v>
                </c:pt>
                <c:pt idx="26">
                  <c:v>90</c:v>
                </c:pt>
                <c:pt idx="27">
                  <c:v>94.180881586909379</c:v>
                </c:pt>
                <c:pt idx="28">
                  <c:v>118</c:v>
                </c:pt>
                <c:pt idx="29">
                  <c:v>140</c:v>
                </c:pt>
                <c:pt idx="30">
                  <c:v>386.77508941289796</c:v>
                </c:pt>
              </c:numCache>
            </c:numRef>
          </c:val>
        </c:ser>
        <c:dLbls>
          <c:showLegendKey val="0"/>
          <c:showVal val="0"/>
          <c:showCatName val="0"/>
          <c:showSerName val="0"/>
          <c:showPercent val="0"/>
          <c:showBubbleSize val="0"/>
        </c:dLbls>
        <c:gapWidth val="219"/>
        <c:overlap val="-27"/>
        <c:axId val="-1578216528"/>
        <c:axId val="-1578210000"/>
      </c:barChart>
      <c:catAx>
        <c:axId val="-1578216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210000"/>
        <c:crosses val="autoZero"/>
        <c:auto val="1"/>
        <c:lblAlgn val="ctr"/>
        <c:lblOffset val="100"/>
        <c:noMultiLvlLbl val="0"/>
      </c:catAx>
      <c:valAx>
        <c:axId val="-1578210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216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a:t>
            </a:r>
            <a:r>
              <a:rPr lang="en-GB" baseline="0"/>
              <a:t> 5: Scatter plots of mean teacher income as a percentage of the family living wage and per capita GDP</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0"/>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Paymaster!$BC$6:$BC$43</c:f>
              <c:numCache>
                <c:formatCode>General</c:formatCode>
                <c:ptCount val="36"/>
                <c:pt idx="0">
                  <c:v>190</c:v>
                </c:pt>
                <c:pt idx="2">
                  <c:v>100</c:v>
                </c:pt>
                <c:pt idx="3">
                  <c:v>78.5</c:v>
                </c:pt>
                <c:pt idx="4">
                  <c:v>156.1</c:v>
                </c:pt>
                <c:pt idx="5">
                  <c:v>147.19999999999999</c:v>
                </c:pt>
                <c:pt idx="6">
                  <c:v>78.400000000000006</c:v>
                </c:pt>
                <c:pt idx="7">
                  <c:v>105</c:v>
                </c:pt>
                <c:pt idx="8">
                  <c:v>147.19999999999999</c:v>
                </c:pt>
                <c:pt idx="9">
                  <c:v>134</c:v>
                </c:pt>
                <c:pt idx="10">
                  <c:v>102.5</c:v>
                </c:pt>
                <c:pt idx="11">
                  <c:v>58.5</c:v>
                </c:pt>
                <c:pt idx="12">
                  <c:v>75.7</c:v>
                </c:pt>
                <c:pt idx="13">
                  <c:v>100</c:v>
                </c:pt>
                <c:pt idx="15">
                  <c:v>96</c:v>
                </c:pt>
                <c:pt idx="16">
                  <c:v>176.5</c:v>
                </c:pt>
                <c:pt idx="18">
                  <c:v>102.6</c:v>
                </c:pt>
                <c:pt idx="19">
                  <c:v>29.8</c:v>
                </c:pt>
                <c:pt idx="20">
                  <c:v>39</c:v>
                </c:pt>
                <c:pt idx="21">
                  <c:v>120.1</c:v>
                </c:pt>
                <c:pt idx="22">
                  <c:v>169.5</c:v>
                </c:pt>
                <c:pt idx="24">
                  <c:v>84</c:v>
                </c:pt>
                <c:pt idx="25">
                  <c:v>98.4</c:v>
                </c:pt>
                <c:pt idx="26">
                  <c:v>30.1</c:v>
                </c:pt>
                <c:pt idx="27">
                  <c:v>204.7</c:v>
                </c:pt>
                <c:pt idx="28">
                  <c:v>121.8</c:v>
                </c:pt>
                <c:pt idx="31">
                  <c:v>95.2</c:v>
                </c:pt>
                <c:pt idx="32">
                  <c:v>156.6</c:v>
                </c:pt>
                <c:pt idx="33">
                  <c:v>51.6</c:v>
                </c:pt>
                <c:pt idx="34">
                  <c:v>115.3</c:v>
                </c:pt>
                <c:pt idx="35">
                  <c:v>53</c:v>
                </c:pt>
              </c:numCache>
            </c:numRef>
          </c:xVal>
          <c:yVal>
            <c:numRef>
              <c:f>Paymaster!$BD$6:$BD$43</c:f>
              <c:numCache>
                <c:formatCode>General</c:formatCode>
                <c:ptCount val="36"/>
                <c:pt idx="0">
                  <c:v>3504</c:v>
                </c:pt>
                <c:pt idx="2">
                  <c:v>2273</c:v>
                </c:pt>
                <c:pt idx="3">
                  <c:v>771</c:v>
                </c:pt>
                <c:pt idx="4">
                  <c:v>3866</c:v>
                </c:pt>
                <c:pt idx="5">
                  <c:v>987</c:v>
                </c:pt>
                <c:pt idx="6">
                  <c:v>1602</c:v>
                </c:pt>
                <c:pt idx="7">
                  <c:v>1141</c:v>
                </c:pt>
                <c:pt idx="8">
                  <c:v>5463</c:v>
                </c:pt>
                <c:pt idx="9">
                  <c:v>8865</c:v>
                </c:pt>
                <c:pt idx="10">
                  <c:v>2422</c:v>
                </c:pt>
                <c:pt idx="11">
                  <c:v>2274</c:v>
                </c:pt>
                <c:pt idx="12">
                  <c:v>5724</c:v>
                </c:pt>
                <c:pt idx="13">
                  <c:v>2816</c:v>
                </c:pt>
                <c:pt idx="15">
                  <c:v>4576</c:v>
                </c:pt>
                <c:pt idx="16">
                  <c:v>2443</c:v>
                </c:pt>
                <c:pt idx="17">
                  <c:v>1468</c:v>
                </c:pt>
                <c:pt idx="18">
                  <c:v>1468</c:v>
                </c:pt>
                <c:pt idx="19">
                  <c:v>1591</c:v>
                </c:pt>
                <c:pt idx="20">
                  <c:v>1543</c:v>
                </c:pt>
                <c:pt idx="21">
                  <c:v>2347</c:v>
                </c:pt>
                <c:pt idx="22">
                  <c:v>1297</c:v>
                </c:pt>
                <c:pt idx="24">
                  <c:v>1288</c:v>
                </c:pt>
                <c:pt idx="25">
                  <c:v>5148</c:v>
                </c:pt>
                <c:pt idx="26">
                  <c:v>2213</c:v>
                </c:pt>
                <c:pt idx="27">
                  <c:v>3503</c:v>
                </c:pt>
                <c:pt idx="28">
                  <c:v>1777</c:v>
                </c:pt>
                <c:pt idx="30">
                  <c:v>1235</c:v>
                </c:pt>
                <c:pt idx="31">
                  <c:v>2781</c:v>
                </c:pt>
                <c:pt idx="32">
                  <c:v>2223</c:v>
                </c:pt>
                <c:pt idx="33">
                  <c:v>2293</c:v>
                </c:pt>
                <c:pt idx="34">
                  <c:v>3456</c:v>
                </c:pt>
                <c:pt idx="35">
                  <c:v>3456</c:v>
                </c:pt>
              </c:numCache>
            </c:numRef>
          </c:yVal>
          <c:smooth val="0"/>
        </c:ser>
        <c:dLbls>
          <c:showLegendKey val="0"/>
          <c:showVal val="0"/>
          <c:showCatName val="0"/>
          <c:showSerName val="0"/>
          <c:showPercent val="0"/>
          <c:showBubbleSize val="0"/>
        </c:dLbls>
        <c:axId val="-1494076848"/>
        <c:axId val="-1494077392"/>
      </c:scatterChart>
      <c:valAx>
        <c:axId val="-14940768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4077392"/>
        <c:crosses val="autoZero"/>
        <c:crossBetween val="midCat"/>
      </c:valAx>
      <c:valAx>
        <c:axId val="-1494077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407684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 6 : Starting salary for diploma-level primary school teacher as % of family living wage in selected countries in SSA, (PPP $,2020)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Sheet1!$A$12:$A$27</c:f>
              <c:strCache>
                <c:ptCount val="16"/>
                <c:pt idx="0">
                  <c:v>Uganda</c:v>
                </c:pt>
                <c:pt idx="1">
                  <c:v>Zimbabwe</c:v>
                </c:pt>
                <c:pt idx="2">
                  <c:v>Kenya</c:v>
                </c:pt>
                <c:pt idx="3">
                  <c:v>Nigeria</c:v>
                </c:pt>
                <c:pt idx="4">
                  <c:v>Ethiopia</c:v>
                </c:pt>
                <c:pt idx="5">
                  <c:v>Niger</c:v>
                </c:pt>
                <c:pt idx="6">
                  <c:v>Ghana</c:v>
                </c:pt>
                <c:pt idx="7">
                  <c:v>Tanzania</c:v>
                </c:pt>
                <c:pt idx="8">
                  <c:v>Malawi</c:v>
                </c:pt>
                <c:pt idx="9">
                  <c:v>Mali</c:v>
                </c:pt>
                <c:pt idx="10">
                  <c:v>DRC</c:v>
                </c:pt>
                <c:pt idx="11">
                  <c:v>Zambia</c:v>
                </c:pt>
                <c:pt idx="12">
                  <c:v>Mozambique</c:v>
                </c:pt>
                <c:pt idx="13">
                  <c:v>Eswatini</c:v>
                </c:pt>
                <c:pt idx="14">
                  <c:v>Sierra Leone</c:v>
                </c:pt>
                <c:pt idx="15">
                  <c:v>Cameroon</c:v>
                </c:pt>
              </c:strCache>
            </c:strRef>
          </c:cat>
          <c:val>
            <c:numRef>
              <c:f>Sheet1!$B$12:$B$27</c:f>
              <c:numCache>
                <c:formatCode>General</c:formatCode>
                <c:ptCount val="16"/>
                <c:pt idx="0">
                  <c:v>45.311250000000008</c:v>
                </c:pt>
                <c:pt idx="1">
                  <c:v>53</c:v>
                </c:pt>
                <c:pt idx="2">
                  <c:v>53.831775700934578</c:v>
                </c:pt>
                <c:pt idx="3">
                  <c:v>57.732979127134733</c:v>
                </c:pt>
                <c:pt idx="4">
                  <c:v>60.077610872675258</c:v>
                </c:pt>
                <c:pt idx="5">
                  <c:v>68.00822368421052</c:v>
                </c:pt>
                <c:pt idx="6">
                  <c:v>68.743431034482754</c:v>
                </c:pt>
                <c:pt idx="7">
                  <c:v>73.205517241379312</c:v>
                </c:pt>
                <c:pt idx="8">
                  <c:v>85.163265306122454</c:v>
                </c:pt>
                <c:pt idx="9">
                  <c:v>87.684330188679255</c:v>
                </c:pt>
                <c:pt idx="10">
                  <c:v>104.94050991501416</c:v>
                </c:pt>
                <c:pt idx="11">
                  <c:v>115</c:v>
                </c:pt>
                <c:pt idx="12">
                  <c:v>116.07142857142858</c:v>
                </c:pt>
                <c:pt idx="13">
                  <c:v>118.32200000000002</c:v>
                </c:pt>
                <c:pt idx="14">
                  <c:v>121.96805151004139</c:v>
                </c:pt>
                <c:pt idx="15">
                  <c:v>138.37839992751654</c:v>
                </c:pt>
              </c:numCache>
            </c:numRef>
          </c:val>
        </c:ser>
        <c:dLbls>
          <c:showLegendKey val="0"/>
          <c:showVal val="0"/>
          <c:showCatName val="0"/>
          <c:showSerName val="0"/>
          <c:showPercent val="0"/>
          <c:showBubbleSize val="0"/>
        </c:dLbls>
        <c:gapWidth val="219"/>
        <c:overlap val="-27"/>
        <c:axId val="-1494072496"/>
        <c:axId val="-1494060528"/>
      </c:barChart>
      <c:catAx>
        <c:axId val="-1494072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4060528"/>
        <c:crosses val="autoZero"/>
        <c:auto val="1"/>
        <c:lblAlgn val="ctr"/>
        <c:lblOffset val="100"/>
        <c:noMultiLvlLbl val="0"/>
      </c:catAx>
      <c:valAx>
        <c:axId val="-1494060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4072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D23C9-FD82-413B-8BB3-CD20ACC4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7165</Words>
  <Characters>40847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cp:lastPrinted>2022-04-11T19:06:00Z</cp:lastPrinted>
  <dcterms:created xsi:type="dcterms:W3CDTF">2022-10-15T15:03:00Z</dcterms:created>
  <dcterms:modified xsi:type="dcterms:W3CDTF">2022-10-15T15:12:00Z</dcterms:modified>
</cp:coreProperties>
</file>