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45" w:rsidRDefault="00E54845" w:rsidP="00E54845">
      <w:pPr>
        <w:pBdr>
          <w:top w:val="single" w:sz="4" w:space="1" w:color="auto"/>
          <w:left w:val="single" w:sz="4" w:space="4" w:color="auto"/>
          <w:bottom w:val="single" w:sz="4" w:space="1" w:color="auto"/>
          <w:right w:val="single" w:sz="4" w:space="4" w:color="auto"/>
        </w:pBdr>
      </w:pPr>
    </w:p>
    <w:p w:rsidR="00E54845" w:rsidRDefault="00E54845" w:rsidP="00E54845">
      <w:pPr>
        <w:pBdr>
          <w:top w:val="single" w:sz="4" w:space="1" w:color="auto"/>
          <w:left w:val="single" w:sz="4" w:space="4" w:color="auto"/>
          <w:bottom w:val="single" w:sz="4" w:space="1" w:color="auto"/>
          <w:right w:val="single" w:sz="4" w:space="4" w:color="auto"/>
        </w:pBdr>
      </w:pPr>
    </w:p>
    <w:p w:rsidR="00E54845" w:rsidRDefault="00E54845" w:rsidP="00E54845">
      <w:pPr>
        <w:pBdr>
          <w:top w:val="single" w:sz="4" w:space="1" w:color="auto"/>
          <w:left w:val="single" w:sz="4" w:space="4" w:color="auto"/>
          <w:bottom w:val="single" w:sz="4" w:space="1" w:color="auto"/>
          <w:right w:val="single" w:sz="4" w:space="4" w:color="auto"/>
        </w:pBdr>
      </w:pPr>
    </w:p>
    <w:p w:rsidR="00E54845" w:rsidRDefault="00E54845" w:rsidP="00E5484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 xml:space="preserve">DISSATISFIED BUT NOWHERE TO GO: </w:t>
      </w:r>
    </w:p>
    <w:p w:rsidR="00E54845" w:rsidRDefault="00E54845" w:rsidP="00E5484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9C01AD">
        <w:rPr>
          <w:rFonts w:ascii="Times New Roman" w:hAnsi="Times New Roman" w:cs="Times New Roman"/>
          <w:b/>
          <w:sz w:val="28"/>
          <w:szCs w:val="28"/>
        </w:rPr>
        <w:t xml:space="preserve">TEACHER ATTRITION </w:t>
      </w:r>
      <w:r>
        <w:rPr>
          <w:rFonts w:ascii="Times New Roman" w:hAnsi="Times New Roman" w:cs="Times New Roman"/>
          <w:b/>
          <w:sz w:val="28"/>
          <w:szCs w:val="28"/>
        </w:rPr>
        <w:t xml:space="preserve">AND UNEMPLOYMENT IN </w:t>
      </w: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r>
        <w:rPr>
          <w:rFonts w:ascii="Times New Roman" w:hAnsi="Times New Roman" w:cs="Times New Roman"/>
          <w:b/>
          <w:sz w:val="28"/>
          <w:szCs w:val="28"/>
        </w:rPr>
        <w:tab/>
      </w:r>
      <w:r w:rsidRPr="009C01AD">
        <w:rPr>
          <w:rFonts w:ascii="Times New Roman" w:hAnsi="Times New Roman" w:cs="Times New Roman"/>
          <w:b/>
          <w:sz w:val="28"/>
          <w:szCs w:val="28"/>
        </w:rPr>
        <w:t>SUB-SAHARAN AFRICA</w:t>
      </w:r>
      <w:r>
        <w:rPr>
          <w:rFonts w:ascii="Times New Roman" w:hAnsi="Times New Roman" w:cs="Times New Roman"/>
          <w:b/>
          <w:sz w:val="28"/>
          <w:szCs w:val="28"/>
        </w:rPr>
        <w:tab/>
      </w: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r>
        <w:rPr>
          <w:rFonts w:ascii="Times New Roman" w:hAnsi="Times New Roman" w:cs="Times New Roman"/>
          <w:b/>
          <w:sz w:val="28"/>
          <w:szCs w:val="28"/>
        </w:rPr>
        <w:t>PAUL BENNELL</w:t>
      </w: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r>
        <w:rPr>
          <w:rFonts w:ascii="Times New Roman" w:hAnsi="Times New Roman" w:cs="Times New Roman"/>
          <w:b/>
          <w:sz w:val="28"/>
          <w:szCs w:val="28"/>
        </w:rPr>
        <w:t>Senior Partner, Knowledge and Skills for Development</w:t>
      </w: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17731"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r>
        <w:rPr>
          <w:rFonts w:ascii="Times New Roman" w:hAnsi="Times New Roman" w:cs="Times New Roman"/>
          <w:b/>
          <w:sz w:val="28"/>
          <w:szCs w:val="28"/>
        </w:rPr>
        <w:t>JUNE 2022</w:t>
      </w:r>
      <w:bookmarkStart w:id="0" w:name="_GoBack"/>
      <w:bookmarkEnd w:id="0"/>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r>
        <w:rPr>
          <w:rFonts w:ascii="Times New Roman" w:hAnsi="Times New Roman" w:cs="Times New Roman"/>
          <w:b/>
          <w:sz w:val="28"/>
          <w:szCs w:val="28"/>
        </w:rPr>
        <w:t>KSD Working Paper 17</w:t>
      </w: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sidP="00E54845">
      <w:pPr>
        <w:pBdr>
          <w:top w:val="single" w:sz="4" w:space="1" w:color="auto"/>
          <w:left w:val="single" w:sz="4" w:space="4" w:color="auto"/>
          <w:bottom w:val="single" w:sz="4" w:space="1" w:color="auto"/>
          <w:right w:val="single" w:sz="4" w:space="4" w:color="auto"/>
        </w:pBdr>
        <w:tabs>
          <w:tab w:val="center" w:pos="4513"/>
          <w:tab w:val="left" w:pos="6600"/>
        </w:tabs>
        <w:jc w:val="center"/>
        <w:rPr>
          <w:rFonts w:ascii="Times New Roman" w:hAnsi="Times New Roman" w:cs="Times New Roman"/>
          <w:b/>
          <w:sz w:val="28"/>
          <w:szCs w:val="28"/>
        </w:rPr>
      </w:pPr>
    </w:p>
    <w:p w:rsidR="00E54845" w:rsidRDefault="00E54845">
      <w:r>
        <w:br w:type="page"/>
      </w:r>
    </w:p>
    <w:p w:rsidR="004E3B46" w:rsidRDefault="00DA7D8B" w:rsidP="00251FC1">
      <w:pPr>
        <w:jc w:val="center"/>
        <w:rPr>
          <w:rFonts w:ascii="Times New Roman" w:hAnsi="Times New Roman" w:cs="Times New Roman"/>
          <w:b/>
          <w:sz w:val="28"/>
          <w:szCs w:val="28"/>
        </w:rPr>
      </w:pPr>
      <w:r>
        <w:rPr>
          <w:rFonts w:ascii="Times New Roman" w:hAnsi="Times New Roman" w:cs="Times New Roman"/>
          <w:b/>
          <w:sz w:val="28"/>
          <w:szCs w:val="28"/>
        </w:rPr>
        <w:lastRenderedPageBreak/>
        <w:t>DISSATISFIED</w:t>
      </w:r>
      <w:r w:rsidR="004E3B46">
        <w:rPr>
          <w:rFonts w:ascii="Times New Roman" w:hAnsi="Times New Roman" w:cs="Times New Roman"/>
          <w:b/>
          <w:sz w:val="28"/>
          <w:szCs w:val="28"/>
        </w:rPr>
        <w:t xml:space="preserve"> BUT NOWHERE TO GO: </w:t>
      </w:r>
    </w:p>
    <w:p w:rsidR="003424BE" w:rsidRDefault="006667C6" w:rsidP="00251FC1">
      <w:pPr>
        <w:jc w:val="center"/>
        <w:rPr>
          <w:rFonts w:ascii="Times New Roman" w:hAnsi="Times New Roman" w:cs="Times New Roman"/>
          <w:b/>
          <w:sz w:val="28"/>
          <w:szCs w:val="28"/>
        </w:rPr>
      </w:pPr>
      <w:r w:rsidRPr="009C01AD">
        <w:rPr>
          <w:rFonts w:ascii="Times New Roman" w:hAnsi="Times New Roman" w:cs="Times New Roman"/>
          <w:b/>
          <w:sz w:val="28"/>
          <w:szCs w:val="28"/>
        </w:rPr>
        <w:t>TEACHER</w:t>
      </w:r>
      <w:r w:rsidR="00335859" w:rsidRPr="009C01AD">
        <w:rPr>
          <w:rFonts w:ascii="Times New Roman" w:hAnsi="Times New Roman" w:cs="Times New Roman"/>
          <w:b/>
          <w:sz w:val="28"/>
          <w:szCs w:val="28"/>
        </w:rPr>
        <w:t xml:space="preserve"> </w:t>
      </w:r>
      <w:r w:rsidR="00425C7C" w:rsidRPr="009C01AD">
        <w:rPr>
          <w:rFonts w:ascii="Times New Roman" w:hAnsi="Times New Roman" w:cs="Times New Roman"/>
          <w:b/>
          <w:sz w:val="28"/>
          <w:szCs w:val="28"/>
        </w:rPr>
        <w:t xml:space="preserve">ATTRITION </w:t>
      </w:r>
      <w:r w:rsidR="003424BE">
        <w:rPr>
          <w:rFonts w:ascii="Times New Roman" w:hAnsi="Times New Roman" w:cs="Times New Roman"/>
          <w:b/>
          <w:sz w:val="28"/>
          <w:szCs w:val="28"/>
        </w:rPr>
        <w:t xml:space="preserve">AND </w:t>
      </w:r>
      <w:r w:rsidR="004E3B46">
        <w:rPr>
          <w:rFonts w:ascii="Times New Roman" w:hAnsi="Times New Roman" w:cs="Times New Roman"/>
          <w:b/>
          <w:sz w:val="28"/>
          <w:szCs w:val="28"/>
        </w:rPr>
        <w:t xml:space="preserve">UNEMPLOYMENT IN </w:t>
      </w:r>
    </w:p>
    <w:p w:rsidR="00646CA0" w:rsidRDefault="007D573E" w:rsidP="00251FC1">
      <w:pPr>
        <w:jc w:val="center"/>
        <w:rPr>
          <w:rFonts w:ascii="Times New Roman" w:hAnsi="Times New Roman" w:cs="Times New Roman"/>
          <w:b/>
          <w:sz w:val="28"/>
          <w:szCs w:val="28"/>
        </w:rPr>
      </w:pPr>
      <w:r w:rsidRPr="009C01AD">
        <w:rPr>
          <w:rFonts w:ascii="Times New Roman" w:hAnsi="Times New Roman" w:cs="Times New Roman"/>
          <w:b/>
          <w:sz w:val="28"/>
          <w:szCs w:val="28"/>
        </w:rPr>
        <w:t>SUB-SAHARAN AFRICA</w:t>
      </w:r>
    </w:p>
    <w:p w:rsidR="004E3B46" w:rsidRDefault="004E3B46" w:rsidP="00251FC1">
      <w:pPr>
        <w:jc w:val="center"/>
        <w:rPr>
          <w:rFonts w:ascii="Times New Roman" w:hAnsi="Times New Roman" w:cs="Times New Roman"/>
          <w:b/>
          <w:sz w:val="28"/>
          <w:szCs w:val="28"/>
        </w:rPr>
      </w:pPr>
    </w:p>
    <w:p w:rsidR="005458C0" w:rsidRPr="009C01AD" w:rsidRDefault="005458C0" w:rsidP="00251FC1">
      <w:pPr>
        <w:jc w:val="center"/>
        <w:rPr>
          <w:rFonts w:ascii="Times New Roman" w:hAnsi="Times New Roman" w:cs="Times New Roman"/>
          <w:b/>
          <w:sz w:val="28"/>
          <w:szCs w:val="28"/>
        </w:rPr>
      </w:pPr>
    </w:p>
    <w:p w:rsidR="00251FC1" w:rsidRDefault="00251FC1" w:rsidP="003B6E39"/>
    <w:p w:rsidR="003B6E39" w:rsidRPr="00E54845" w:rsidRDefault="003B6E39" w:rsidP="00646CA0">
      <w:pPr>
        <w:jc w:val="both"/>
        <w:rPr>
          <w:rFonts w:ascii="Times New Roman" w:hAnsi="Times New Roman" w:cs="Times New Roman"/>
          <w:b/>
          <w:i/>
          <w:sz w:val="28"/>
          <w:szCs w:val="28"/>
        </w:rPr>
      </w:pPr>
      <w:r w:rsidRPr="00E54845">
        <w:rPr>
          <w:rFonts w:ascii="Times New Roman" w:hAnsi="Times New Roman" w:cs="Times New Roman"/>
          <w:b/>
          <w:i/>
          <w:sz w:val="28"/>
          <w:szCs w:val="28"/>
        </w:rPr>
        <w:t>Introduction</w:t>
      </w:r>
    </w:p>
    <w:p w:rsidR="000E1F78" w:rsidRPr="00E54845" w:rsidRDefault="002728D1" w:rsidP="00FF02FB">
      <w:pPr>
        <w:jc w:val="both"/>
        <w:rPr>
          <w:rFonts w:ascii="Times New Roman" w:hAnsi="Times New Roman" w:cs="Times New Roman"/>
          <w:sz w:val="28"/>
          <w:szCs w:val="28"/>
        </w:rPr>
      </w:pPr>
      <w:r w:rsidRPr="00E54845">
        <w:rPr>
          <w:rFonts w:ascii="Times New Roman" w:hAnsi="Times New Roman" w:cs="Times New Roman"/>
          <w:sz w:val="28"/>
          <w:szCs w:val="28"/>
        </w:rPr>
        <w:t xml:space="preserve">There are two types of teacher attrition or ‘wastage’. Voluntary attrition where teachers leave the profession </w:t>
      </w:r>
      <w:r w:rsidR="000E1F78" w:rsidRPr="00E54845">
        <w:rPr>
          <w:rFonts w:ascii="Times New Roman" w:hAnsi="Times New Roman" w:cs="Times New Roman"/>
          <w:sz w:val="28"/>
          <w:szCs w:val="28"/>
        </w:rPr>
        <w:t xml:space="preserve">before the official retirement age </w:t>
      </w:r>
      <w:r w:rsidR="00E311BC" w:rsidRPr="00E54845">
        <w:rPr>
          <w:rFonts w:ascii="Times New Roman" w:hAnsi="Times New Roman" w:cs="Times New Roman"/>
          <w:sz w:val="28"/>
          <w:szCs w:val="28"/>
        </w:rPr>
        <w:t>(</w:t>
      </w:r>
      <w:r w:rsidR="009C01AD" w:rsidRPr="00E54845">
        <w:rPr>
          <w:rFonts w:ascii="Times New Roman" w:hAnsi="Times New Roman" w:cs="Times New Roman"/>
          <w:sz w:val="28"/>
          <w:szCs w:val="28"/>
        </w:rPr>
        <w:t>and</w:t>
      </w:r>
      <w:r w:rsidR="000E1F78" w:rsidRPr="00E54845">
        <w:rPr>
          <w:rFonts w:ascii="Times New Roman" w:hAnsi="Times New Roman" w:cs="Times New Roman"/>
          <w:sz w:val="28"/>
          <w:szCs w:val="28"/>
        </w:rPr>
        <w:t xml:space="preserve"> thus formally</w:t>
      </w:r>
      <w:r w:rsidR="009C01AD" w:rsidRPr="00E54845">
        <w:rPr>
          <w:rFonts w:ascii="Times New Roman" w:hAnsi="Times New Roman" w:cs="Times New Roman"/>
          <w:sz w:val="28"/>
          <w:szCs w:val="28"/>
        </w:rPr>
        <w:t xml:space="preserve"> </w:t>
      </w:r>
      <w:r w:rsidRPr="00E54845">
        <w:rPr>
          <w:rFonts w:ascii="Times New Roman" w:hAnsi="Times New Roman" w:cs="Times New Roman"/>
          <w:sz w:val="28"/>
          <w:szCs w:val="28"/>
        </w:rPr>
        <w:t>resi</w:t>
      </w:r>
      <w:r w:rsidR="003658AC" w:rsidRPr="00E54845">
        <w:rPr>
          <w:rFonts w:ascii="Times New Roman" w:hAnsi="Times New Roman" w:cs="Times New Roman"/>
          <w:sz w:val="28"/>
          <w:szCs w:val="28"/>
        </w:rPr>
        <w:t>gn</w:t>
      </w:r>
      <w:r w:rsidR="000E1F78" w:rsidRPr="00E54845">
        <w:rPr>
          <w:rFonts w:ascii="Times New Roman" w:hAnsi="Times New Roman" w:cs="Times New Roman"/>
          <w:sz w:val="28"/>
          <w:szCs w:val="28"/>
        </w:rPr>
        <w:t xml:space="preserve"> from their positions</w:t>
      </w:r>
      <w:r w:rsidR="00E311BC" w:rsidRPr="00E54845">
        <w:rPr>
          <w:rFonts w:ascii="Times New Roman" w:hAnsi="Times New Roman" w:cs="Times New Roman"/>
          <w:sz w:val="28"/>
          <w:szCs w:val="28"/>
        </w:rPr>
        <w:t>)</w:t>
      </w:r>
      <w:r w:rsidR="003658AC" w:rsidRPr="00E54845">
        <w:rPr>
          <w:rFonts w:ascii="Times New Roman" w:hAnsi="Times New Roman" w:cs="Times New Roman"/>
          <w:sz w:val="28"/>
          <w:szCs w:val="28"/>
        </w:rPr>
        <w:t xml:space="preserve"> and involuntary attrition </w:t>
      </w:r>
      <w:r w:rsidRPr="00E54845">
        <w:rPr>
          <w:rFonts w:ascii="Times New Roman" w:hAnsi="Times New Roman" w:cs="Times New Roman"/>
          <w:sz w:val="28"/>
          <w:szCs w:val="28"/>
        </w:rPr>
        <w:t xml:space="preserve">where </w:t>
      </w:r>
      <w:r w:rsidR="000E1F78" w:rsidRPr="00E54845">
        <w:rPr>
          <w:rFonts w:ascii="Times New Roman" w:hAnsi="Times New Roman" w:cs="Times New Roman"/>
          <w:sz w:val="28"/>
          <w:szCs w:val="28"/>
        </w:rPr>
        <w:t xml:space="preserve">serving </w:t>
      </w:r>
      <w:r w:rsidRPr="00E54845">
        <w:rPr>
          <w:rFonts w:ascii="Times New Roman" w:hAnsi="Times New Roman" w:cs="Times New Roman"/>
          <w:sz w:val="28"/>
          <w:szCs w:val="28"/>
        </w:rPr>
        <w:t>teachers either retire</w:t>
      </w:r>
      <w:r w:rsidR="000E1F78" w:rsidRPr="00E54845">
        <w:rPr>
          <w:rFonts w:ascii="Times New Roman" w:hAnsi="Times New Roman" w:cs="Times New Roman"/>
          <w:sz w:val="28"/>
          <w:szCs w:val="28"/>
        </w:rPr>
        <w:t xml:space="preserve"> (at the officially prescribed age</w:t>
      </w:r>
      <w:r w:rsidR="00C534F5" w:rsidRPr="00E54845">
        <w:rPr>
          <w:rFonts w:ascii="Times New Roman" w:hAnsi="Times New Roman" w:cs="Times New Roman"/>
          <w:sz w:val="28"/>
          <w:szCs w:val="28"/>
        </w:rPr>
        <w:t xml:space="preserve"> or earlier as a result of illness</w:t>
      </w:r>
      <w:r w:rsidR="000E1F78" w:rsidRPr="00E54845">
        <w:rPr>
          <w:rFonts w:ascii="Times New Roman" w:hAnsi="Times New Roman" w:cs="Times New Roman"/>
          <w:sz w:val="28"/>
          <w:szCs w:val="28"/>
        </w:rPr>
        <w:t xml:space="preserve">), </w:t>
      </w:r>
      <w:r w:rsidRPr="00E54845">
        <w:rPr>
          <w:rFonts w:ascii="Times New Roman" w:hAnsi="Times New Roman" w:cs="Times New Roman"/>
          <w:sz w:val="28"/>
          <w:szCs w:val="28"/>
        </w:rPr>
        <w:t>die,</w:t>
      </w:r>
      <w:r w:rsidR="009C01AD" w:rsidRPr="00E54845">
        <w:rPr>
          <w:rFonts w:ascii="Times New Roman" w:hAnsi="Times New Roman" w:cs="Times New Roman"/>
          <w:sz w:val="28"/>
          <w:szCs w:val="28"/>
        </w:rPr>
        <w:t xml:space="preserve"> or are dismissed for misconduct. </w:t>
      </w:r>
    </w:p>
    <w:p w:rsidR="00FF02FB" w:rsidRPr="00E54845" w:rsidRDefault="007076FA" w:rsidP="00FF02FB">
      <w:pPr>
        <w:jc w:val="both"/>
        <w:rPr>
          <w:rFonts w:ascii="Times New Roman" w:hAnsi="Times New Roman" w:cs="Times New Roman"/>
          <w:sz w:val="28"/>
          <w:szCs w:val="28"/>
        </w:rPr>
      </w:pPr>
      <w:r w:rsidRPr="00E54845">
        <w:rPr>
          <w:rFonts w:ascii="Times New Roman" w:hAnsi="Times New Roman" w:cs="Times New Roman"/>
          <w:sz w:val="28"/>
          <w:szCs w:val="28"/>
        </w:rPr>
        <w:t>It is</w:t>
      </w:r>
      <w:r w:rsidR="00232629" w:rsidRPr="00E54845">
        <w:rPr>
          <w:rFonts w:ascii="Times New Roman" w:hAnsi="Times New Roman" w:cs="Times New Roman"/>
          <w:sz w:val="28"/>
          <w:szCs w:val="28"/>
        </w:rPr>
        <w:t xml:space="preserve"> widely contended that </w:t>
      </w:r>
      <w:r w:rsidR="00C534F5" w:rsidRPr="00E54845">
        <w:rPr>
          <w:rFonts w:ascii="Times New Roman" w:hAnsi="Times New Roman" w:cs="Times New Roman"/>
          <w:sz w:val="28"/>
          <w:szCs w:val="28"/>
        </w:rPr>
        <w:t xml:space="preserve">voluntary </w:t>
      </w:r>
      <w:r w:rsidR="00232629" w:rsidRPr="00E54845">
        <w:rPr>
          <w:rFonts w:ascii="Times New Roman" w:hAnsi="Times New Roman" w:cs="Times New Roman"/>
          <w:sz w:val="28"/>
          <w:szCs w:val="28"/>
        </w:rPr>
        <w:t xml:space="preserve">teacher attrition is </w:t>
      </w:r>
      <w:r w:rsidR="003658AC" w:rsidRPr="00E54845">
        <w:rPr>
          <w:rFonts w:ascii="Times New Roman" w:hAnsi="Times New Roman" w:cs="Times New Roman"/>
          <w:sz w:val="28"/>
          <w:szCs w:val="28"/>
        </w:rPr>
        <w:t xml:space="preserve">unacceptably </w:t>
      </w:r>
      <w:r w:rsidR="00232629" w:rsidRPr="00E54845">
        <w:rPr>
          <w:rFonts w:ascii="Times New Roman" w:hAnsi="Times New Roman" w:cs="Times New Roman"/>
          <w:sz w:val="28"/>
          <w:szCs w:val="28"/>
        </w:rPr>
        <w:t>high in S</w:t>
      </w:r>
      <w:r w:rsidR="009C01AD" w:rsidRPr="00E54845">
        <w:rPr>
          <w:rFonts w:ascii="Times New Roman" w:hAnsi="Times New Roman" w:cs="Times New Roman"/>
          <w:sz w:val="28"/>
          <w:szCs w:val="28"/>
        </w:rPr>
        <w:t>ub-Saharan Africa (</w:t>
      </w:r>
      <w:r w:rsidR="00232629" w:rsidRPr="00E54845">
        <w:rPr>
          <w:rFonts w:ascii="Times New Roman" w:hAnsi="Times New Roman" w:cs="Times New Roman"/>
          <w:sz w:val="28"/>
          <w:szCs w:val="28"/>
        </w:rPr>
        <w:t>S</w:t>
      </w:r>
      <w:r w:rsidR="009C01AD" w:rsidRPr="00E54845">
        <w:rPr>
          <w:rFonts w:ascii="Times New Roman" w:hAnsi="Times New Roman" w:cs="Times New Roman"/>
          <w:sz w:val="28"/>
          <w:szCs w:val="28"/>
        </w:rPr>
        <w:t>S</w:t>
      </w:r>
      <w:r w:rsidR="00232629" w:rsidRPr="00E54845">
        <w:rPr>
          <w:rFonts w:ascii="Times New Roman" w:hAnsi="Times New Roman" w:cs="Times New Roman"/>
          <w:sz w:val="28"/>
          <w:szCs w:val="28"/>
        </w:rPr>
        <w:t>A</w:t>
      </w:r>
      <w:r w:rsidR="009C01AD" w:rsidRPr="00E54845">
        <w:rPr>
          <w:rFonts w:ascii="Times New Roman" w:hAnsi="Times New Roman" w:cs="Times New Roman"/>
          <w:sz w:val="28"/>
          <w:szCs w:val="28"/>
        </w:rPr>
        <w:t>)</w:t>
      </w:r>
      <w:r w:rsidR="00232629" w:rsidRPr="00E54845">
        <w:rPr>
          <w:rFonts w:ascii="Times New Roman" w:hAnsi="Times New Roman" w:cs="Times New Roman"/>
          <w:sz w:val="28"/>
          <w:szCs w:val="28"/>
        </w:rPr>
        <w:t xml:space="preserve"> and that </w:t>
      </w:r>
      <w:r w:rsidR="009C01AD" w:rsidRPr="00E54845">
        <w:rPr>
          <w:rFonts w:ascii="Times New Roman" w:hAnsi="Times New Roman" w:cs="Times New Roman"/>
          <w:sz w:val="28"/>
          <w:szCs w:val="28"/>
        </w:rPr>
        <w:t xml:space="preserve">this </w:t>
      </w:r>
      <w:r w:rsidR="00232629" w:rsidRPr="00E54845">
        <w:rPr>
          <w:rFonts w:ascii="Times New Roman" w:hAnsi="Times New Roman" w:cs="Times New Roman"/>
          <w:sz w:val="28"/>
          <w:szCs w:val="28"/>
        </w:rPr>
        <w:t>is a major reason for acute ‘teacher shortages’</w:t>
      </w:r>
      <w:r w:rsidR="009C01AD" w:rsidRPr="00E54845">
        <w:rPr>
          <w:rFonts w:ascii="Times New Roman" w:hAnsi="Times New Roman" w:cs="Times New Roman"/>
          <w:sz w:val="28"/>
          <w:szCs w:val="28"/>
        </w:rPr>
        <w:t xml:space="preserve"> in most of the 50 countries in th</w:t>
      </w:r>
      <w:r w:rsidR="00646CA0" w:rsidRPr="00E54845">
        <w:rPr>
          <w:rFonts w:ascii="Times New Roman" w:hAnsi="Times New Roman" w:cs="Times New Roman"/>
          <w:sz w:val="28"/>
          <w:szCs w:val="28"/>
        </w:rPr>
        <w:t>e</w:t>
      </w:r>
      <w:r w:rsidR="009C01AD" w:rsidRPr="00E54845">
        <w:rPr>
          <w:rFonts w:ascii="Times New Roman" w:hAnsi="Times New Roman" w:cs="Times New Roman"/>
          <w:sz w:val="28"/>
          <w:szCs w:val="28"/>
        </w:rPr>
        <w:t xml:space="preserve"> region. </w:t>
      </w:r>
      <w:r w:rsidR="00232629" w:rsidRPr="00E54845">
        <w:rPr>
          <w:rFonts w:ascii="Times New Roman" w:hAnsi="Times New Roman" w:cs="Times New Roman"/>
          <w:sz w:val="28"/>
          <w:szCs w:val="28"/>
        </w:rPr>
        <w:t xml:space="preserve"> </w:t>
      </w:r>
      <w:r w:rsidR="00676CB3" w:rsidRPr="00E54845">
        <w:rPr>
          <w:rFonts w:ascii="Times New Roman" w:hAnsi="Times New Roman" w:cs="Times New Roman"/>
          <w:sz w:val="28"/>
          <w:szCs w:val="28"/>
        </w:rPr>
        <w:t>Most recently,</w:t>
      </w:r>
      <w:r w:rsidR="009C01AD" w:rsidRPr="00E54845">
        <w:rPr>
          <w:rFonts w:ascii="Times New Roman" w:hAnsi="Times New Roman" w:cs="Times New Roman"/>
          <w:sz w:val="28"/>
          <w:szCs w:val="28"/>
        </w:rPr>
        <w:t xml:space="preserve"> UNESCO’s </w:t>
      </w:r>
      <w:r w:rsidR="00232629" w:rsidRPr="00E54845">
        <w:rPr>
          <w:rFonts w:ascii="Times New Roman" w:hAnsi="Times New Roman" w:cs="Times New Roman"/>
          <w:sz w:val="28"/>
          <w:szCs w:val="28"/>
        </w:rPr>
        <w:t xml:space="preserve">International Task Force on Teachers for Education </w:t>
      </w:r>
      <w:r w:rsidR="009C01AD" w:rsidRPr="00E54845">
        <w:rPr>
          <w:rFonts w:ascii="Times New Roman" w:hAnsi="Times New Roman" w:cs="Times New Roman"/>
          <w:sz w:val="28"/>
          <w:szCs w:val="28"/>
        </w:rPr>
        <w:t xml:space="preserve">2030 </w:t>
      </w:r>
      <w:r w:rsidR="00232629" w:rsidRPr="00E54845">
        <w:rPr>
          <w:rFonts w:ascii="Times New Roman" w:hAnsi="Times New Roman" w:cs="Times New Roman"/>
          <w:sz w:val="28"/>
          <w:szCs w:val="28"/>
        </w:rPr>
        <w:t xml:space="preserve">states in a </w:t>
      </w:r>
      <w:r w:rsidR="00270904" w:rsidRPr="00E54845">
        <w:rPr>
          <w:rFonts w:ascii="Times New Roman" w:hAnsi="Times New Roman" w:cs="Times New Roman"/>
          <w:sz w:val="28"/>
          <w:szCs w:val="28"/>
        </w:rPr>
        <w:t xml:space="preserve">report on teacher supply </w:t>
      </w:r>
      <w:r w:rsidR="00232629" w:rsidRPr="00E54845">
        <w:rPr>
          <w:rFonts w:ascii="Times New Roman" w:hAnsi="Times New Roman" w:cs="Times New Roman"/>
          <w:sz w:val="28"/>
          <w:szCs w:val="28"/>
        </w:rPr>
        <w:t xml:space="preserve">that ‘different institutional and individual factors continue to drive chronic teacher shortages in sub-Saharan African countries…The problem is exacerbated by high rates of teacher attrition’ (2021:2). </w:t>
      </w:r>
      <w:r w:rsidR="006667C6" w:rsidRPr="00E54845">
        <w:rPr>
          <w:rFonts w:ascii="Times New Roman" w:hAnsi="Times New Roman" w:cs="Times New Roman"/>
          <w:sz w:val="28"/>
          <w:szCs w:val="28"/>
        </w:rPr>
        <w:t xml:space="preserve">The report attributes </w:t>
      </w:r>
      <w:r w:rsidR="00232629" w:rsidRPr="00E54845">
        <w:rPr>
          <w:rFonts w:ascii="Times New Roman" w:hAnsi="Times New Roman" w:cs="Times New Roman"/>
          <w:sz w:val="28"/>
          <w:szCs w:val="28"/>
        </w:rPr>
        <w:t xml:space="preserve">the main reasons for </w:t>
      </w:r>
      <w:r w:rsidR="00515CCE" w:rsidRPr="00E54845">
        <w:rPr>
          <w:rFonts w:ascii="Times New Roman" w:hAnsi="Times New Roman" w:cs="Times New Roman"/>
          <w:sz w:val="28"/>
          <w:szCs w:val="28"/>
        </w:rPr>
        <w:t xml:space="preserve">this </w:t>
      </w:r>
      <w:r w:rsidR="00232629" w:rsidRPr="00E54845">
        <w:rPr>
          <w:rFonts w:ascii="Times New Roman" w:hAnsi="Times New Roman" w:cs="Times New Roman"/>
          <w:sz w:val="28"/>
          <w:szCs w:val="28"/>
        </w:rPr>
        <w:t xml:space="preserve">high attrition </w:t>
      </w:r>
      <w:r w:rsidR="00515CCE" w:rsidRPr="00E54845">
        <w:rPr>
          <w:rFonts w:ascii="Times New Roman" w:hAnsi="Times New Roman" w:cs="Times New Roman"/>
          <w:sz w:val="28"/>
          <w:szCs w:val="28"/>
        </w:rPr>
        <w:t>as being ‘</w:t>
      </w:r>
      <w:r w:rsidR="00232629" w:rsidRPr="00E54845">
        <w:rPr>
          <w:rFonts w:ascii="Times New Roman" w:hAnsi="Times New Roman" w:cs="Times New Roman"/>
          <w:sz w:val="28"/>
          <w:szCs w:val="28"/>
        </w:rPr>
        <w:t xml:space="preserve">un-meritocratic recruitment, poor working conditions and insufficient teacher support, lack of physical security, and </w:t>
      </w:r>
      <w:r w:rsidR="00C534F5" w:rsidRPr="00E54845">
        <w:rPr>
          <w:rFonts w:ascii="Times New Roman" w:hAnsi="Times New Roman" w:cs="Times New Roman"/>
          <w:sz w:val="28"/>
          <w:szCs w:val="28"/>
        </w:rPr>
        <w:t xml:space="preserve">the </w:t>
      </w:r>
      <w:r w:rsidR="00232629" w:rsidRPr="00E54845">
        <w:rPr>
          <w:rFonts w:ascii="Times New Roman" w:hAnsi="Times New Roman" w:cs="Times New Roman"/>
          <w:sz w:val="28"/>
          <w:szCs w:val="28"/>
        </w:rPr>
        <w:t xml:space="preserve">greater ability of better qualified teachers to move on to greener pastures’.   </w:t>
      </w:r>
      <w:r w:rsidR="00C534F5" w:rsidRPr="00E54845">
        <w:rPr>
          <w:rFonts w:ascii="Times New Roman" w:hAnsi="Times New Roman" w:cs="Times New Roman"/>
          <w:sz w:val="28"/>
          <w:szCs w:val="28"/>
        </w:rPr>
        <w:t>Similarly, i</w:t>
      </w:r>
      <w:r w:rsidR="00FF02FB" w:rsidRPr="00E54845">
        <w:rPr>
          <w:rFonts w:ascii="Times New Roman" w:hAnsi="Times New Roman" w:cs="Times New Roman"/>
          <w:sz w:val="28"/>
          <w:szCs w:val="28"/>
        </w:rPr>
        <w:t>n an earlier, muc</w:t>
      </w:r>
      <w:r w:rsidR="00495D0B" w:rsidRPr="00E54845">
        <w:rPr>
          <w:rFonts w:ascii="Times New Roman" w:hAnsi="Times New Roman" w:cs="Times New Roman"/>
          <w:sz w:val="28"/>
          <w:szCs w:val="28"/>
        </w:rPr>
        <w:t>h cited World Bank report</w:t>
      </w:r>
      <w:r w:rsidR="00FF02FB" w:rsidRPr="00E54845">
        <w:rPr>
          <w:rFonts w:ascii="Times New Roman" w:hAnsi="Times New Roman" w:cs="Times New Roman"/>
          <w:sz w:val="28"/>
          <w:szCs w:val="28"/>
        </w:rPr>
        <w:t xml:space="preserve"> on secondary school teacher recruiting, retaining and retraining in SSA, Mulkeen et al. state that ‘teacher supply is (further) reduced by a haemorrhage of teachers who leave the profession before retirement age. Contemporary teacher attrition rates are believed to range between 5 and 30 percent in different countries of SSA</w:t>
      </w:r>
      <w:r w:rsidR="003658AC" w:rsidRPr="00E54845">
        <w:rPr>
          <w:rFonts w:ascii="Times New Roman" w:hAnsi="Times New Roman" w:cs="Times New Roman"/>
          <w:sz w:val="28"/>
          <w:szCs w:val="28"/>
        </w:rPr>
        <w:t>’</w:t>
      </w:r>
      <w:r w:rsidR="00FF02FB" w:rsidRPr="00E54845">
        <w:rPr>
          <w:rFonts w:ascii="Times New Roman" w:hAnsi="Times New Roman" w:cs="Times New Roman"/>
          <w:sz w:val="28"/>
          <w:szCs w:val="28"/>
        </w:rPr>
        <w:t xml:space="preserve"> (2010:12).</w:t>
      </w:r>
      <w:r w:rsidRPr="00E54845">
        <w:rPr>
          <w:rFonts w:ascii="Times New Roman" w:hAnsi="Times New Roman" w:cs="Times New Roman"/>
          <w:sz w:val="28"/>
          <w:szCs w:val="28"/>
        </w:rPr>
        <w:t xml:space="preserve"> Other articles </w:t>
      </w:r>
      <w:r w:rsidR="00C534F5" w:rsidRPr="00E54845">
        <w:rPr>
          <w:rFonts w:ascii="Times New Roman" w:hAnsi="Times New Roman" w:cs="Times New Roman"/>
          <w:sz w:val="28"/>
          <w:szCs w:val="28"/>
        </w:rPr>
        <w:t>also refer to</w:t>
      </w:r>
      <w:r w:rsidRPr="00E54845">
        <w:rPr>
          <w:rFonts w:ascii="Times New Roman" w:hAnsi="Times New Roman" w:cs="Times New Roman"/>
          <w:sz w:val="28"/>
          <w:szCs w:val="28"/>
        </w:rPr>
        <w:t xml:space="preserve"> the </w:t>
      </w:r>
      <w:r w:rsidR="00C534F5" w:rsidRPr="00E54845">
        <w:rPr>
          <w:rFonts w:ascii="Times New Roman" w:hAnsi="Times New Roman" w:cs="Times New Roman"/>
          <w:sz w:val="28"/>
          <w:szCs w:val="28"/>
        </w:rPr>
        <w:t xml:space="preserve">teacher </w:t>
      </w:r>
      <w:r w:rsidRPr="00E54845">
        <w:rPr>
          <w:rFonts w:ascii="Times New Roman" w:hAnsi="Times New Roman" w:cs="Times New Roman"/>
          <w:sz w:val="28"/>
          <w:szCs w:val="28"/>
        </w:rPr>
        <w:t xml:space="preserve">attrition </w:t>
      </w:r>
      <w:r w:rsidR="00E311BC" w:rsidRPr="00E54845">
        <w:rPr>
          <w:rFonts w:ascii="Times New Roman" w:hAnsi="Times New Roman" w:cs="Times New Roman"/>
          <w:sz w:val="28"/>
          <w:szCs w:val="28"/>
        </w:rPr>
        <w:t xml:space="preserve">‘crisis’ and even </w:t>
      </w:r>
      <w:r w:rsidRPr="00E54845">
        <w:rPr>
          <w:rFonts w:ascii="Times New Roman" w:hAnsi="Times New Roman" w:cs="Times New Roman"/>
          <w:sz w:val="28"/>
          <w:szCs w:val="28"/>
        </w:rPr>
        <w:t xml:space="preserve">‘catastrophe’ with </w:t>
      </w:r>
      <w:r w:rsidR="00C534F5" w:rsidRPr="00E54845">
        <w:rPr>
          <w:rFonts w:ascii="Times New Roman" w:hAnsi="Times New Roman" w:cs="Times New Roman"/>
          <w:sz w:val="28"/>
          <w:szCs w:val="28"/>
        </w:rPr>
        <w:t xml:space="preserve">large </w:t>
      </w:r>
      <w:r w:rsidRPr="00E54845">
        <w:rPr>
          <w:rFonts w:ascii="Times New Roman" w:hAnsi="Times New Roman" w:cs="Times New Roman"/>
          <w:sz w:val="28"/>
          <w:szCs w:val="28"/>
        </w:rPr>
        <w:t>swathes of teachers ‘abandoning’ the profession</w:t>
      </w:r>
      <w:r w:rsidR="00E311BC" w:rsidRPr="00E54845">
        <w:rPr>
          <w:rFonts w:ascii="Times New Roman" w:hAnsi="Times New Roman" w:cs="Times New Roman"/>
          <w:sz w:val="28"/>
          <w:szCs w:val="28"/>
        </w:rPr>
        <w:t xml:space="preserve"> (see Mampane 2012; Pitsoe and Machaisa 2012)</w:t>
      </w:r>
      <w:r w:rsidRPr="00E54845">
        <w:rPr>
          <w:rFonts w:ascii="Times New Roman" w:hAnsi="Times New Roman" w:cs="Times New Roman"/>
          <w:sz w:val="28"/>
          <w:szCs w:val="28"/>
        </w:rPr>
        <w:t>.</w:t>
      </w:r>
    </w:p>
    <w:p w:rsidR="00E54845" w:rsidRDefault="009D7743" w:rsidP="00E54845">
      <w:pPr>
        <w:jc w:val="both"/>
        <w:rPr>
          <w:rFonts w:ascii="Times New Roman" w:hAnsi="Times New Roman" w:cs="Times New Roman"/>
          <w:sz w:val="28"/>
          <w:szCs w:val="28"/>
        </w:rPr>
      </w:pPr>
      <w:r w:rsidRPr="00E54845">
        <w:rPr>
          <w:rFonts w:ascii="Times New Roman" w:hAnsi="Times New Roman" w:cs="Times New Roman"/>
          <w:sz w:val="28"/>
          <w:szCs w:val="28"/>
        </w:rPr>
        <w:t>Th</w:t>
      </w:r>
      <w:r w:rsidR="007307D0" w:rsidRPr="00E54845">
        <w:rPr>
          <w:rFonts w:ascii="Times New Roman" w:hAnsi="Times New Roman" w:cs="Times New Roman"/>
          <w:sz w:val="28"/>
          <w:szCs w:val="28"/>
        </w:rPr>
        <w:t>is a</w:t>
      </w:r>
      <w:r w:rsidRPr="00E54845">
        <w:rPr>
          <w:rFonts w:ascii="Times New Roman" w:hAnsi="Times New Roman" w:cs="Times New Roman"/>
          <w:sz w:val="28"/>
          <w:szCs w:val="28"/>
        </w:rPr>
        <w:t xml:space="preserve">rticle </w:t>
      </w:r>
      <w:r w:rsidR="007307D0" w:rsidRPr="00E54845">
        <w:rPr>
          <w:rFonts w:ascii="Times New Roman" w:hAnsi="Times New Roman" w:cs="Times New Roman"/>
          <w:sz w:val="28"/>
          <w:szCs w:val="28"/>
        </w:rPr>
        <w:t>questions the</w:t>
      </w:r>
      <w:r w:rsidRPr="00E54845">
        <w:rPr>
          <w:rFonts w:ascii="Times New Roman" w:hAnsi="Times New Roman" w:cs="Times New Roman"/>
          <w:sz w:val="28"/>
          <w:szCs w:val="28"/>
        </w:rPr>
        <w:t xml:space="preserve"> dominant narrative about high attrition rates among teachers in SSA. It does so by presenting recent estimates of national </w:t>
      </w:r>
      <w:r w:rsidR="00F535F9" w:rsidRPr="00E54845">
        <w:rPr>
          <w:rFonts w:ascii="Times New Roman" w:hAnsi="Times New Roman" w:cs="Times New Roman"/>
          <w:sz w:val="28"/>
          <w:szCs w:val="28"/>
        </w:rPr>
        <w:t>teacher attrition rates (T</w:t>
      </w:r>
      <w:r w:rsidRPr="00E54845">
        <w:rPr>
          <w:rFonts w:ascii="Times New Roman" w:hAnsi="Times New Roman" w:cs="Times New Roman"/>
          <w:sz w:val="28"/>
          <w:szCs w:val="28"/>
        </w:rPr>
        <w:t xml:space="preserve">AR) for primary school teachers in </w:t>
      </w:r>
      <w:r w:rsidR="00F535F9" w:rsidRPr="00E54845">
        <w:rPr>
          <w:rFonts w:ascii="Times New Roman" w:hAnsi="Times New Roman" w:cs="Times New Roman"/>
          <w:sz w:val="28"/>
          <w:szCs w:val="28"/>
        </w:rPr>
        <w:t>30</w:t>
      </w:r>
      <w:r w:rsidRPr="00E54845">
        <w:rPr>
          <w:rFonts w:ascii="Times New Roman" w:hAnsi="Times New Roman" w:cs="Times New Roman"/>
          <w:sz w:val="28"/>
          <w:szCs w:val="28"/>
        </w:rPr>
        <w:t xml:space="preserve"> of the 44 mainland countries in SSA. This analysis </w:t>
      </w:r>
      <w:r w:rsidR="00C534F5" w:rsidRPr="00E54845">
        <w:rPr>
          <w:rFonts w:ascii="Times New Roman" w:hAnsi="Times New Roman" w:cs="Times New Roman"/>
          <w:sz w:val="28"/>
          <w:szCs w:val="28"/>
        </w:rPr>
        <w:t>shows</w:t>
      </w:r>
      <w:r w:rsidR="00F535F9" w:rsidRPr="00E54845">
        <w:rPr>
          <w:rFonts w:ascii="Times New Roman" w:hAnsi="Times New Roman" w:cs="Times New Roman"/>
          <w:sz w:val="28"/>
          <w:szCs w:val="28"/>
        </w:rPr>
        <w:t xml:space="preserve"> that T</w:t>
      </w:r>
      <w:r w:rsidRPr="00E54845">
        <w:rPr>
          <w:rFonts w:ascii="Times New Roman" w:hAnsi="Times New Roman" w:cs="Times New Roman"/>
          <w:sz w:val="28"/>
          <w:szCs w:val="28"/>
        </w:rPr>
        <w:t xml:space="preserve">ARs are generally </w:t>
      </w:r>
      <w:r w:rsidR="00C534F5" w:rsidRPr="00E54845">
        <w:rPr>
          <w:rFonts w:ascii="Times New Roman" w:hAnsi="Times New Roman" w:cs="Times New Roman"/>
          <w:sz w:val="28"/>
          <w:szCs w:val="28"/>
        </w:rPr>
        <w:t xml:space="preserve">quite </w:t>
      </w:r>
      <w:r w:rsidRPr="00E54845">
        <w:rPr>
          <w:rFonts w:ascii="Times New Roman" w:hAnsi="Times New Roman" w:cs="Times New Roman"/>
          <w:sz w:val="28"/>
          <w:szCs w:val="28"/>
        </w:rPr>
        <w:t xml:space="preserve">low and declining in the large majority of countries. It is then argued that the principal reason for </w:t>
      </w:r>
      <w:r w:rsidR="00270C41" w:rsidRPr="00E54845">
        <w:rPr>
          <w:rFonts w:ascii="Times New Roman" w:hAnsi="Times New Roman" w:cs="Times New Roman"/>
          <w:sz w:val="28"/>
          <w:szCs w:val="28"/>
        </w:rPr>
        <w:t xml:space="preserve">low attrition levels, particularly among primary school teachers, is the </w:t>
      </w:r>
      <w:r w:rsidR="00270C41" w:rsidRPr="00E54845">
        <w:rPr>
          <w:rFonts w:ascii="Times New Roman" w:hAnsi="Times New Roman" w:cs="Times New Roman"/>
          <w:sz w:val="28"/>
          <w:szCs w:val="28"/>
        </w:rPr>
        <w:lastRenderedPageBreak/>
        <w:t xml:space="preserve">limited </w:t>
      </w:r>
      <w:r w:rsidR="00C534F5" w:rsidRPr="00E54845">
        <w:rPr>
          <w:rFonts w:ascii="Times New Roman" w:hAnsi="Times New Roman" w:cs="Times New Roman"/>
          <w:sz w:val="28"/>
          <w:szCs w:val="28"/>
        </w:rPr>
        <w:t xml:space="preserve">alternative </w:t>
      </w:r>
      <w:r w:rsidR="00270C41" w:rsidRPr="00E54845">
        <w:rPr>
          <w:rFonts w:ascii="Times New Roman" w:hAnsi="Times New Roman" w:cs="Times New Roman"/>
          <w:sz w:val="28"/>
          <w:szCs w:val="28"/>
        </w:rPr>
        <w:t>employment opportunities for teachers wishing to exit the profession coupled with high levels of teacher unemployment among teachers who are seeking teaching positions, particularly in public schools</w:t>
      </w:r>
      <w:r w:rsidR="00E311BC" w:rsidRPr="00E54845">
        <w:rPr>
          <w:rFonts w:ascii="Times New Roman" w:hAnsi="Times New Roman" w:cs="Times New Roman"/>
          <w:sz w:val="28"/>
          <w:szCs w:val="28"/>
        </w:rPr>
        <w:t xml:space="preserve"> (government and grant-aided)</w:t>
      </w:r>
      <w:r w:rsidR="00270C41" w:rsidRPr="00E54845">
        <w:rPr>
          <w:rFonts w:ascii="Times New Roman" w:hAnsi="Times New Roman" w:cs="Times New Roman"/>
          <w:sz w:val="28"/>
          <w:szCs w:val="28"/>
        </w:rPr>
        <w:t xml:space="preserve">. The </w:t>
      </w:r>
      <w:r w:rsidR="007307D0" w:rsidRPr="00E54845">
        <w:rPr>
          <w:rFonts w:ascii="Times New Roman" w:hAnsi="Times New Roman" w:cs="Times New Roman"/>
          <w:sz w:val="28"/>
          <w:szCs w:val="28"/>
        </w:rPr>
        <w:t xml:space="preserve">excess </w:t>
      </w:r>
      <w:r w:rsidR="00270C41" w:rsidRPr="00E54845">
        <w:rPr>
          <w:rFonts w:ascii="Times New Roman" w:hAnsi="Times New Roman" w:cs="Times New Roman"/>
          <w:sz w:val="28"/>
          <w:szCs w:val="28"/>
        </w:rPr>
        <w:t>supply of teacher graduates from universities and colleges of education</w:t>
      </w:r>
      <w:r w:rsidR="00E311BC" w:rsidRPr="00E54845">
        <w:rPr>
          <w:rFonts w:ascii="Times New Roman" w:hAnsi="Times New Roman" w:cs="Times New Roman"/>
          <w:sz w:val="28"/>
          <w:szCs w:val="28"/>
        </w:rPr>
        <w:t>/teacher training colleges</w:t>
      </w:r>
      <w:r w:rsidR="00270C41" w:rsidRPr="00E54845">
        <w:rPr>
          <w:rFonts w:ascii="Times New Roman" w:hAnsi="Times New Roman" w:cs="Times New Roman"/>
          <w:sz w:val="28"/>
          <w:szCs w:val="28"/>
        </w:rPr>
        <w:t xml:space="preserve"> in relation to the highly constrained fiscal capacity</w:t>
      </w:r>
      <w:r w:rsidR="007307D0" w:rsidRPr="00E54845">
        <w:rPr>
          <w:rFonts w:ascii="Times New Roman" w:hAnsi="Times New Roman" w:cs="Times New Roman"/>
          <w:sz w:val="28"/>
          <w:szCs w:val="28"/>
        </w:rPr>
        <w:t xml:space="preserve"> and the overall political commitment </w:t>
      </w:r>
      <w:r w:rsidR="00C534F5" w:rsidRPr="00E54845">
        <w:rPr>
          <w:rFonts w:ascii="Times New Roman" w:hAnsi="Times New Roman" w:cs="Times New Roman"/>
          <w:sz w:val="28"/>
          <w:szCs w:val="28"/>
        </w:rPr>
        <w:t xml:space="preserve">of national governments </w:t>
      </w:r>
      <w:r w:rsidR="00270C41" w:rsidRPr="00E54845">
        <w:rPr>
          <w:rFonts w:ascii="Times New Roman" w:hAnsi="Times New Roman" w:cs="Times New Roman"/>
          <w:sz w:val="28"/>
          <w:szCs w:val="28"/>
        </w:rPr>
        <w:t xml:space="preserve">to employ these </w:t>
      </w:r>
      <w:r w:rsidR="00C534F5" w:rsidRPr="00E54845">
        <w:rPr>
          <w:rFonts w:ascii="Times New Roman" w:hAnsi="Times New Roman" w:cs="Times New Roman"/>
          <w:sz w:val="28"/>
          <w:szCs w:val="28"/>
        </w:rPr>
        <w:t xml:space="preserve">‘beginning teachers’ </w:t>
      </w:r>
      <w:r w:rsidR="007307D0" w:rsidRPr="00E54845">
        <w:rPr>
          <w:rFonts w:ascii="Times New Roman" w:hAnsi="Times New Roman" w:cs="Times New Roman"/>
          <w:sz w:val="28"/>
          <w:szCs w:val="28"/>
        </w:rPr>
        <w:t>is fuelling a mounting teacher unemployment crisis across the region</w:t>
      </w:r>
      <w:r w:rsidR="00270C41" w:rsidRPr="00E54845">
        <w:rPr>
          <w:rFonts w:ascii="Times New Roman" w:hAnsi="Times New Roman" w:cs="Times New Roman"/>
          <w:sz w:val="28"/>
          <w:szCs w:val="28"/>
        </w:rPr>
        <w:t>.</w:t>
      </w:r>
      <w:r w:rsidR="007307D0" w:rsidRPr="00E54845">
        <w:rPr>
          <w:rFonts w:ascii="Times New Roman" w:hAnsi="Times New Roman" w:cs="Times New Roman"/>
          <w:sz w:val="28"/>
          <w:szCs w:val="28"/>
        </w:rPr>
        <w:t xml:space="preserve"> </w:t>
      </w:r>
      <w:r w:rsidR="00270C41" w:rsidRPr="00E54845">
        <w:rPr>
          <w:rFonts w:ascii="Times New Roman" w:hAnsi="Times New Roman" w:cs="Times New Roman"/>
          <w:sz w:val="28"/>
          <w:szCs w:val="28"/>
        </w:rPr>
        <w:t xml:space="preserve">  </w:t>
      </w:r>
      <w:r w:rsidRPr="00E54845">
        <w:rPr>
          <w:rFonts w:ascii="Times New Roman" w:hAnsi="Times New Roman" w:cs="Times New Roman"/>
          <w:sz w:val="28"/>
          <w:szCs w:val="28"/>
        </w:rPr>
        <w:t xml:space="preserve"> </w:t>
      </w:r>
    </w:p>
    <w:p w:rsidR="00C3375A" w:rsidRPr="00E54845" w:rsidRDefault="007307D0" w:rsidP="00E54845">
      <w:pPr>
        <w:jc w:val="both"/>
        <w:rPr>
          <w:rFonts w:ascii="Times New Roman" w:hAnsi="Times New Roman" w:cs="Times New Roman"/>
          <w:i/>
          <w:sz w:val="28"/>
          <w:szCs w:val="28"/>
        </w:rPr>
      </w:pPr>
      <w:r w:rsidRPr="00E54845">
        <w:rPr>
          <w:rFonts w:ascii="Times New Roman" w:hAnsi="Times New Roman" w:cs="Times New Roman"/>
          <w:i/>
          <w:sz w:val="28"/>
          <w:szCs w:val="28"/>
        </w:rPr>
        <w:t>Article organisation</w:t>
      </w:r>
    </w:p>
    <w:p w:rsidR="00010B8B" w:rsidRPr="00E54845" w:rsidRDefault="00010B8B" w:rsidP="00646CA0">
      <w:pPr>
        <w:jc w:val="both"/>
        <w:rPr>
          <w:rFonts w:ascii="Times New Roman" w:hAnsi="Times New Roman" w:cs="Times New Roman"/>
          <w:sz w:val="28"/>
          <w:szCs w:val="28"/>
        </w:rPr>
      </w:pPr>
      <w:r w:rsidRPr="00E54845">
        <w:rPr>
          <w:rFonts w:ascii="Times New Roman" w:hAnsi="Times New Roman" w:cs="Times New Roman"/>
          <w:sz w:val="28"/>
          <w:szCs w:val="28"/>
        </w:rPr>
        <w:t>The discussion is in four parts. The first section reviews the limited literature on teacher attrition an</w:t>
      </w:r>
      <w:r w:rsidR="00305B7E" w:rsidRPr="00E54845">
        <w:rPr>
          <w:rFonts w:ascii="Times New Roman" w:hAnsi="Times New Roman" w:cs="Times New Roman"/>
          <w:sz w:val="28"/>
          <w:szCs w:val="28"/>
        </w:rPr>
        <w:t>d unemployment in SSA. Section two</w:t>
      </w:r>
      <w:r w:rsidRPr="00E54845">
        <w:rPr>
          <w:rFonts w:ascii="Times New Roman" w:hAnsi="Times New Roman" w:cs="Times New Roman"/>
          <w:sz w:val="28"/>
          <w:szCs w:val="28"/>
        </w:rPr>
        <w:t xml:space="preserve"> describes the study methodology and data sources. The main empirical fin</w:t>
      </w:r>
      <w:r w:rsidR="00305B7E" w:rsidRPr="00E54845">
        <w:rPr>
          <w:rFonts w:ascii="Times New Roman" w:hAnsi="Times New Roman" w:cs="Times New Roman"/>
          <w:sz w:val="28"/>
          <w:szCs w:val="28"/>
        </w:rPr>
        <w:t>dings are presented in section three</w:t>
      </w:r>
      <w:r w:rsidR="00F535F9" w:rsidRPr="00E54845">
        <w:rPr>
          <w:rFonts w:ascii="Times New Roman" w:hAnsi="Times New Roman" w:cs="Times New Roman"/>
          <w:sz w:val="28"/>
          <w:szCs w:val="28"/>
        </w:rPr>
        <w:t>. S</w:t>
      </w:r>
      <w:r w:rsidRPr="00E54845">
        <w:rPr>
          <w:rFonts w:ascii="Times New Roman" w:hAnsi="Times New Roman" w:cs="Times New Roman"/>
          <w:sz w:val="28"/>
          <w:szCs w:val="28"/>
        </w:rPr>
        <w:t xml:space="preserve">ection four seeks to explain the main reasons for low teacher </w:t>
      </w:r>
      <w:r w:rsidR="00F535F9" w:rsidRPr="00E54845">
        <w:rPr>
          <w:rFonts w:ascii="Times New Roman" w:hAnsi="Times New Roman" w:cs="Times New Roman"/>
          <w:sz w:val="28"/>
          <w:szCs w:val="28"/>
        </w:rPr>
        <w:t xml:space="preserve">resignation rates </w:t>
      </w:r>
      <w:r w:rsidRPr="00E54845">
        <w:rPr>
          <w:rFonts w:ascii="Times New Roman" w:hAnsi="Times New Roman" w:cs="Times New Roman"/>
          <w:sz w:val="28"/>
          <w:szCs w:val="28"/>
        </w:rPr>
        <w:t>in the region</w:t>
      </w:r>
      <w:r w:rsidR="00F535F9" w:rsidRPr="00E54845">
        <w:rPr>
          <w:rFonts w:ascii="Times New Roman" w:hAnsi="Times New Roman" w:cs="Times New Roman"/>
          <w:sz w:val="28"/>
          <w:szCs w:val="28"/>
        </w:rPr>
        <w:t xml:space="preserve"> and section five discusses the impact of low teacher attrition</w:t>
      </w:r>
      <w:r w:rsidR="00E311BC" w:rsidRPr="00E54845">
        <w:rPr>
          <w:rFonts w:ascii="Times New Roman" w:hAnsi="Times New Roman" w:cs="Times New Roman"/>
          <w:sz w:val="28"/>
          <w:szCs w:val="28"/>
        </w:rPr>
        <w:t xml:space="preserve"> on schooling provision</w:t>
      </w:r>
      <w:r w:rsidRPr="00E54845">
        <w:rPr>
          <w:rFonts w:ascii="Times New Roman" w:hAnsi="Times New Roman" w:cs="Times New Roman"/>
          <w:sz w:val="28"/>
          <w:szCs w:val="28"/>
        </w:rPr>
        <w:t xml:space="preserve">. </w:t>
      </w:r>
    </w:p>
    <w:p w:rsidR="007D573E" w:rsidRPr="00E54845" w:rsidRDefault="005F1255" w:rsidP="00646CA0">
      <w:pPr>
        <w:jc w:val="both"/>
        <w:rPr>
          <w:rFonts w:ascii="Times New Roman" w:hAnsi="Times New Roman" w:cs="Times New Roman"/>
          <w:b/>
          <w:i/>
          <w:sz w:val="28"/>
          <w:szCs w:val="28"/>
        </w:rPr>
      </w:pPr>
      <w:r w:rsidRPr="00E54845">
        <w:rPr>
          <w:rFonts w:ascii="Times New Roman" w:hAnsi="Times New Roman" w:cs="Times New Roman"/>
          <w:b/>
          <w:i/>
          <w:sz w:val="28"/>
          <w:szCs w:val="28"/>
        </w:rPr>
        <w:t xml:space="preserve">2. </w:t>
      </w:r>
      <w:r w:rsidR="00251FC1" w:rsidRPr="00E54845">
        <w:rPr>
          <w:rFonts w:ascii="Times New Roman" w:hAnsi="Times New Roman" w:cs="Times New Roman"/>
          <w:b/>
          <w:i/>
          <w:sz w:val="28"/>
          <w:szCs w:val="28"/>
        </w:rPr>
        <w:t>Literature review</w:t>
      </w:r>
    </w:p>
    <w:p w:rsidR="00366884" w:rsidRPr="00E54845" w:rsidRDefault="00E95E3B" w:rsidP="00646CA0">
      <w:pPr>
        <w:jc w:val="both"/>
        <w:rPr>
          <w:rFonts w:ascii="Times New Roman" w:hAnsi="Times New Roman" w:cs="Times New Roman"/>
          <w:i/>
          <w:sz w:val="28"/>
          <w:szCs w:val="28"/>
        </w:rPr>
      </w:pPr>
      <w:r w:rsidRPr="00E54845">
        <w:rPr>
          <w:rFonts w:ascii="Times New Roman" w:hAnsi="Times New Roman" w:cs="Times New Roman"/>
          <w:i/>
          <w:sz w:val="28"/>
          <w:szCs w:val="28"/>
        </w:rPr>
        <w:t>2.1 Teacher attrition</w:t>
      </w:r>
    </w:p>
    <w:p w:rsidR="00366884" w:rsidRPr="00E54845" w:rsidRDefault="00366884" w:rsidP="00366884">
      <w:pPr>
        <w:jc w:val="both"/>
        <w:rPr>
          <w:rFonts w:ascii="Times New Roman" w:hAnsi="Times New Roman" w:cs="Times New Roman"/>
          <w:sz w:val="28"/>
          <w:szCs w:val="28"/>
        </w:rPr>
      </w:pPr>
      <w:r w:rsidRPr="00E54845">
        <w:rPr>
          <w:rFonts w:ascii="Times New Roman" w:hAnsi="Times New Roman" w:cs="Times New Roman"/>
          <w:sz w:val="28"/>
          <w:szCs w:val="28"/>
        </w:rPr>
        <w:t>The most recent comprehensive literature review of teacher attrition was published by Macdonald over 20 years ago. It notes that ‘contemporary teacher attrition rates are reported as varying between 5</w:t>
      </w:r>
      <w:r w:rsidR="008569B2" w:rsidRPr="00E54845">
        <w:rPr>
          <w:rFonts w:ascii="Times New Roman" w:hAnsi="Times New Roman" w:cs="Times New Roman"/>
          <w:sz w:val="28"/>
          <w:szCs w:val="28"/>
        </w:rPr>
        <w:t>%</w:t>
      </w:r>
      <w:r w:rsidRPr="00E54845">
        <w:rPr>
          <w:rFonts w:ascii="Times New Roman" w:hAnsi="Times New Roman" w:cs="Times New Roman"/>
          <w:sz w:val="28"/>
          <w:szCs w:val="28"/>
        </w:rPr>
        <w:t xml:space="preserve"> and 30%’ (1999:837). </w:t>
      </w:r>
      <w:r w:rsidR="00F535F9" w:rsidRPr="00E54845">
        <w:rPr>
          <w:rFonts w:ascii="Times New Roman" w:hAnsi="Times New Roman" w:cs="Times New Roman"/>
          <w:sz w:val="28"/>
          <w:szCs w:val="28"/>
        </w:rPr>
        <w:t>While t</w:t>
      </w:r>
      <w:r w:rsidRPr="00E54845">
        <w:rPr>
          <w:rFonts w:ascii="Times New Roman" w:hAnsi="Times New Roman" w:cs="Times New Roman"/>
          <w:sz w:val="28"/>
          <w:szCs w:val="28"/>
        </w:rPr>
        <w:t>he discussion of teacher attrition in SSA is limited to reference</w:t>
      </w:r>
      <w:r w:rsidR="00F535F9" w:rsidRPr="00E54845">
        <w:rPr>
          <w:rFonts w:ascii="Times New Roman" w:hAnsi="Times New Roman" w:cs="Times New Roman"/>
          <w:sz w:val="28"/>
          <w:szCs w:val="28"/>
        </w:rPr>
        <w:t>s</w:t>
      </w:r>
      <w:r w:rsidRPr="00E54845">
        <w:rPr>
          <w:rFonts w:ascii="Times New Roman" w:hAnsi="Times New Roman" w:cs="Times New Roman"/>
          <w:sz w:val="28"/>
          <w:szCs w:val="28"/>
        </w:rPr>
        <w:t xml:space="preserve"> to TARs in three countries (Liberia 20-30%, Malawi 8% and South Africa 6%)</w:t>
      </w:r>
      <w:r w:rsidR="00F535F9" w:rsidRPr="00E54845">
        <w:rPr>
          <w:rFonts w:ascii="Times New Roman" w:hAnsi="Times New Roman" w:cs="Times New Roman"/>
          <w:sz w:val="28"/>
          <w:szCs w:val="28"/>
        </w:rPr>
        <w:t xml:space="preserve">, the reviews overall conclusion is </w:t>
      </w:r>
      <w:r w:rsidRPr="00E54845">
        <w:rPr>
          <w:rFonts w:ascii="Times New Roman" w:hAnsi="Times New Roman" w:cs="Times New Roman"/>
          <w:sz w:val="28"/>
          <w:szCs w:val="28"/>
        </w:rPr>
        <w:t xml:space="preserve">that </w:t>
      </w:r>
      <w:r w:rsidR="00F535F9" w:rsidRPr="00E54845">
        <w:rPr>
          <w:rFonts w:ascii="Times New Roman" w:hAnsi="Times New Roman" w:cs="Times New Roman"/>
          <w:sz w:val="28"/>
          <w:szCs w:val="28"/>
        </w:rPr>
        <w:t>TARs</w:t>
      </w:r>
      <w:r w:rsidRPr="00E54845">
        <w:rPr>
          <w:rFonts w:ascii="Times New Roman" w:hAnsi="Times New Roman" w:cs="Times New Roman"/>
          <w:sz w:val="28"/>
          <w:szCs w:val="28"/>
        </w:rPr>
        <w:t xml:space="preserve"> are high in ‘less economically and socially stable countries’ (1999: 837).</w:t>
      </w:r>
    </w:p>
    <w:p w:rsidR="00E95E3B" w:rsidRPr="00E54845" w:rsidRDefault="00E95E3B" w:rsidP="00366884">
      <w:pPr>
        <w:jc w:val="both"/>
        <w:rPr>
          <w:rFonts w:ascii="Times New Roman" w:hAnsi="Times New Roman" w:cs="Times New Roman"/>
          <w:i/>
          <w:sz w:val="28"/>
          <w:szCs w:val="28"/>
        </w:rPr>
      </w:pPr>
      <w:r w:rsidRPr="00E54845">
        <w:rPr>
          <w:rFonts w:ascii="Times New Roman" w:hAnsi="Times New Roman" w:cs="Times New Roman"/>
          <w:i/>
          <w:sz w:val="28"/>
          <w:szCs w:val="28"/>
        </w:rPr>
        <w:t xml:space="preserve">Quantitative research </w:t>
      </w:r>
    </w:p>
    <w:p w:rsidR="002F3785" w:rsidRPr="00E54845" w:rsidRDefault="00251FC1"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Virtually no detailed </w:t>
      </w:r>
      <w:r w:rsidR="00413F33" w:rsidRPr="00E54845">
        <w:rPr>
          <w:rFonts w:ascii="Times New Roman" w:hAnsi="Times New Roman" w:cs="Times New Roman"/>
          <w:sz w:val="28"/>
          <w:szCs w:val="28"/>
        </w:rPr>
        <w:t xml:space="preserve">quantitative </w:t>
      </w:r>
      <w:r w:rsidRPr="00E54845">
        <w:rPr>
          <w:rFonts w:ascii="Times New Roman" w:hAnsi="Times New Roman" w:cs="Times New Roman"/>
          <w:sz w:val="28"/>
          <w:szCs w:val="28"/>
        </w:rPr>
        <w:t xml:space="preserve">research has been undertaken on teacher </w:t>
      </w:r>
      <w:r w:rsidR="005F1255" w:rsidRPr="00E54845">
        <w:rPr>
          <w:rFonts w:ascii="Times New Roman" w:hAnsi="Times New Roman" w:cs="Times New Roman"/>
          <w:sz w:val="28"/>
          <w:szCs w:val="28"/>
        </w:rPr>
        <w:t xml:space="preserve">attrition </w:t>
      </w:r>
      <w:r w:rsidRPr="00E54845">
        <w:rPr>
          <w:rFonts w:ascii="Times New Roman" w:hAnsi="Times New Roman" w:cs="Times New Roman"/>
          <w:sz w:val="28"/>
          <w:szCs w:val="28"/>
        </w:rPr>
        <w:t>in SSA.</w:t>
      </w:r>
      <w:r w:rsidR="006667C6" w:rsidRPr="00E54845">
        <w:rPr>
          <w:rFonts w:ascii="Times New Roman" w:hAnsi="Times New Roman" w:cs="Times New Roman"/>
          <w:sz w:val="28"/>
          <w:szCs w:val="28"/>
        </w:rPr>
        <w:t xml:space="preserve"> </w:t>
      </w:r>
      <w:r w:rsidR="002F3785" w:rsidRPr="00E54845">
        <w:rPr>
          <w:rFonts w:ascii="Times New Roman" w:hAnsi="Times New Roman" w:cs="Times New Roman"/>
          <w:sz w:val="28"/>
          <w:szCs w:val="28"/>
        </w:rPr>
        <w:t>The available e</w:t>
      </w:r>
      <w:r w:rsidR="005F1255" w:rsidRPr="00E54845">
        <w:rPr>
          <w:rFonts w:ascii="Times New Roman" w:hAnsi="Times New Roman" w:cs="Times New Roman"/>
          <w:sz w:val="28"/>
          <w:szCs w:val="28"/>
        </w:rPr>
        <w:t>vidence is</w:t>
      </w:r>
      <w:r w:rsidR="002F3785" w:rsidRPr="00E54845">
        <w:rPr>
          <w:rFonts w:ascii="Times New Roman" w:hAnsi="Times New Roman" w:cs="Times New Roman"/>
          <w:sz w:val="28"/>
          <w:szCs w:val="28"/>
        </w:rPr>
        <w:t>, therefore,</w:t>
      </w:r>
      <w:r w:rsidR="00495D0B" w:rsidRPr="00E54845">
        <w:rPr>
          <w:rFonts w:ascii="Times New Roman" w:hAnsi="Times New Roman" w:cs="Times New Roman"/>
          <w:sz w:val="28"/>
          <w:szCs w:val="28"/>
        </w:rPr>
        <w:t xml:space="preserve"> </w:t>
      </w:r>
      <w:r w:rsidR="005F1255" w:rsidRPr="00E54845">
        <w:rPr>
          <w:rFonts w:ascii="Times New Roman" w:hAnsi="Times New Roman" w:cs="Times New Roman"/>
          <w:sz w:val="28"/>
          <w:szCs w:val="28"/>
        </w:rPr>
        <w:t xml:space="preserve">patchy and </w:t>
      </w:r>
      <w:r w:rsidR="002F3785" w:rsidRPr="00E54845">
        <w:rPr>
          <w:rFonts w:ascii="Times New Roman" w:hAnsi="Times New Roman" w:cs="Times New Roman"/>
          <w:sz w:val="28"/>
          <w:szCs w:val="28"/>
        </w:rPr>
        <w:t xml:space="preserve">most statements and conclusions about teacher attrition tend to be </w:t>
      </w:r>
      <w:r w:rsidR="00366884" w:rsidRPr="00E54845">
        <w:rPr>
          <w:rFonts w:ascii="Times New Roman" w:hAnsi="Times New Roman" w:cs="Times New Roman"/>
          <w:sz w:val="28"/>
          <w:szCs w:val="28"/>
        </w:rPr>
        <w:t xml:space="preserve">quite </w:t>
      </w:r>
      <w:r w:rsidR="005F1255" w:rsidRPr="00E54845">
        <w:rPr>
          <w:rFonts w:ascii="Times New Roman" w:hAnsi="Times New Roman" w:cs="Times New Roman"/>
          <w:sz w:val="28"/>
          <w:szCs w:val="28"/>
        </w:rPr>
        <w:t xml:space="preserve">anecdotal. UIS attrition statistics for primary education cover only 14 out of 50 countries and just five countries for secondary education. </w:t>
      </w:r>
    </w:p>
    <w:p w:rsidR="00DA212C" w:rsidRPr="00E54845" w:rsidRDefault="002F3785"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Only two substantive studies on teacher attrition </w:t>
      </w:r>
      <w:r w:rsidR="00366884" w:rsidRPr="00E54845">
        <w:rPr>
          <w:rFonts w:ascii="Times New Roman" w:hAnsi="Times New Roman" w:cs="Times New Roman"/>
          <w:sz w:val="28"/>
          <w:szCs w:val="28"/>
        </w:rPr>
        <w:t xml:space="preserve">rates </w:t>
      </w:r>
      <w:r w:rsidRPr="00E54845">
        <w:rPr>
          <w:rFonts w:ascii="Times New Roman" w:hAnsi="Times New Roman" w:cs="Times New Roman"/>
          <w:sz w:val="28"/>
          <w:szCs w:val="28"/>
        </w:rPr>
        <w:t xml:space="preserve">in SSA as a whole have been conducted during the last 20 years. The earlier mentioned </w:t>
      </w:r>
      <w:r w:rsidR="00413F33" w:rsidRPr="00E54845">
        <w:rPr>
          <w:rFonts w:ascii="Times New Roman" w:hAnsi="Times New Roman" w:cs="Times New Roman"/>
          <w:sz w:val="28"/>
          <w:szCs w:val="28"/>
        </w:rPr>
        <w:t xml:space="preserve">2007 World Bank report by Mulkeen et al. is based on five country case studies and presents national attrition estimates for primary school teachers based on Ministry of Education annual school surveys. The International Task Force on Teachers for EFA published a report in 2010 entitled ‘Teacher attrition in SSA: The neglected </w:t>
      </w:r>
      <w:r w:rsidR="00413F33" w:rsidRPr="00E54845">
        <w:rPr>
          <w:rFonts w:ascii="Times New Roman" w:hAnsi="Times New Roman" w:cs="Times New Roman"/>
          <w:sz w:val="28"/>
          <w:szCs w:val="28"/>
        </w:rPr>
        <w:lastRenderedPageBreak/>
        <w:t xml:space="preserve">dimension of the teacher supply challenge’ </w:t>
      </w:r>
      <w:r w:rsidR="00366884" w:rsidRPr="00E54845">
        <w:rPr>
          <w:rFonts w:ascii="Times New Roman" w:hAnsi="Times New Roman" w:cs="Times New Roman"/>
          <w:sz w:val="28"/>
          <w:szCs w:val="28"/>
        </w:rPr>
        <w:t xml:space="preserve">which </w:t>
      </w:r>
      <w:r w:rsidR="00413F33" w:rsidRPr="00E54845">
        <w:rPr>
          <w:rFonts w:ascii="Times New Roman" w:hAnsi="Times New Roman" w:cs="Times New Roman"/>
          <w:sz w:val="28"/>
          <w:szCs w:val="28"/>
        </w:rPr>
        <w:t>present</w:t>
      </w:r>
      <w:r w:rsidR="00366884" w:rsidRPr="00E54845">
        <w:rPr>
          <w:rFonts w:ascii="Times New Roman" w:hAnsi="Times New Roman" w:cs="Times New Roman"/>
          <w:sz w:val="28"/>
          <w:szCs w:val="28"/>
        </w:rPr>
        <w:t>s</w:t>
      </w:r>
      <w:r w:rsidR="00F535F9" w:rsidRPr="00E54845">
        <w:rPr>
          <w:rFonts w:ascii="Times New Roman" w:hAnsi="Times New Roman" w:cs="Times New Roman"/>
          <w:sz w:val="28"/>
          <w:szCs w:val="28"/>
        </w:rPr>
        <w:t xml:space="preserve"> T</w:t>
      </w:r>
      <w:r w:rsidR="00413F33" w:rsidRPr="00E54845">
        <w:rPr>
          <w:rFonts w:ascii="Times New Roman" w:hAnsi="Times New Roman" w:cs="Times New Roman"/>
          <w:sz w:val="28"/>
          <w:szCs w:val="28"/>
        </w:rPr>
        <w:t>ARs f</w:t>
      </w:r>
      <w:r w:rsidR="00DA212C" w:rsidRPr="00E54845">
        <w:rPr>
          <w:rFonts w:ascii="Times New Roman" w:hAnsi="Times New Roman" w:cs="Times New Roman"/>
          <w:sz w:val="28"/>
          <w:szCs w:val="28"/>
        </w:rPr>
        <w:t>or</w:t>
      </w:r>
      <w:r w:rsidR="00413F33" w:rsidRPr="00E54845">
        <w:rPr>
          <w:rFonts w:ascii="Times New Roman" w:hAnsi="Times New Roman" w:cs="Times New Roman"/>
          <w:sz w:val="28"/>
          <w:szCs w:val="28"/>
        </w:rPr>
        <w:t xml:space="preserve"> nine Anglophone countries (five from the Mulkeen </w:t>
      </w:r>
      <w:r w:rsidR="00F535F9" w:rsidRPr="00E54845">
        <w:rPr>
          <w:rFonts w:ascii="Times New Roman" w:hAnsi="Times New Roman" w:cs="Times New Roman"/>
          <w:sz w:val="28"/>
          <w:szCs w:val="28"/>
        </w:rPr>
        <w:t xml:space="preserve">report and four from </w:t>
      </w:r>
      <w:r w:rsidR="008569B2" w:rsidRPr="00E54845">
        <w:rPr>
          <w:rFonts w:ascii="Times New Roman" w:hAnsi="Times New Roman" w:cs="Times New Roman"/>
          <w:sz w:val="28"/>
          <w:szCs w:val="28"/>
        </w:rPr>
        <w:t xml:space="preserve">other </w:t>
      </w:r>
      <w:r w:rsidR="00F535F9" w:rsidRPr="00E54845">
        <w:rPr>
          <w:rFonts w:ascii="Times New Roman" w:hAnsi="Times New Roman" w:cs="Times New Roman"/>
          <w:sz w:val="28"/>
          <w:szCs w:val="28"/>
        </w:rPr>
        <w:t>Mo</w:t>
      </w:r>
      <w:r w:rsidR="00366884" w:rsidRPr="00E54845">
        <w:rPr>
          <w:rFonts w:ascii="Times New Roman" w:hAnsi="Times New Roman" w:cs="Times New Roman"/>
          <w:sz w:val="28"/>
          <w:szCs w:val="28"/>
        </w:rPr>
        <w:t>E data), seven of which have relatively small populations.</w:t>
      </w:r>
      <w:r w:rsidR="00366884" w:rsidRPr="00E54845">
        <w:rPr>
          <w:rStyle w:val="FootnoteReference"/>
          <w:rFonts w:ascii="Times New Roman" w:hAnsi="Times New Roman" w:cs="Times New Roman"/>
          <w:sz w:val="28"/>
          <w:szCs w:val="28"/>
        </w:rPr>
        <w:footnoteReference w:id="1"/>
      </w:r>
      <w:r w:rsidR="00DA212C" w:rsidRPr="00E54845">
        <w:rPr>
          <w:rFonts w:ascii="Times New Roman" w:hAnsi="Times New Roman" w:cs="Times New Roman"/>
          <w:sz w:val="28"/>
          <w:szCs w:val="28"/>
        </w:rPr>
        <w:t xml:space="preserve"> The main conclusion of the report is that ‘many countries in SSA are currently reporting teacher attrition rates which are very low’ (vii). However, this is ‘unlikely to be sustained’</w:t>
      </w:r>
      <w:r w:rsidR="007A41B7" w:rsidRPr="00E54845">
        <w:rPr>
          <w:rFonts w:ascii="Times New Roman" w:hAnsi="Times New Roman" w:cs="Times New Roman"/>
          <w:sz w:val="28"/>
          <w:szCs w:val="28"/>
        </w:rPr>
        <w:t xml:space="preserve"> as the current </w:t>
      </w:r>
      <w:r w:rsidR="00DA212C" w:rsidRPr="00E54845">
        <w:rPr>
          <w:rFonts w:ascii="Times New Roman" w:hAnsi="Times New Roman" w:cs="Times New Roman"/>
          <w:sz w:val="28"/>
          <w:szCs w:val="28"/>
        </w:rPr>
        <w:t xml:space="preserve">youthful age profiles </w:t>
      </w:r>
      <w:r w:rsidR="007A41B7" w:rsidRPr="00E54845">
        <w:rPr>
          <w:rFonts w:ascii="Times New Roman" w:hAnsi="Times New Roman" w:cs="Times New Roman"/>
          <w:sz w:val="28"/>
          <w:szCs w:val="28"/>
        </w:rPr>
        <w:t xml:space="preserve">among teachers </w:t>
      </w:r>
      <w:r w:rsidR="00DA212C" w:rsidRPr="00E54845">
        <w:rPr>
          <w:rFonts w:ascii="Times New Roman" w:hAnsi="Times New Roman" w:cs="Times New Roman"/>
          <w:sz w:val="28"/>
          <w:szCs w:val="28"/>
        </w:rPr>
        <w:t>increase over</w:t>
      </w:r>
      <w:r w:rsidR="007A41B7" w:rsidRPr="00E54845">
        <w:rPr>
          <w:rFonts w:ascii="Times New Roman" w:hAnsi="Times New Roman" w:cs="Times New Roman"/>
          <w:sz w:val="28"/>
          <w:szCs w:val="28"/>
        </w:rPr>
        <w:t xml:space="preserve"> </w:t>
      </w:r>
      <w:r w:rsidR="00DA212C" w:rsidRPr="00E54845">
        <w:rPr>
          <w:rFonts w:ascii="Times New Roman" w:hAnsi="Times New Roman" w:cs="Times New Roman"/>
          <w:sz w:val="28"/>
          <w:szCs w:val="28"/>
        </w:rPr>
        <w:t xml:space="preserve">time. Very noticeably, </w:t>
      </w:r>
      <w:r w:rsidR="007A41B7" w:rsidRPr="00E54845">
        <w:rPr>
          <w:rFonts w:ascii="Times New Roman" w:hAnsi="Times New Roman" w:cs="Times New Roman"/>
          <w:sz w:val="28"/>
          <w:szCs w:val="28"/>
        </w:rPr>
        <w:t xml:space="preserve">there is </w:t>
      </w:r>
      <w:r w:rsidR="00DA212C" w:rsidRPr="00E54845">
        <w:rPr>
          <w:rFonts w:ascii="Times New Roman" w:hAnsi="Times New Roman" w:cs="Times New Roman"/>
          <w:sz w:val="28"/>
          <w:szCs w:val="28"/>
        </w:rPr>
        <w:t xml:space="preserve">no </w:t>
      </w:r>
      <w:r w:rsidR="007A41B7" w:rsidRPr="00E54845">
        <w:rPr>
          <w:rFonts w:ascii="Times New Roman" w:hAnsi="Times New Roman" w:cs="Times New Roman"/>
          <w:sz w:val="28"/>
          <w:szCs w:val="28"/>
        </w:rPr>
        <w:t xml:space="preserve">detailed analysis </w:t>
      </w:r>
      <w:r w:rsidR="00DA212C" w:rsidRPr="00E54845">
        <w:rPr>
          <w:rFonts w:ascii="Times New Roman" w:hAnsi="Times New Roman" w:cs="Times New Roman"/>
          <w:sz w:val="28"/>
          <w:szCs w:val="28"/>
        </w:rPr>
        <w:t xml:space="preserve">of teacher resignations which is the principal focus of </w:t>
      </w:r>
      <w:r w:rsidR="007A41B7" w:rsidRPr="00E54845">
        <w:rPr>
          <w:rFonts w:ascii="Times New Roman" w:hAnsi="Times New Roman" w:cs="Times New Roman"/>
          <w:sz w:val="28"/>
          <w:szCs w:val="28"/>
        </w:rPr>
        <w:t xml:space="preserve">commonly expressed concerns </w:t>
      </w:r>
      <w:r w:rsidR="00DA212C" w:rsidRPr="00E54845">
        <w:rPr>
          <w:rFonts w:ascii="Times New Roman" w:hAnsi="Times New Roman" w:cs="Times New Roman"/>
          <w:sz w:val="28"/>
          <w:szCs w:val="28"/>
        </w:rPr>
        <w:t xml:space="preserve">about </w:t>
      </w:r>
      <w:r w:rsidR="007A41B7" w:rsidRPr="00E54845">
        <w:rPr>
          <w:rFonts w:ascii="Times New Roman" w:hAnsi="Times New Roman" w:cs="Times New Roman"/>
          <w:sz w:val="28"/>
          <w:szCs w:val="28"/>
        </w:rPr>
        <w:t xml:space="preserve">the limited vocational commitment among beginning teachers who regard teaching as being </w:t>
      </w:r>
      <w:r w:rsidR="00DA212C" w:rsidRPr="00E54845">
        <w:rPr>
          <w:rFonts w:ascii="Times New Roman" w:hAnsi="Times New Roman" w:cs="Times New Roman"/>
          <w:sz w:val="28"/>
          <w:szCs w:val="28"/>
        </w:rPr>
        <w:t xml:space="preserve">‘a holding ground’ or ‘revolving door’ </w:t>
      </w:r>
      <w:r w:rsidR="007A41B7" w:rsidRPr="00E54845">
        <w:rPr>
          <w:rFonts w:ascii="Times New Roman" w:hAnsi="Times New Roman" w:cs="Times New Roman"/>
          <w:sz w:val="28"/>
          <w:szCs w:val="28"/>
        </w:rPr>
        <w:t>while looking for ‘greener pastures’</w:t>
      </w:r>
      <w:r w:rsidR="00DA212C" w:rsidRPr="00E54845">
        <w:rPr>
          <w:rFonts w:ascii="Times New Roman" w:hAnsi="Times New Roman" w:cs="Times New Roman"/>
          <w:sz w:val="28"/>
          <w:szCs w:val="28"/>
        </w:rPr>
        <w:t xml:space="preserve">. </w:t>
      </w:r>
    </w:p>
    <w:p w:rsidR="002F3785" w:rsidRPr="00E54845" w:rsidRDefault="00366884"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 </w:t>
      </w:r>
      <w:r w:rsidR="007A41B7" w:rsidRPr="00E54845">
        <w:rPr>
          <w:rFonts w:ascii="Times New Roman" w:hAnsi="Times New Roman" w:cs="Times New Roman"/>
          <w:sz w:val="28"/>
          <w:szCs w:val="28"/>
        </w:rPr>
        <w:t xml:space="preserve">The only detailed national study of </w:t>
      </w:r>
      <w:r w:rsidR="002266DE" w:rsidRPr="00E54845">
        <w:rPr>
          <w:rFonts w:ascii="Times New Roman" w:hAnsi="Times New Roman" w:cs="Times New Roman"/>
          <w:sz w:val="28"/>
          <w:szCs w:val="28"/>
        </w:rPr>
        <w:t xml:space="preserve">primary school </w:t>
      </w:r>
      <w:r w:rsidR="007A41B7" w:rsidRPr="00E54845">
        <w:rPr>
          <w:rFonts w:ascii="Times New Roman" w:hAnsi="Times New Roman" w:cs="Times New Roman"/>
          <w:sz w:val="28"/>
          <w:szCs w:val="28"/>
        </w:rPr>
        <w:t xml:space="preserve">teacher </w:t>
      </w:r>
      <w:r w:rsidR="002266DE" w:rsidRPr="00E54845">
        <w:rPr>
          <w:rFonts w:ascii="Times New Roman" w:hAnsi="Times New Roman" w:cs="Times New Roman"/>
          <w:sz w:val="28"/>
          <w:szCs w:val="28"/>
        </w:rPr>
        <w:t xml:space="preserve">turnover (i.e. </w:t>
      </w:r>
      <w:r w:rsidR="007A41B7" w:rsidRPr="00E54845">
        <w:rPr>
          <w:rFonts w:ascii="Times New Roman" w:hAnsi="Times New Roman" w:cs="Times New Roman"/>
          <w:sz w:val="28"/>
          <w:szCs w:val="28"/>
        </w:rPr>
        <w:t xml:space="preserve">attrition </w:t>
      </w:r>
      <w:r w:rsidR="002266DE" w:rsidRPr="00E54845">
        <w:rPr>
          <w:rFonts w:ascii="Times New Roman" w:hAnsi="Times New Roman" w:cs="Times New Roman"/>
          <w:sz w:val="28"/>
          <w:szCs w:val="28"/>
        </w:rPr>
        <w:t xml:space="preserve">and school transfers) </w:t>
      </w:r>
      <w:r w:rsidR="007A41B7" w:rsidRPr="00E54845">
        <w:rPr>
          <w:rFonts w:ascii="Times New Roman" w:hAnsi="Times New Roman" w:cs="Times New Roman"/>
          <w:sz w:val="28"/>
          <w:szCs w:val="28"/>
        </w:rPr>
        <w:t>has been undertaken by Zeitlin who analyses school-level time-series data in Rwanda</w:t>
      </w:r>
      <w:r w:rsidR="002266DE" w:rsidRPr="00E54845">
        <w:rPr>
          <w:rFonts w:ascii="Times New Roman" w:hAnsi="Times New Roman" w:cs="Times New Roman"/>
          <w:sz w:val="28"/>
          <w:szCs w:val="28"/>
        </w:rPr>
        <w:t xml:space="preserve"> during the late 2010s</w:t>
      </w:r>
      <w:r w:rsidR="007A41B7" w:rsidRPr="00E54845">
        <w:rPr>
          <w:rFonts w:ascii="Times New Roman" w:hAnsi="Times New Roman" w:cs="Times New Roman"/>
          <w:sz w:val="28"/>
          <w:szCs w:val="28"/>
        </w:rPr>
        <w:t>.</w:t>
      </w:r>
      <w:r w:rsidR="002266DE" w:rsidRPr="00E54845">
        <w:rPr>
          <w:rFonts w:ascii="Times New Roman" w:hAnsi="Times New Roman" w:cs="Times New Roman"/>
          <w:sz w:val="28"/>
          <w:szCs w:val="28"/>
        </w:rPr>
        <w:t xml:space="preserve"> He concludes that ‘rates of teacher turnover are high: annually, 20 percent of teachers separate from their jobs, of which 11 percent exit from the public-sector teaching workforce’ (abstract). However, </w:t>
      </w:r>
      <w:r w:rsidR="00AC26FF" w:rsidRPr="00E54845">
        <w:rPr>
          <w:rFonts w:ascii="Times New Roman" w:hAnsi="Times New Roman" w:cs="Times New Roman"/>
          <w:sz w:val="28"/>
          <w:szCs w:val="28"/>
        </w:rPr>
        <w:t>his own</w:t>
      </w:r>
      <w:r w:rsidR="009D6D99" w:rsidRPr="00E54845">
        <w:rPr>
          <w:rFonts w:ascii="Times New Roman" w:hAnsi="Times New Roman" w:cs="Times New Roman"/>
          <w:sz w:val="28"/>
          <w:szCs w:val="28"/>
        </w:rPr>
        <w:t xml:space="preserve"> multivariate analysis shows </w:t>
      </w:r>
      <w:r w:rsidR="00AC26FF" w:rsidRPr="00E54845">
        <w:rPr>
          <w:rFonts w:ascii="Times New Roman" w:hAnsi="Times New Roman" w:cs="Times New Roman"/>
          <w:sz w:val="28"/>
          <w:szCs w:val="28"/>
        </w:rPr>
        <w:t xml:space="preserve">that </w:t>
      </w:r>
      <w:r w:rsidR="009D6D99" w:rsidRPr="00E54845">
        <w:rPr>
          <w:rFonts w:ascii="Times New Roman" w:hAnsi="Times New Roman" w:cs="Times New Roman"/>
          <w:sz w:val="28"/>
          <w:szCs w:val="28"/>
        </w:rPr>
        <w:t>the bulk of this attrition is accounted for by newly recruited teachers who never take up their appointments and, to a much lesser extent, among teachers with less than one year of service. Attrition rates for more experienced teachers are minimal.</w:t>
      </w:r>
      <w:r w:rsidR="002266DE" w:rsidRPr="00E54845">
        <w:rPr>
          <w:rFonts w:ascii="Times New Roman" w:hAnsi="Times New Roman" w:cs="Times New Roman"/>
          <w:sz w:val="28"/>
          <w:szCs w:val="28"/>
        </w:rPr>
        <w:t xml:space="preserve"> </w:t>
      </w:r>
      <w:r w:rsidR="007A41B7" w:rsidRPr="00E54845">
        <w:rPr>
          <w:rFonts w:ascii="Times New Roman" w:hAnsi="Times New Roman" w:cs="Times New Roman"/>
          <w:sz w:val="28"/>
          <w:szCs w:val="28"/>
        </w:rPr>
        <w:t xml:space="preserve">  </w:t>
      </w:r>
      <w:r w:rsidR="00413F33" w:rsidRPr="00E54845">
        <w:rPr>
          <w:rFonts w:ascii="Times New Roman" w:hAnsi="Times New Roman" w:cs="Times New Roman"/>
          <w:sz w:val="28"/>
          <w:szCs w:val="28"/>
        </w:rPr>
        <w:t xml:space="preserve"> </w:t>
      </w:r>
    </w:p>
    <w:p w:rsidR="000311E8" w:rsidRPr="00E54845" w:rsidRDefault="000311E8" w:rsidP="000311E8">
      <w:pPr>
        <w:jc w:val="both"/>
        <w:rPr>
          <w:rFonts w:ascii="Times New Roman" w:hAnsi="Times New Roman" w:cs="Times New Roman"/>
          <w:i/>
          <w:sz w:val="28"/>
          <w:szCs w:val="28"/>
        </w:rPr>
      </w:pPr>
      <w:r w:rsidRPr="00E54845">
        <w:rPr>
          <w:rFonts w:ascii="Times New Roman" w:hAnsi="Times New Roman" w:cs="Times New Roman"/>
          <w:i/>
          <w:sz w:val="28"/>
          <w:szCs w:val="28"/>
        </w:rPr>
        <w:t>Teacher requirement projections</w:t>
      </w:r>
    </w:p>
    <w:p w:rsidR="000311E8" w:rsidRPr="00E54845" w:rsidRDefault="000311E8" w:rsidP="000311E8">
      <w:pPr>
        <w:jc w:val="both"/>
        <w:rPr>
          <w:rFonts w:ascii="Times New Roman" w:hAnsi="Times New Roman" w:cs="Times New Roman"/>
          <w:sz w:val="28"/>
          <w:szCs w:val="28"/>
        </w:rPr>
      </w:pPr>
      <w:r w:rsidRPr="00E54845">
        <w:rPr>
          <w:rFonts w:ascii="Times New Roman" w:hAnsi="Times New Roman" w:cs="Times New Roman"/>
          <w:sz w:val="28"/>
          <w:szCs w:val="28"/>
        </w:rPr>
        <w:t xml:space="preserve">The UNESCO Institute of Statistics (UIS) has published two main sets of global teacher requirement projections during the last 20 years – one in </w:t>
      </w:r>
      <w:r w:rsidR="00BA48C5" w:rsidRPr="00E54845">
        <w:rPr>
          <w:rFonts w:ascii="Times New Roman" w:hAnsi="Times New Roman" w:cs="Times New Roman"/>
          <w:sz w:val="28"/>
          <w:szCs w:val="28"/>
        </w:rPr>
        <w:t>relation to the 2015 Education f</w:t>
      </w:r>
      <w:r w:rsidR="00495D0B" w:rsidRPr="00E54845">
        <w:rPr>
          <w:rFonts w:ascii="Times New Roman" w:hAnsi="Times New Roman" w:cs="Times New Roman"/>
          <w:sz w:val="28"/>
          <w:szCs w:val="28"/>
        </w:rPr>
        <w:t>or All G</w:t>
      </w:r>
      <w:r w:rsidRPr="00E54845">
        <w:rPr>
          <w:rFonts w:ascii="Times New Roman" w:hAnsi="Times New Roman" w:cs="Times New Roman"/>
          <w:sz w:val="28"/>
          <w:szCs w:val="28"/>
        </w:rPr>
        <w:t xml:space="preserve">oals and, most recently, for the 2030 Sustainable Development Goals for education. What is striking about these projections is that, given the paucity of robust country estimates of teacher attrition, </w:t>
      </w:r>
      <w:r w:rsidR="00BA48C5" w:rsidRPr="00E54845">
        <w:rPr>
          <w:rFonts w:ascii="Times New Roman" w:hAnsi="Times New Roman" w:cs="Times New Roman"/>
          <w:sz w:val="28"/>
          <w:szCs w:val="28"/>
        </w:rPr>
        <w:t xml:space="preserve">they are based on assumed continent-wide </w:t>
      </w:r>
      <w:r w:rsidRPr="00E54845">
        <w:rPr>
          <w:rFonts w:ascii="Times New Roman" w:hAnsi="Times New Roman" w:cs="Times New Roman"/>
          <w:sz w:val="28"/>
          <w:szCs w:val="28"/>
        </w:rPr>
        <w:t>teacher attrition</w:t>
      </w:r>
      <w:r w:rsidR="00BA48C5" w:rsidRPr="00E54845">
        <w:rPr>
          <w:rFonts w:ascii="Times New Roman" w:hAnsi="Times New Roman" w:cs="Times New Roman"/>
          <w:sz w:val="28"/>
          <w:szCs w:val="28"/>
        </w:rPr>
        <w:t xml:space="preserve"> rates of 6.5% and 5</w:t>
      </w:r>
      <w:r w:rsidR="00AC26FF" w:rsidRPr="00E54845">
        <w:rPr>
          <w:rFonts w:ascii="Times New Roman" w:hAnsi="Times New Roman" w:cs="Times New Roman"/>
          <w:sz w:val="28"/>
          <w:szCs w:val="28"/>
        </w:rPr>
        <w:t>.0</w:t>
      </w:r>
      <w:r w:rsidR="00BA48C5" w:rsidRPr="00E54845">
        <w:rPr>
          <w:rFonts w:ascii="Times New Roman" w:hAnsi="Times New Roman" w:cs="Times New Roman"/>
          <w:sz w:val="28"/>
          <w:szCs w:val="28"/>
        </w:rPr>
        <w:t xml:space="preserve">% respectively. </w:t>
      </w:r>
      <w:r w:rsidRPr="00E54845">
        <w:rPr>
          <w:rFonts w:ascii="Times New Roman" w:hAnsi="Times New Roman" w:cs="Times New Roman"/>
          <w:sz w:val="28"/>
          <w:szCs w:val="28"/>
        </w:rPr>
        <w:t xml:space="preserve"> </w:t>
      </w:r>
      <w:r w:rsidR="00BA48C5" w:rsidRPr="00E54845">
        <w:rPr>
          <w:rFonts w:ascii="Times New Roman" w:hAnsi="Times New Roman" w:cs="Times New Roman"/>
          <w:sz w:val="28"/>
          <w:szCs w:val="28"/>
        </w:rPr>
        <w:t xml:space="preserve">In the case of the 2030 projections, primary and secondary school </w:t>
      </w:r>
      <w:r w:rsidRPr="00E54845">
        <w:rPr>
          <w:rFonts w:ascii="Times New Roman" w:hAnsi="Times New Roman" w:cs="Times New Roman"/>
          <w:sz w:val="28"/>
          <w:szCs w:val="28"/>
        </w:rPr>
        <w:t xml:space="preserve">teacher attrition accounts for </w:t>
      </w:r>
      <w:r w:rsidR="00BD622A" w:rsidRPr="00E54845">
        <w:rPr>
          <w:rFonts w:ascii="Times New Roman" w:hAnsi="Times New Roman" w:cs="Times New Roman"/>
          <w:sz w:val="28"/>
          <w:szCs w:val="28"/>
        </w:rPr>
        <w:t>62% and 28</w:t>
      </w:r>
      <w:r w:rsidR="00BA48C5" w:rsidRPr="00E54845">
        <w:rPr>
          <w:rFonts w:ascii="Times New Roman" w:hAnsi="Times New Roman" w:cs="Times New Roman"/>
          <w:sz w:val="28"/>
          <w:szCs w:val="28"/>
        </w:rPr>
        <w:t xml:space="preserve">% respectively of </w:t>
      </w:r>
      <w:r w:rsidRPr="00E54845">
        <w:rPr>
          <w:rFonts w:ascii="Times New Roman" w:hAnsi="Times New Roman" w:cs="Times New Roman"/>
          <w:sz w:val="28"/>
          <w:szCs w:val="28"/>
        </w:rPr>
        <w:t xml:space="preserve">the </w:t>
      </w:r>
      <w:r w:rsidR="00BA48C5" w:rsidRPr="00E54845">
        <w:rPr>
          <w:rFonts w:ascii="Times New Roman" w:hAnsi="Times New Roman" w:cs="Times New Roman"/>
          <w:sz w:val="28"/>
          <w:szCs w:val="28"/>
        </w:rPr>
        <w:t xml:space="preserve">total number of </w:t>
      </w:r>
      <w:r w:rsidRPr="00E54845">
        <w:rPr>
          <w:rFonts w:ascii="Times New Roman" w:hAnsi="Times New Roman" w:cs="Times New Roman"/>
          <w:sz w:val="28"/>
          <w:szCs w:val="28"/>
        </w:rPr>
        <w:t xml:space="preserve">additional teachers that will need to be recruited between 2016 and 2030 in order to ensure that </w:t>
      </w:r>
      <w:r w:rsidR="00BA48C5" w:rsidRPr="00E54845">
        <w:rPr>
          <w:rFonts w:ascii="Times New Roman" w:hAnsi="Times New Roman" w:cs="Times New Roman"/>
          <w:sz w:val="28"/>
          <w:szCs w:val="28"/>
        </w:rPr>
        <w:t xml:space="preserve">the SDG enrolment goals </w:t>
      </w:r>
      <w:r w:rsidR="00AC26FF" w:rsidRPr="00E54845">
        <w:rPr>
          <w:rFonts w:ascii="Times New Roman" w:hAnsi="Times New Roman" w:cs="Times New Roman"/>
          <w:sz w:val="28"/>
          <w:szCs w:val="28"/>
        </w:rPr>
        <w:t xml:space="preserve">are </w:t>
      </w:r>
      <w:r w:rsidR="00BA48C5" w:rsidRPr="00E54845">
        <w:rPr>
          <w:rFonts w:ascii="Times New Roman" w:hAnsi="Times New Roman" w:cs="Times New Roman"/>
          <w:sz w:val="28"/>
          <w:szCs w:val="28"/>
        </w:rPr>
        <w:t>met</w:t>
      </w:r>
      <w:r w:rsidRPr="00E54845">
        <w:rPr>
          <w:rFonts w:ascii="Times New Roman" w:hAnsi="Times New Roman" w:cs="Times New Roman"/>
          <w:sz w:val="28"/>
          <w:szCs w:val="28"/>
        </w:rPr>
        <w:t xml:space="preserve">. </w:t>
      </w:r>
    </w:p>
    <w:p w:rsidR="00366884" w:rsidRPr="00E54845" w:rsidRDefault="00366884" w:rsidP="00646CA0">
      <w:pPr>
        <w:jc w:val="both"/>
        <w:rPr>
          <w:rFonts w:ascii="Times New Roman" w:hAnsi="Times New Roman" w:cs="Times New Roman"/>
          <w:i/>
          <w:sz w:val="28"/>
          <w:szCs w:val="28"/>
        </w:rPr>
      </w:pPr>
      <w:r w:rsidRPr="00E54845">
        <w:rPr>
          <w:rFonts w:ascii="Times New Roman" w:hAnsi="Times New Roman" w:cs="Times New Roman"/>
          <w:i/>
          <w:sz w:val="28"/>
          <w:szCs w:val="28"/>
        </w:rPr>
        <w:t>Qualitative research</w:t>
      </w:r>
    </w:p>
    <w:p w:rsidR="006667C6" w:rsidRPr="00E54845" w:rsidRDefault="000311E8"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Almost all </w:t>
      </w:r>
      <w:r w:rsidR="006667C6" w:rsidRPr="00E54845">
        <w:rPr>
          <w:rFonts w:ascii="Times New Roman" w:hAnsi="Times New Roman" w:cs="Times New Roman"/>
          <w:sz w:val="28"/>
          <w:szCs w:val="28"/>
        </w:rPr>
        <w:t xml:space="preserve">of </w:t>
      </w:r>
      <w:r w:rsidRPr="00E54845">
        <w:rPr>
          <w:rFonts w:ascii="Times New Roman" w:hAnsi="Times New Roman" w:cs="Times New Roman"/>
          <w:sz w:val="28"/>
          <w:szCs w:val="28"/>
        </w:rPr>
        <w:t xml:space="preserve">the </w:t>
      </w:r>
      <w:r w:rsidR="00E95E3B" w:rsidRPr="00E54845">
        <w:rPr>
          <w:rFonts w:ascii="Times New Roman" w:hAnsi="Times New Roman" w:cs="Times New Roman"/>
          <w:sz w:val="28"/>
          <w:szCs w:val="28"/>
        </w:rPr>
        <w:t xml:space="preserve">10 or so published national </w:t>
      </w:r>
      <w:r w:rsidR="006667C6" w:rsidRPr="00E54845">
        <w:rPr>
          <w:rFonts w:ascii="Times New Roman" w:hAnsi="Times New Roman" w:cs="Times New Roman"/>
          <w:sz w:val="28"/>
          <w:szCs w:val="28"/>
        </w:rPr>
        <w:t xml:space="preserve">studies </w:t>
      </w:r>
      <w:r w:rsidRPr="00E54845">
        <w:rPr>
          <w:rFonts w:ascii="Times New Roman" w:hAnsi="Times New Roman" w:cs="Times New Roman"/>
          <w:sz w:val="28"/>
          <w:szCs w:val="28"/>
        </w:rPr>
        <w:t xml:space="preserve">on teacher attrition in SSA </w:t>
      </w:r>
      <w:r w:rsidR="006667C6" w:rsidRPr="00E54845">
        <w:rPr>
          <w:rFonts w:ascii="Times New Roman" w:hAnsi="Times New Roman" w:cs="Times New Roman"/>
          <w:sz w:val="28"/>
          <w:szCs w:val="28"/>
        </w:rPr>
        <w:t>are largely qualitative</w:t>
      </w:r>
      <w:r w:rsidRPr="00E54845">
        <w:rPr>
          <w:rFonts w:ascii="Times New Roman" w:hAnsi="Times New Roman" w:cs="Times New Roman"/>
          <w:sz w:val="28"/>
          <w:szCs w:val="28"/>
        </w:rPr>
        <w:t xml:space="preserve">. They </w:t>
      </w:r>
      <w:r w:rsidR="006667C6" w:rsidRPr="00E54845">
        <w:rPr>
          <w:rFonts w:ascii="Times New Roman" w:hAnsi="Times New Roman" w:cs="Times New Roman"/>
          <w:sz w:val="28"/>
          <w:szCs w:val="28"/>
        </w:rPr>
        <w:t>focus in particular on ‘teacher intentions’ to leave</w:t>
      </w:r>
      <w:r w:rsidRPr="00E54845">
        <w:rPr>
          <w:rFonts w:ascii="Times New Roman" w:hAnsi="Times New Roman" w:cs="Times New Roman"/>
          <w:sz w:val="28"/>
          <w:szCs w:val="28"/>
        </w:rPr>
        <w:t xml:space="preserve"> </w:t>
      </w:r>
      <w:r w:rsidR="00E95E3B" w:rsidRPr="00E54845">
        <w:rPr>
          <w:rFonts w:ascii="Times New Roman" w:hAnsi="Times New Roman" w:cs="Times New Roman"/>
          <w:sz w:val="28"/>
          <w:szCs w:val="28"/>
        </w:rPr>
        <w:t xml:space="preserve">the profession </w:t>
      </w:r>
      <w:r w:rsidR="00495D0B" w:rsidRPr="00E54845">
        <w:rPr>
          <w:rFonts w:ascii="Times New Roman" w:hAnsi="Times New Roman" w:cs="Times New Roman"/>
          <w:sz w:val="28"/>
          <w:szCs w:val="28"/>
        </w:rPr>
        <w:t xml:space="preserve">and present </w:t>
      </w:r>
      <w:r w:rsidRPr="00E54845">
        <w:rPr>
          <w:rFonts w:ascii="Times New Roman" w:hAnsi="Times New Roman" w:cs="Times New Roman"/>
          <w:sz w:val="28"/>
          <w:szCs w:val="28"/>
        </w:rPr>
        <w:t xml:space="preserve">no </w:t>
      </w:r>
      <w:r w:rsidR="00AC26FF" w:rsidRPr="00E54845">
        <w:rPr>
          <w:rFonts w:ascii="Times New Roman" w:hAnsi="Times New Roman" w:cs="Times New Roman"/>
          <w:sz w:val="28"/>
          <w:szCs w:val="28"/>
        </w:rPr>
        <w:t xml:space="preserve">information on </w:t>
      </w:r>
      <w:r w:rsidRPr="00E54845">
        <w:rPr>
          <w:rFonts w:ascii="Times New Roman" w:hAnsi="Times New Roman" w:cs="Times New Roman"/>
          <w:sz w:val="28"/>
          <w:szCs w:val="28"/>
        </w:rPr>
        <w:t>historic rates</w:t>
      </w:r>
      <w:r w:rsidR="008569B2" w:rsidRPr="00E54845">
        <w:rPr>
          <w:rFonts w:ascii="Times New Roman" w:hAnsi="Times New Roman" w:cs="Times New Roman"/>
          <w:sz w:val="28"/>
          <w:szCs w:val="28"/>
        </w:rPr>
        <w:t xml:space="preserve"> of attrition (see Aden and Brazeley 2019; Agezo 2010; Boateng 2019; Cobbold and Asamani 2015; </w:t>
      </w:r>
      <w:r w:rsidR="008569B2" w:rsidRPr="00E54845">
        <w:rPr>
          <w:rFonts w:ascii="Times New Roman" w:hAnsi="Times New Roman" w:cs="Times New Roman"/>
          <w:sz w:val="28"/>
          <w:szCs w:val="28"/>
        </w:rPr>
        <w:lastRenderedPageBreak/>
        <w:t>Emoja 2016; Kayuni and Tabulasi 2007; Mafora 2013; Sone 2020; Xaba 2003).</w:t>
      </w:r>
      <w:r w:rsidRPr="00E54845">
        <w:rPr>
          <w:rFonts w:ascii="Times New Roman" w:hAnsi="Times New Roman" w:cs="Times New Roman"/>
          <w:sz w:val="28"/>
          <w:szCs w:val="28"/>
        </w:rPr>
        <w:t xml:space="preserve"> They all highlight a </w:t>
      </w:r>
      <w:r w:rsidR="008569B2" w:rsidRPr="00E54845">
        <w:rPr>
          <w:rFonts w:ascii="Times New Roman" w:hAnsi="Times New Roman" w:cs="Times New Roman"/>
          <w:sz w:val="28"/>
          <w:szCs w:val="28"/>
        </w:rPr>
        <w:t>similar s</w:t>
      </w:r>
      <w:r w:rsidRPr="00E54845">
        <w:rPr>
          <w:rFonts w:ascii="Times New Roman" w:hAnsi="Times New Roman" w:cs="Times New Roman"/>
          <w:sz w:val="28"/>
          <w:szCs w:val="28"/>
        </w:rPr>
        <w:t xml:space="preserve">et of factors which account for the high </w:t>
      </w:r>
      <w:r w:rsidR="00E95E3B" w:rsidRPr="00E54845">
        <w:rPr>
          <w:rFonts w:ascii="Times New Roman" w:hAnsi="Times New Roman" w:cs="Times New Roman"/>
          <w:sz w:val="28"/>
          <w:szCs w:val="28"/>
        </w:rPr>
        <w:t xml:space="preserve">incidence </w:t>
      </w:r>
      <w:r w:rsidRPr="00E54845">
        <w:rPr>
          <w:rFonts w:ascii="Times New Roman" w:hAnsi="Times New Roman" w:cs="Times New Roman"/>
          <w:sz w:val="28"/>
          <w:szCs w:val="28"/>
        </w:rPr>
        <w:t xml:space="preserve">of teachers who report that they intend to </w:t>
      </w:r>
      <w:r w:rsidR="00E95E3B" w:rsidRPr="00E54845">
        <w:rPr>
          <w:rFonts w:ascii="Times New Roman" w:hAnsi="Times New Roman" w:cs="Times New Roman"/>
          <w:sz w:val="28"/>
          <w:szCs w:val="28"/>
        </w:rPr>
        <w:t>quit</w:t>
      </w:r>
      <w:r w:rsidRPr="00E54845">
        <w:rPr>
          <w:rFonts w:ascii="Times New Roman" w:hAnsi="Times New Roman" w:cs="Times New Roman"/>
          <w:sz w:val="28"/>
          <w:szCs w:val="28"/>
        </w:rPr>
        <w:t xml:space="preserve"> the profession in the near future, most notably low pay, difficult working conditions especially in remoter, rural schools, and limited career prospects. Nearly all this research is confined to Anglophone Africa in particular Kenya, Nigeria and South Africa. </w:t>
      </w:r>
    </w:p>
    <w:p w:rsidR="00270904" w:rsidRPr="00E54845" w:rsidRDefault="00E95E3B" w:rsidP="00270904">
      <w:pPr>
        <w:jc w:val="both"/>
        <w:rPr>
          <w:rFonts w:ascii="Times New Roman" w:hAnsi="Times New Roman" w:cs="Times New Roman"/>
          <w:i/>
          <w:sz w:val="28"/>
          <w:szCs w:val="28"/>
        </w:rPr>
      </w:pPr>
      <w:r w:rsidRPr="00E54845">
        <w:rPr>
          <w:rFonts w:ascii="Times New Roman" w:hAnsi="Times New Roman" w:cs="Times New Roman"/>
          <w:i/>
          <w:sz w:val="28"/>
          <w:szCs w:val="28"/>
        </w:rPr>
        <w:t>2.2 Teacher unemployment</w:t>
      </w:r>
    </w:p>
    <w:p w:rsidR="00153395" w:rsidRPr="00E54845" w:rsidRDefault="00AC26F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The article by Adekoye </w:t>
      </w:r>
      <w:r w:rsidR="008569B2" w:rsidRPr="00E54845">
        <w:rPr>
          <w:rFonts w:ascii="Times New Roman" w:hAnsi="Times New Roman" w:cs="Times New Roman"/>
          <w:sz w:val="28"/>
          <w:szCs w:val="28"/>
        </w:rPr>
        <w:t xml:space="preserve">(2019) </w:t>
      </w:r>
      <w:r w:rsidR="00E95E3B" w:rsidRPr="00E54845">
        <w:rPr>
          <w:rFonts w:ascii="Times New Roman" w:hAnsi="Times New Roman" w:cs="Times New Roman"/>
          <w:sz w:val="28"/>
          <w:szCs w:val="28"/>
        </w:rPr>
        <w:t xml:space="preserve">on teacher unemployment in Zimbabwe </w:t>
      </w:r>
      <w:r w:rsidR="003E0094" w:rsidRPr="00E54845">
        <w:rPr>
          <w:rFonts w:ascii="Times New Roman" w:hAnsi="Times New Roman" w:cs="Times New Roman"/>
          <w:sz w:val="28"/>
          <w:szCs w:val="28"/>
        </w:rPr>
        <w:t xml:space="preserve">during the </w:t>
      </w:r>
      <w:r w:rsidRPr="00E54845">
        <w:rPr>
          <w:rFonts w:ascii="Times New Roman" w:hAnsi="Times New Roman" w:cs="Times New Roman"/>
          <w:sz w:val="28"/>
          <w:szCs w:val="28"/>
        </w:rPr>
        <w:t xml:space="preserve">nearly 30 years </w:t>
      </w:r>
      <w:r w:rsidR="003E0094" w:rsidRPr="00E54845">
        <w:rPr>
          <w:rFonts w:ascii="Times New Roman" w:hAnsi="Times New Roman" w:cs="Times New Roman"/>
          <w:sz w:val="28"/>
          <w:szCs w:val="28"/>
        </w:rPr>
        <w:t xml:space="preserve">of the Mugabe government </w:t>
      </w:r>
      <w:r w:rsidR="00E95E3B" w:rsidRPr="00E54845">
        <w:rPr>
          <w:rFonts w:ascii="Times New Roman" w:hAnsi="Times New Roman" w:cs="Times New Roman"/>
          <w:sz w:val="28"/>
          <w:szCs w:val="28"/>
        </w:rPr>
        <w:t xml:space="preserve">is the only </w:t>
      </w:r>
      <w:r w:rsidR="003E0094" w:rsidRPr="00E54845">
        <w:rPr>
          <w:rFonts w:ascii="Times New Roman" w:hAnsi="Times New Roman" w:cs="Times New Roman"/>
          <w:sz w:val="28"/>
          <w:szCs w:val="28"/>
        </w:rPr>
        <w:t>publication that could be located on this topic in SSA</w:t>
      </w:r>
      <w:r w:rsidR="00E95E3B" w:rsidRPr="00E54845">
        <w:rPr>
          <w:rFonts w:ascii="Times New Roman" w:hAnsi="Times New Roman" w:cs="Times New Roman"/>
          <w:sz w:val="28"/>
          <w:szCs w:val="28"/>
        </w:rPr>
        <w:t>.</w:t>
      </w:r>
      <w:r w:rsidR="003E0094" w:rsidRPr="00E54845">
        <w:rPr>
          <w:rFonts w:ascii="Times New Roman" w:hAnsi="Times New Roman" w:cs="Times New Roman"/>
          <w:sz w:val="28"/>
          <w:szCs w:val="28"/>
        </w:rPr>
        <w:t xml:space="preserve"> </w:t>
      </w:r>
      <w:r w:rsidR="00153395" w:rsidRPr="00E54845">
        <w:rPr>
          <w:rFonts w:ascii="Times New Roman" w:hAnsi="Times New Roman" w:cs="Times New Roman"/>
          <w:sz w:val="28"/>
          <w:szCs w:val="28"/>
        </w:rPr>
        <w:t>The discussion is a broadly descriptive account of the impact of the protracted and deep-seated economic crisis in Zimbabwe on the employment prospects of teacher graduates particularly the limited recruitment of teachers to fill rapidly increasing vacancies in schools caused by the mass emigration of teachers to South Africa, Botswana and the UK. However, no estimates of the overall unemployment rate among teachers over time are presented.</w:t>
      </w:r>
    </w:p>
    <w:p w:rsidR="005F1255" w:rsidRPr="00E54845" w:rsidRDefault="00153395"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By contrast, there have been numerous newspaper articles in </w:t>
      </w:r>
      <w:r w:rsidR="006D621D" w:rsidRPr="00E54845">
        <w:rPr>
          <w:rFonts w:ascii="Times New Roman" w:hAnsi="Times New Roman" w:cs="Times New Roman"/>
          <w:sz w:val="28"/>
          <w:szCs w:val="28"/>
        </w:rPr>
        <w:t xml:space="preserve">most </w:t>
      </w:r>
      <w:r w:rsidRPr="00E54845">
        <w:rPr>
          <w:rFonts w:ascii="Times New Roman" w:hAnsi="Times New Roman" w:cs="Times New Roman"/>
          <w:sz w:val="28"/>
          <w:szCs w:val="28"/>
        </w:rPr>
        <w:t>Anglophone countries</w:t>
      </w:r>
      <w:r w:rsidR="006D621D" w:rsidRPr="00E54845">
        <w:rPr>
          <w:rStyle w:val="FootnoteReference"/>
          <w:rFonts w:ascii="Times New Roman" w:hAnsi="Times New Roman" w:cs="Times New Roman"/>
          <w:sz w:val="28"/>
          <w:szCs w:val="28"/>
        </w:rPr>
        <w:footnoteReference w:id="2"/>
      </w:r>
      <w:r w:rsidRPr="00E54845">
        <w:rPr>
          <w:rFonts w:ascii="Times New Roman" w:hAnsi="Times New Roman" w:cs="Times New Roman"/>
          <w:sz w:val="28"/>
          <w:szCs w:val="28"/>
        </w:rPr>
        <w:t xml:space="preserve"> which report on the mounting challenges faced by new teacher graduates in finding jobs especially in the public sector which are relatively-secure and well paid compared to those in most (low-cost) private schools.   </w:t>
      </w:r>
      <w:r w:rsidR="009B7119" w:rsidRPr="00E54845">
        <w:rPr>
          <w:rFonts w:ascii="Times New Roman" w:hAnsi="Times New Roman" w:cs="Times New Roman"/>
          <w:sz w:val="28"/>
          <w:szCs w:val="28"/>
        </w:rPr>
        <w:t xml:space="preserve"> </w:t>
      </w:r>
      <w:r w:rsidR="00E95E3B" w:rsidRPr="00E54845">
        <w:rPr>
          <w:rFonts w:ascii="Times New Roman" w:hAnsi="Times New Roman" w:cs="Times New Roman"/>
          <w:sz w:val="28"/>
          <w:szCs w:val="28"/>
        </w:rPr>
        <w:t xml:space="preserve">  </w:t>
      </w:r>
    </w:p>
    <w:p w:rsidR="005F1255" w:rsidRPr="00E54845" w:rsidRDefault="006D621D" w:rsidP="00646CA0">
      <w:pPr>
        <w:jc w:val="both"/>
        <w:rPr>
          <w:rFonts w:ascii="Times New Roman" w:hAnsi="Times New Roman" w:cs="Times New Roman"/>
          <w:b/>
          <w:i/>
          <w:sz w:val="28"/>
          <w:szCs w:val="28"/>
        </w:rPr>
      </w:pPr>
      <w:r w:rsidRPr="00E54845">
        <w:rPr>
          <w:rFonts w:ascii="Times New Roman" w:hAnsi="Times New Roman" w:cs="Times New Roman"/>
          <w:b/>
          <w:i/>
          <w:sz w:val="28"/>
          <w:szCs w:val="28"/>
        </w:rPr>
        <w:t xml:space="preserve">3. Study </w:t>
      </w:r>
      <w:r w:rsidR="005F1255" w:rsidRPr="00E54845">
        <w:rPr>
          <w:rFonts w:ascii="Times New Roman" w:hAnsi="Times New Roman" w:cs="Times New Roman"/>
          <w:b/>
          <w:i/>
          <w:sz w:val="28"/>
          <w:szCs w:val="28"/>
        </w:rPr>
        <w:t>methodology</w:t>
      </w:r>
    </w:p>
    <w:p w:rsidR="001137F6" w:rsidRPr="00E54845" w:rsidRDefault="00170EC7"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School census statistics on teacher attrition in </w:t>
      </w:r>
      <w:r w:rsidR="008569B2" w:rsidRPr="00E54845">
        <w:rPr>
          <w:rFonts w:ascii="Times New Roman" w:hAnsi="Times New Roman" w:cs="Times New Roman"/>
          <w:sz w:val="28"/>
          <w:szCs w:val="28"/>
        </w:rPr>
        <w:t>Anglophone Africa</w:t>
      </w:r>
      <w:r w:rsidRPr="00E54845">
        <w:rPr>
          <w:rFonts w:ascii="Times New Roman" w:hAnsi="Times New Roman" w:cs="Times New Roman"/>
          <w:sz w:val="28"/>
          <w:szCs w:val="28"/>
        </w:rPr>
        <w:t xml:space="preserve"> normally record the number of teaching posts in public schools permanently vacated by teachers for whatever reason. Teachers who resign may leave the profession altogether (occupational attrition) or may become employed as teachers in the private sector (</w:t>
      </w:r>
      <w:r w:rsidR="001252A1" w:rsidRPr="00E54845">
        <w:rPr>
          <w:rFonts w:ascii="Times New Roman" w:hAnsi="Times New Roman" w:cs="Times New Roman"/>
          <w:sz w:val="28"/>
          <w:szCs w:val="28"/>
        </w:rPr>
        <w:t xml:space="preserve">sector </w:t>
      </w:r>
      <w:r w:rsidRPr="00E54845">
        <w:rPr>
          <w:rFonts w:ascii="Times New Roman" w:hAnsi="Times New Roman" w:cs="Times New Roman"/>
          <w:sz w:val="28"/>
          <w:szCs w:val="28"/>
        </w:rPr>
        <w:t xml:space="preserve">attrition). However, no distinction is </w:t>
      </w:r>
      <w:r w:rsidR="001252A1" w:rsidRPr="00E54845">
        <w:rPr>
          <w:rFonts w:ascii="Times New Roman" w:hAnsi="Times New Roman" w:cs="Times New Roman"/>
          <w:sz w:val="28"/>
          <w:szCs w:val="28"/>
        </w:rPr>
        <w:t xml:space="preserve">usually </w:t>
      </w:r>
      <w:r w:rsidRPr="00E54845">
        <w:rPr>
          <w:rFonts w:ascii="Times New Roman" w:hAnsi="Times New Roman" w:cs="Times New Roman"/>
          <w:sz w:val="28"/>
          <w:szCs w:val="28"/>
        </w:rPr>
        <w:t xml:space="preserve">made between these two types of resignations. In practice, </w:t>
      </w:r>
      <w:r w:rsidR="0019460C" w:rsidRPr="00E54845">
        <w:rPr>
          <w:rFonts w:ascii="Times New Roman" w:hAnsi="Times New Roman" w:cs="Times New Roman"/>
          <w:sz w:val="28"/>
          <w:szCs w:val="28"/>
        </w:rPr>
        <w:t xml:space="preserve">because </w:t>
      </w:r>
      <w:r w:rsidRPr="00E54845">
        <w:rPr>
          <w:rFonts w:ascii="Times New Roman" w:hAnsi="Times New Roman" w:cs="Times New Roman"/>
          <w:sz w:val="28"/>
          <w:szCs w:val="28"/>
        </w:rPr>
        <w:t>teacher pay is so much lower in private schools</w:t>
      </w:r>
      <w:r w:rsidR="0019460C" w:rsidRPr="00E54845">
        <w:rPr>
          <w:rFonts w:ascii="Times New Roman" w:hAnsi="Times New Roman" w:cs="Times New Roman"/>
          <w:sz w:val="28"/>
          <w:szCs w:val="28"/>
        </w:rPr>
        <w:t xml:space="preserve"> in most countries in SSA, </w:t>
      </w:r>
      <w:r w:rsidRPr="00E54845">
        <w:rPr>
          <w:rFonts w:ascii="Times New Roman" w:hAnsi="Times New Roman" w:cs="Times New Roman"/>
          <w:sz w:val="28"/>
          <w:szCs w:val="28"/>
        </w:rPr>
        <w:t xml:space="preserve">the bulk of voluntary departures are occupational attrition. It is also important to distinguish between teacher attrition and turnover. The latter includes both attrition and teacher transfers, promotions and study leave which result in teachers leaving their current schools to work </w:t>
      </w:r>
      <w:r w:rsidR="00AC26FF" w:rsidRPr="00E54845">
        <w:rPr>
          <w:rFonts w:ascii="Times New Roman" w:hAnsi="Times New Roman" w:cs="Times New Roman"/>
          <w:sz w:val="28"/>
          <w:szCs w:val="28"/>
        </w:rPr>
        <w:t xml:space="preserve">or study </w:t>
      </w:r>
      <w:r w:rsidRPr="00E54845">
        <w:rPr>
          <w:rFonts w:ascii="Times New Roman" w:hAnsi="Times New Roman" w:cs="Times New Roman"/>
          <w:sz w:val="28"/>
          <w:szCs w:val="28"/>
        </w:rPr>
        <w:t>elsewhere in the public education system.</w:t>
      </w:r>
      <w:r w:rsidR="001252A1" w:rsidRPr="00E54845">
        <w:rPr>
          <w:rFonts w:ascii="Times New Roman" w:hAnsi="Times New Roman" w:cs="Times New Roman"/>
          <w:sz w:val="28"/>
          <w:szCs w:val="28"/>
        </w:rPr>
        <w:t xml:space="preserve"> As will be discussed later, this school-level attrition accounts for the bulk of teacher turnover in most countries.</w:t>
      </w:r>
      <w:r w:rsidRPr="00E54845">
        <w:rPr>
          <w:rFonts w:ascii="Times New Roman" w:hAnsi="Times New Roman" w:cs="Times New Roman"/>
          <w:sz w:val="28"/>
          <w:szCs w:val="28"/>
        </w:rPr>
        <w:t xml:space="preserve">   </w:t>
      </w:r>
    </w:p>
    <w:p w:rsidR="005F1255" w:rsidRPr="00E54845" w:rsidRDefault="006D621D" w:rsidP="00646CA0">
      <w:pPr>
        <w:jc w:val="both"/>
        <w:rPr>
          <w:rFonts w:ascii="Times New Roman" w:hAnsi="Times New Roman" w:cs="Times New Roman"/>
          <w:sz w:val="28"/>
          <w:szCs w:val="28"/>
        </w:rPr>
      </w:pPr>
      <w:r w:rsidRPr="00E54845">
        <w:rPr>
          <w:rFonts w:ascii="Times New Roman" w:hAnsi="Times New Roman" w:cs="Times New Roman"/>
          <w:sz w:val="28"/>
          <w:szCs w:val="28"/>
        </w:rPr>
        <w:t>The study relies on secondary data on attrition rates at the national aggregate level and broken down by type of attrition which could be accessed (mainl</w:t>
      </w:r>
      <w:r w:rsidR="001E4773" w:rsidRPr="00E54845">
        <w:rPr>
          <w:rFonts w:ascii="Times New Roman" w:hAnsi="Times New Roman" w:cs="Times New Roman"/>
          <w:sz w:val="28"/>
          <w:szCs w:val="28"/>
        </w:rPr>
        <w:t>y on-</w:t>
      </w:r>
      <w:r w:rsidR="00AC26FF" w:rsidRPr="00E54845">
        <w:rPr>
          <w:rFonts w:ascii="Times New Roman" w:hAnsi="Times New Roman" w:cs="Times New Roman"/>
          <w:sz w:val="28"/>
          <w:szCs w:val="28"/>
        </w:rPr>
        <w:t xml:space="preserve">line) </w:t>
      </w:r>
      <w:r w:rsidR="00AC26FF" w:rsidRPr="00E54845">
        <w:rPr>
          <w:rFonts w:ascii="Times New Roman" w:hAnsi="Times New Roman" w:cs="Times New Roman"/>
          <w:sz w:val="28"/>
          <w:szCs w:val="28"/>
        </w:rPr>
        <w:lastRenderedPageBreak/>
        <w:t>for 30</w:t>
      </w:r>
      <w:r w:rsidRPr="00E54845">
        <w:rPr>
          <w:rFonts w:ascii="Times New Roman" w:hAnsi="Times New Roman" w:cs="Times New Roman"/>
          <w:sz w:val="28"/>
          <w:szCs w:val="28"/>
        </w:rPr>
        <w:t xml:space="preserve"> mainland countries in SSA. The three main sources of this data </w:t>
      </w:r>
      <w:r w:rsidR="001E4773" w:rsidRPr="00E54845">
        <w:rPr>
          <w:rFonts w:ascii="Times New Roman" w:hAnsi="Times New Roman" w:cs="Times New Roman"/>
          <w:sz w:val="28"/>
          <w:szCs w:val="28"/>
        </w:rPr>
        <w:t xml:space="preserve">are </w:t>
      </w:r>
      <w:r w:rsidRPr="00E54845">
        <w:rPr>
          <w:rFonts w:ascii="Times New Roman" w:hAnsi="Times New Roman" w:cs="Times New Roman"/>
          <w:sz w:val="28"/>
          <w:szCs w:val="28"/>
        </w:rPr>
        <w:t>the reports of annual school censuses</w:t>
      </w:r>
      <w:r w:rsidR="001E4773" w:rsidRPr="00E54845">
        <w:rPr>
          <w:rFonts w:ascii="Times New Roman" w:hAnsi="Times New Roman" w:cs="Times New Roman"/>
          <w:sz w:val="28"/>
          <w:szCs w:val="28"/>
        </w:rPr>
        <w:t xml:space="preserve"> (ASC)</w:t>
      </w:r>
      <w:r w:rsidRPr="00E54845">
        <w:rPr>
          <w:rFonts w:ascii="Times New Roman" w:hAnsi="Times New Roman" w:cs="Times New Roman"/>
          <w:sz w:val="28"/>
          <w:szCs w:val="28"/>
        </w:rPr>
        <w:t xml:space="preserve"> published by Ministries of Educ</w:t>
      </w:r>
      <w:r w:rsidR="00AC26FF" w:rsidRPr="00E54845">
        <w:rPr>
          <w:rFonts w:ascii="Times New Roman" w:hAnsi="Times New Roman" w:cs="Times New Roman"/>
          <w:sz w:val="28"/>
          <w:szCs w:val="28"/>
        </w:rPr>
        <w:t>ation, other publications with T</w:t>
      </w:r>
      <w:r w:rsidRPr="00E54845">
        <w:rPr>
          <w:rFonts w:ascii="Times New Roman" w:hAnsi="Times New Roman" w:cs="Times New Roman"/>
          <w:sz w:val="28"/>
          <w:szCs w:val="28"/>
        </w:rPr>
        <w:t>AR estimates</w:t>
      </w:r>
      <w:r w:rsidR="001E4773" w:rsidRPr="00E54845">
        <w:rPr>
          <w:rFonts w:ascii="Times New Roman" w:hAnsi="Times New Roman" w:cs="Times New Roman"/>
          <w:sz w:val="28"/>
          <w:szCs w:val="28"/>
        </w:rPr>
        <w:t xml:space="preserve"> (including Education Sector Reviews)</w:t>
      </w:r>
      <w:r w:rsidRPr="00E54845">
        <w:rPr>
          <w:rFonts w:ascii="Times New Roman" w:hAnsi="Times New Roman" w:cs="Times New Roman"/>
          <w:sz w:val="28"/>
          <w:szCs w:val="28"/>
        </w:rPr>
        <w:t xml:space="preserve">, and the data base </w:t>
      </w:r>
      <w:r w:rsidR="00AC26FF" w:rsidRPr="00E54845">
        <w:rPr>
          <w:rFonts w:ascii="Times New Roman" w:hAnsi="Times New Roman" w:cs="Times New Roman"/>
          <w:sz w:val="28"/>
          <w:szCs w:val="28"/>
        </w:rPr>
        <w:t xml:space="preserve">of the Unesco Institute of Statistics (UIS) </w:t>
      </w:r>
      <w:r w:rsidRPr="00E54845">
        <w:rPr>
          <w:rFonts w:ascii="Times New Roman" w:hAnsi="Times New Roman" w:cs="Times New Roman"/>
          <w:sz w:val="28"/>
          <w:szCs w:val="28"/>
        </w:rPr>
        <w:t xml:space="preserve">on teacher attrition. </w:t>
      </w:r>
      <w:r w:rsidR="001E4773" w:rsidRPr="00E54845">
        <w:rPr>
          <w:rFonts w:ascii="Times New Roman" w:hAnsi="Times New Roman" w:cs="Times New Roman"/>
          <w:sz w:val="28"/>
          <w:szCs w:val="28"/>
        </w:rPr>
        <w:t>Whereas the majority of ASC reports in Anglophone Afric</w:t>
      </w:r>
      <w:r w:rsidR="00AC26FF" w:rsidRPr="00E54845">
        <w:rPr>
          <w:rFonts w:ascii="Times New Roman" w:hAnsi="Times New Roman" w:cs="Times New Roman"/>
          <w:sz w:val="28"/>
          <w:szCs w:val="28"/>
        </w:rPr>
        <w:t>a present basic information on T</w:t>
      </w:r>
      <w:r w:rsidR="001E4773" w:rsidRPr="00E54845">
        <w:rPr>
          <w:rFonts w:ascii="Times New Roman" w:hAnsi="Times New Roman" w:cs="Times New Roman"/>
          <w:sz w:val="28"/>
          <w:szCs w:val="28"/>
        </w:rPr>
        <w:t xml:space="preserve">ARs, this is rarely the case in Francophone and Lusophone Africa. Consequently, primary reliance </w:t>
      </w:r>
      <w:r w:rsidR="00495D0B" w:rsidRPr="00E54845">
        <w:rPr>
          <w:rFonts w:ascii="Times New Roman" w:hAnsi="Times New Roman" w:cs="Times New Roman"/>
          <w:sz w:val="28"/>
          <w:szCs w:val="28"/>
        </w:rPr>
        <w:t xml:space="preserve">is placed </w:t>
      </w:r>
      <w:r w:rsidR="001E4773" w:rsidRPr="00E54845">
        <w:rPr>
          <w:rFonts w:ascii="Times New Roman" w:hAnsi="Times New Roman" w:cs="Times New Roman"/>
          <w:sz w:val="28"/>
          <w:szCs w:val="28"/>
        </w:rPr>
        <w:t>on the UIS database and other publications</w:t>
      </w:r>
      <w:r w:rsidR="00AC26FF" w:rsidRPr="00E54845">
        <w:rPr>
          <w:rFonts w:ascii="Times New Roman" w:hAnsi="Times New Roman" w:cs="Times New Roman"/>
          <w:sz w:val="28"/>
          <w:szCs w:val="28"/>
        </w:rPr>
        <w:t xml:space="preserve"> for these countries</w:t>
      </w:r>
      <w:r w:rsidR="001E4773" w:rsidRPr="00E54845">
        <w:rPr>
          <w:rFonts w:ascii="Times New Roman" w:hAnsi="Times New Roman" w:cs="Times New Roman"/>
          <w:sz w:val="28"/>
          <w:szCs w:val="28"/>
        </w:rPr>
        <w:t>. Unfortunately, Teacher Service Commissions</w:t>
      </w:r>
      <w:r w:rsidR="00145BBC" w:rsidRPr="00E54845">
        <w:rPr>
          <w:rFonts w:ascii="Times New Roman" w:hAnsi="Times New Roman" w:cs="Times New Roman"/>
          <w:sz w:val="28"/>
          <w:szCs w:val="28"/>
        </w:rPr>
        <w:t xml:space="preserve"> (or their equivalents) who are responsible for all aspects of the teacher human resource management, do not publish information on teacher recruitment and attrition.</w:t>
      </w:r>
    </w:p>
    <w:p w:rsidR="000E1F78" w:rsidRPr="00E54845" w:rsidRDefault="005E17EE"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The overall quality of the TAR data is likely to be good. In Anglophone Africa, the primary source </w:t>
      </w:r>
      <w:r w:rsidR="00E54845">
        <w:rPr>
          <w:rFonts w:ascii="Times New Roman" w:hAnsi="Times New Roman" w:cs="Times New Roman"/>
          <w:sz w:val="28"/>
          <w:szCs w:val="28"/>
        </w:rPr>
        <w:t xml:space="preserve">is </w:t>
      </w:r>
      <w:r w:rsidRPr="00E54845">
        <w:rPr>
          <w:rFonts w:ascii="Times New Roman" w:hAnsi="Times New Roman" w:cs="Times New Roman"/>
          <w:sz w:val="28"/>
          <w:szCs w:val="28"/>
        </w:rPr>
        <w:t>the ASC annual returns which are completed by school principals who have first- hand information on teacher departures. TAR estimates in Francophone Africa generally come directly from the administrative records of ministries of education and public service. It is possible that in the few countries which report exceptionally high TARs this may be because temporary/contract teachers and/or teachers who have transferred schools are included.</w:t>
      </w:r>
    </w:p>
    <w:p w:rsidR="003851C0" w:rsidRPr="00E54845" w:rsidRDefault="003851C0" w:rsidP="00646CA0">
      <w:pPr>
        <w:jc w:val="both"/>
        <w:rPr>
          <w:rFonts w:ascii="Times New Roman" w:hAnsi="Times New Roman" w:cs="Times New Roman"/>
          <w:b/>
          <w:i/>
          <w:sz w:val="28"/>
          <w:szCs w:val="28"/>
        </w:rPr>
      </w:pPr>
      <w:r w:rsidRPr="00E54845">
        <w:rPr>
          <w:rFonts w:ascii="Times New Roman" w:hAnsi="Times New Roman" w:cs="Times New Roman"/>
          <w:b/>
          <w:i/>
          <w:sz w:val="28"/>
          <w:szCs w:val="28"/>
        </w:rPr>
        <w:t xml:space="preserve">4. </w:t>
      </w:r>
      <w:r w:rsidR="003055CE" w:rsidRPr="00E54845">
        <w:rPr>
          <w:rFonts w:ascii="Times New Roman" w:hAnsi="Times New Roman" w:cs="Times New Roman"/>
          <w:b/>
          <w:i/>
          <w:sz w:val="28"/>
          <w:szCs w:val="28"/>
        </w:rPr>
        <w:t xml:space="preserve">Teacher attrition: </w:t>
      </w:r>
      <w:r w:rsidR="007425B2" w:rsidRPr="00E54845">
        <w:rPr>
          <w:rFonts w:ascii="Times New Roman" w:hAnsi="Times New Roman" w:cs="Times New Roman"/>
          <w:b/>
          <w:i/>
          <w:sz w:val="28"/>
          <w:szCs w:val="28"/>
        </w:rPr>
        <w:t>national incidence</w:t>
      </w:r>
      <w:r w:rsidR="000E1F78" w:rsidRPr="00E54845">
        <w:rPr>
          <w:rFonts w:ascii="Times New Roman" w:hAnsi="Times New Roman" w:cs="Times New Roman"/>
          <w:b/>
          <w:i/>
          <w:sz w:val="28"/>
          <w:szCs w:val="28"/>
        </w:rPr>
        <w:t xml:space="preserve">, </w:t>
      </w:r>
      <w:r w:rsidR="003055CE" w:rsidRPr="00E54845">
        <w:rPr>
          <w:rFonts w:ascii="Times New Roman" w:hAnsi="Times New Roman" w:cs="Times New Roman"/>
          <w:b/>
          <w:i/>
          <w:sz w:val="28"/>
          <w:szCs w:val="28"/>
        </w:rPr>
        <w:t xml:space="preserve">breakdown, and trends </w:t>
      </w:r>
    </w:p>
    <w:p w:rsidR="00B506E7" w:rsidRPr="00E54845" w:rsidRDefault="00E54845" w:rsidP="00646CA0">
      <w:pPr>
        <w:jc w:val="both"/>
        <w:rPr>
          <w:rFonts w:ascii="Times New Roman" w:hAnsi="Times New Roman" w:cs="Times New Roman"/>
          <w:i/>
          <w:sz w:val="28"/>
          <w:szCs w:val="28"/>
        </w:rPr>
      </w:pPr>
      <w:r>
        <w:rPr>
          <w:rFonts w:ascii="Times New Roman" w:hAnsi="Times New Roman" w:cs="Times New Roman"/>
          <w:i/>
          <w:sz w:val="28"/>
          <w:szCs w:val="28"/>
        </w:rPr>
        <w:t xml:space="preserve">4.1 </w:t>
      </w:r>
      <w:r w:rsidR="00735117" w:rsidRPr="00E54845">
        <w:rPr>
          <w:rFonts w:ascii="Times New Roman" w:hAnsi="Times New Roman" w:cs="Times New Roman"/>
          <w:i/>
          <w:sz w:val="28"/>
          <w:szCs w:val="28"/>
        </w:rPr>
        <w:t>National incidence</w:t>
      </w:r>
    </w:p>
    <w:p w:rsidR="00735117" w:rsidRPr="00E54845" w:rsidRDefault="007425B2" w:rsidP="00646CA0">
      <w:pPr>
        <w:jc w:val="both"/>
        <w:rPr>
          <w:rFonts w:ascii="Times New Roman" w:hAnsi="Times New Roman" w:cs="Times New Roman"/>
          <w:sz w:val="28"/>
          <w:szCs w:val="28"/>
        </w:rPr>
      </w:pPr>
      <w:r w:rsidRPr="00E54845">
        <w:rPr>
          <w:rFonts w:ascii="Times New Roman" w:hAnsi="Times New Roman" w:cs="Times New Roman"/>
          <w:sz w:val="28"/>
          <w:szCs w:val="28"/>
        </w:rPr>
        <w:t>Figure 1 presents the national</w:t>
      </w:r>
      <w:r w:rsidR="00DE1497" w:rsidRPr="00E54845">
        <w:rPr>
          <w:rFonts w:ascii="Times New Roman" w:hAnsi="Times New Roman" w:cs="Times New Roman"/>
          <w:sz w:val="28"/>
          <w:szCs w:val="28"/>
        </w:rPr>
        <w:t>, unweighted</w:t>
      </w:r>
      <w:r w:rsidRPr="00E54845">
        <w:rPr>
          <w:rFonts w:ascii="Times New Roman" w:hAnsi="Times New Roman" w:cs="Times New Roman"/>
          <w:sz w:val="28"/>
          <w:szCs w:val="28"/>
        </w:rPr>
        <w:t xml:space="preserve"> attrition rates for primary school teachers during the mid-late 2010s among the 30 countries in SSA for which data is available. </w:t>
      </w:r>
      <w:r w:rsidR="00DE1497" w:rsidRPr="00E54845">
        <w:rPr>
          <w:rFonts w:ascii="Times New Roman" w:hAnsi="Times New Roman" w:cs="Times New Roman"/>
          <w:sz w:val="28"/>
          <w:szCs w:val="28"/>
        </w:rPr>
        <w:t>The mean TAR is 4.8% which would appear to substantiate the assumed rate of 5</w:t>
      </w:r>
      <w:r w:rsidR="001403AA" w:rsidRPr="00E54845">
        <w:rPr>
          <w:rFonts w:ascii="Times New Roman" w:hAnsi="Times New Roman" w:cs="Times New Roman"/>
          <w:sz w:val="28"/>
          <w:szCs w:val="28"/>
        </w:rPr>
        <w:t>.0</w:t>
      </w:r>
      <w:r w:rsidR="00DE1497" w:rsidRPr="00E54845">
        <w:rPr>
          <w:rFonts w:ascii="Times New Roman" w:hAnsi="Times New Roman" w:cs="Times New Roman"/>
          <w:sz w:val="28"/>
          <w:szCs w:val="28"/>
        </w:rPr>
        <w:t xml:space="preserve">% used in the UIS </w:t>
      </w:r>
      <w:r w:rsidR="0019460C" w:rsidRPr="00E54845">
        <w:rPr>
          <w:rFonts w:ascii="Times New Roman" w:hAnsi="Times New Roman" w:cs="Times New Roman"/>
          <w:sz w:val="28"/>
          <w:szCs w:val="28"/>
        </w:rPr>
        <w:t xml:space="preserve">2030 </w:t>
      </w:r>
      <w:r w:rsidR="001403AA" w:rsidRPr="00E54845">
        <w:rPr>
          <w:rFonts w:ascii="Times New Roman" w:hAnsi="Times New Roman" w:cs="Times New Roman"/>
          <w:sz w:val="28"/>
          <w:szCs w:val="28"/>
        </w:rPr>
        <w:t xml:space="preserve">teacher requirement </w:t>
      </w:r>
      <w:r w:rsidR="00DE1497" w:rsidRPr="00E54845">
        <w:rPr>
          <w:rFonts w:ascii="Times New Roman" w:hAnsi="Times New Roman" w:cs="Times New Roman"/>
          <w:sz w:val="28"/>
          <w:szCs w:val="28"/>
        </w:rPr>
        <w:t xml:space="preserve">projections. However, excluding the four countries (Burundi, Namibia, Angola and Guinea) which have exceptionally high reported TARs, the mean TAR declines to 2.8% which is almost the same as the overall median country value of 3.0%. It is also noticeable that the dispersion of country TARs around this median value is </w:t>
      </w:r>
      <w:r w:rsidR="001403AA" w:rsidRPr="00E54845">
        <w:rPr>
          <w:rFonts w:ascii="Times New Roman" w:hAnsi="Times New Roman" w:cs="Times New Roman"/>
          <w:sz w:val="28"/>
          <w:szCs w:val="28"/>
        </w:rPr>
        <w:t xml:space="preserve">quite small </w:t>
      </w:r>
      <w:r w:rsidR="00DE1497" w:rsidRPr="00E54845">
        <w:rPr>
          <w:rFonts w:ascii="Times New Roman" w:hAnsi="Times New Roman" w:cs="Times New Roman"/>
          <w:sz w:val="28"/>
          <w:szCs w:val="28"/>
        </w:rPr>
        <w:t>with an inter-quartile difference of just 2.6 percentage points.</w:t>
      </w:r>
      <w:r w:rsidR="00DE1497" w:rsidRPr="00E54845">
        <w:rPr>
          <w:rStyle w:val="FootnoteReference"/>
          <w:rFonts w:ascii="Times New Roman" w:hAnsi="Times New Roman" w:cs="Times New Roman"/>
          <w:sz w:val="28"/>
          <w:szCs w:val="28"/>
        </w:rPr>
        <w:footnoteReference w:id="3"/>
      </w:r>
      <w:r w:rsidR="00DE1497" w:rsidRPr="00E54845">
        <w:rPr>
          <w:rFonts w:ascii="Times New Roman" w:hAnsi="Times New Roman" w:cs="Times New Roman"/>
          <w:sz w:val="28"/>
          <w:szCs w:val="28"/>
        </w:rPr>
        <w:t xml:space="preserve">  </w:t>
      </w:r>
      <w:r w:rsidR="00AD6B66" w:rsidRPr="00E54845">
        <w:rPr>
          <w:rFonts w:ascii="Times New Roman" w:hAnsi="Times New Roman" w:cs="Times New Roman"/>
          <w:sz w:val="28"/>
          <w:szCs w:val="28"/>
        </w:rPr>
        <w:t xml:space="preserve">The weighted mean TAR which takes into account the relative size of the teaching force across these countries is </w:t>
      </w:r>
      <w:r w:rsidR="00BD622A" w:rsidRPr="00E54845">
        <w:rPr>
          <w:rFonts w:ascii="Times New Roman" w:hAnsi="Times New Roman" w:cs="Times New Roman"/>
          <w:sz w:val="28"/>
          <w:szCs w:val="28"/>
        </w:rPr>
        <w:t>3.3</w:t>
      </w:r>
      <w:r w:rsidR="00AD6B66" w:rsidRPr="00E54845">
        <w:rPr>
          <w:rFonts w:ascii="Times New Roman" w:hAnsi="Times New Roman" w:cs="Times New Roman"/>
          <w:sz w:val="28"/>
          <w:szCs w:val="28"/>
        </w:rPr>
        <w:t>%</w:t>
      </w:r>
      <w:r w:rsidR="00BD622A" w:rsidRPr="00E54845">
        <w:rPr>
          <w:rFonts w:ascii="Times New Roman" w:hAnsi="Times New Roman" w:cs="Times New Roman"/>
          <w:sz w:val="28"/>
          <w:szCs w:val="28"/>
        </w:rPr>
        <w:t xml:space="preserve">. </w:t>
      </w:r>
      <w:r w:rsidR="00AD6B66" w:rsidRPr="00E54845">
        <w:rPr>
          <w:rFonts w:ascii="Times New Roman" w:hAnsi="Times New Roman" w:cs="Times New Roman"/>
          <w:sz w:val="28"/>
          <w:szCs w:val="28"/>
        </w:rPr>
        <w:t xml:space="preserve">Since </w:t>
      </w:r>
      <w:r w:rsidR="00520809" w:rsidRPr="00E54845">
        <w:rPr>
          <w:rFonts w:ascii="Times New Roman" w:hAnsi="Times New Roman" w:cs="Times New Roman"/>
          <w:sz w:val="28"/>
          <w:szCs w:val="28"/>
        </w:rPr>
        <w:t xml:space="preserve">nearly two-thirds of </w:t>
      </w:r>
      <w:r w:rsidR="005669A2" w:rsidRPr="00E54845">
        <w:rPr>
          <w:rFonts w:ascii="Times New Roman" w:hAnsi="Times New Roman" w:cs="Times New Roman"/>
          <w:sz w:val="28"/>
          <w:szCs w:val="28"/>
        </w:rPr>
        <w:t>the Unesco</w:t>
      </w:r>
      <w:r w:rsidR="00AD6B66" w:rsidRPr="00E54845">
        <w:rPr>
          <w:rFonts w:ascii="Times New Roman" w:hAnsi="Times New Roman" w:cs="Times New Roman"/>
          <w:sz w:val="28"/>
          <w:szCs w:val="28"/>
        </w:rPr>
        <w:t xml:space="preserve"> </w:t>
      </w:r>
      <w:r w:rsidR="00520809" w:rsidRPr="00E54845">
        <w:rPr>
          <w:rFonts w:ascii="Times New Roman" w:hAnsi="Times New Roman" w:cs="Times New Roman"/>
          <w:sz w:val="28"/>
          <w:szCs w:val="28"/>
        </w:rPr>
        <w:t xml:space="preserve">requirement </w:t>
      </w:r>
      <w:r w:rsidR="00AD6B66" w:rsidRPr="00E54845">
        <w:rPr>
          <w:rFonts w:ascii="Times New Roman" w:hAnsi="Times New Roman" w:cs="Times New Roman"/>
          <w:sz w:val="28"/>
          <w:szCs w:val="28"/>
        </w:rPr>
        <w:t xml:space="preserve">projections for </w:t>
      </w:r>
      <w:r w:rsidR="007C2E3B" w:rsidRPr="00E54845">
        <w:rPr>
          <w:rFonts w:ascii="Times New Roman" w:hAnsi="Times New Roman" w:cs="Times New Roman"/>
          <w:sz w:val="28"/>
          <w:szCs w:val="28"/>
        </w:rPr>
        <w:t xml:space="preserve">primary school teachers by </w:t>
      </w:r>
      <w:r w:rsidR="00AD6B66" w:rsidRPr="00E54845">
        <w:rPr>
          <w:rFonts w:ascii="Times New Roman" w:hAnsi="Times New Roman" w:cs="Times New Roman"/>
          <w:sz w:val="28"/>
          <w:szCs w:val="28"/>
        </w:rPr>
        <w:t xml:space="preserve">2030 are accounted for by teacher attrition, </w:t>
      </w:r>
      <w:r w:rsidR="00520809" w:rsidRPr="00E54845">
        <w:rPr>
          <w:rFonts w:ascii="Times New Roman" w:hAnsi="Times New Roman" w:cs="Times New Roman"/>
          <w:sz w:val="28"/>
          <w:szCs w:val="28"/>
        </w:rPr>
        <w:t>using a TAR of 3.3%</w:t>
      </w:r>
      <w:r w:rsidR="0019460C" w:rsidRPr="00E54845">
        <w:rPr>
          <w:rFonts w:ascii="Times New Roman" w:hAnsi="Times New Roman" w:cs="Times New Roman"/>
          <w:sz w:val="28"/>
          <w:szCs w:val="28"/>
        </w:rPr>
        <w:t xml:space="preserve"> instead of </w:t>
      </w:r>
      <w:r w:rsidR="00520809" w:rsidRPr="00E54845">
        <w:rPr>
          <w:rFonts w:ascii="Times New Roman" w:hAnsi="Times New Roman" w:cs="Times New Roman"/>
          <w:sz w:val="28"/>
          <w:szCs w:val="28"/>
        </w:rPr>
        <w:t xml:space="preserve">5.0%, reduces </w:t>
      </w:r>
      <w:r w:rsidR="007C2E3B" w:rsidRPr="00E54845">
        <w:rPr>
          <w:rFonts w:ascii="Times New Roman" w:hAnsi="Times New Roman" w:cs="Times New Roman"/>
          <w:sz w:val="28"/>
          <w:szCs w:val="28"/>
        </w:rPr>
        <w:t xml:space="preserve">total teacher requirements </w:t>
      </w:r>
      <w:r w:rsidR="0067773C" w:rsidRPr="00E54845">
        <w:rPr>
          <w:rFonts w:ascii="Times New Roman" w:hAnsi="Times New Roman" w:cs="Times New Roman"/>
          <w:sz w:val="28"/>
          <w:szCs w:val="28"/>
        </w:rPr>
        <w:t xml:space="preserve">to 4.75 </w:t>
      </w:r>
      <w:r w:rsidR="00520809" w:rsidRPr="00E54845">
        <w:rPr>
          <w:rFonts w:ascii="Times New Roman" w:hAnsi="Times New Roman" w:cs="Times New Roman"/>
          <w:sz w:val="28"/>
          <w:szCs w:val="28"/>
        </w:rPr>
        <w:t>million</w:t>
      </w:r>
      <w:r w:rsidR="005669A2" w:rsidRPr="00E54845">
        <w:rPr>
          <w:rFonts w:ascii="Times New Roman" w:hAnsi="Times New Roman" w:cs="Times New Roman"/>
          <w:sz w:val="28"/>
          <w:szCs w:val="28"/>
        </w:rPr>
        <w:t xml:space="preserve">. This </w:t>
      </w:r>
      <w:r w:rsidR="00520809" w:rsidRPr="00E54845">
        <w:rPr>
          <w:rFonts w:ascii="Times New Roman" w:hAnsi="Times New Roman" w:cs="Times New Roman"/>
          <w:sz w:val="28"/>
          <w:szCs w:val="28"/>
        </w:rPr>
        <w:t xml:space="preserve">is </w:t>
      </w:r>
      <w:r w:rsidR="0067773C" w:rsidRPr="00E54845">
        <w:rPr>
          <w:rFonts w:ascii="Times New Roman" w:hAnsi="Times New Roman" w:cs="Times New Roman"/>
          <w:sz w:val="28"/>
          <w:szCs w:val="28"/>
        </w:rPr>
        <w:t xml:space="preserve">well over </w:t>
      </w:r>
      <w:r w:rsidR="00520809" w:rsidRPr="00E54845">
        <w:rPr>
          <w:rFonts w:ascii="Times New Roman" w:hAnsi="Times New Roman" w:cs="Times New Roman"/>
          <w:sz w:val="28"/>
          <w:szCs w:val="28"/>
        </w:rPr>
        <w:t xml:space="preserve">one million fewer teachers than </w:t>
      </w:r>
      <w:r w:rsidR="007C2E3B" w:rsidRPr="00E54845">
        <w:rPr>
          <w:rFonts w:ascii="Times New Roman" w:hAnsi="Times New Roman" w:cs="Times New Roman"/>
          <w:sz w:val="28"/>
          <w:szCs w:val="28"/>
        </w:rPr>
        <w:lastRenderedPageBreak/>
        <w:t xml:space="preserve">the </w:t>
      </w:r>
      <w:r w:rsidR="00520809" w:rsidRPr="00E54845">
        <w:rPr>
          <w:rFonts w:ascii="Times New Roman" w:hAnsi="Times New Roman" w:cs="Times New Roman"/>
          <w:sz w:val="28"/>
          <w:szCs w:val="28"/>
        </w:rPr>
        <w:t xml:space="preserve">six </w:t>
      </w:r>
      <w:r w:rsidR="007C2E3B" w:rsidRPr="00E54845">
        <w:rPr>
          <w:rFonts w:ascii="Times New Roman" w:hAnsi="Times New Roman" w:cs="Times New Roman"/>
          <w:sz w:val="28"/>
          <w:szCs w:val="28"/>
        </w:rPr>
        <w:t xml:space="preserve">million </w:t>
      </w:r>
      <w:r w:rsidR="0067773C" w:rsidRPr="00E54845">
        <w:rPr>
          <w:rFonts w:ascii="Times New Roman" w:hAnsi="Times New Roman" w:cs="Times New Roman"/>
          <w:sz w:val="28"/>
          <w:szCs w:val="28"/>
        </w:rPr>
        <w:t xml:space="preserve">additional </w:t>
      </w:r>
      <w:r w:rsidR="007C2E3B" w:rsidRPr="00E54845">
        <w:rPr>
          <w:rFonts w:ascii="Times New Roman" w:hAnsi="Times New Roman" w:cs="Times New Roman"/>
          <w:sz w:val="28"/>
          <w:szCs w:val="28"/>
        </w:rPr>
        <w:t xml:space="preserve">teachers that </w:t>
      </w:r>
      <w:r w:rsidR="005669A2" w:rsidRPr="00E54845">
        <w:rPr>
          <w:rFonts w:ascii="Times New Roman" w:hAnsi="Times New Roman" w:cs="Times New Roman"/>
          <w:sz w:val="28"/>
          <w:szCs w:val="28"/>
        </w:rPr>
        <w:t>UIS</w:t>
      </w:r>
      <w:r w:rsidR="007C2E3B" w:rsidRPr="00E54845">
        <w:rPr>
          <w:rFonts w:ascii="Times New Roman" w:hAnsi="Times New Roman" w:cs="Times New Roman"/>
          <w:sz w:val="28"/>
          <w:szCs w:val="28"/>
        </w:rPr>
        <w:t xml:space="preserve"> estimates </w:t>
      </w:r>
      <w:r w:rsidR="0067773C" w:rsidRPr="00E54845">
        <w:rPr>
          <w:rFonts w:ascii="Times New Roman" w:hAnsi="Times New Roman" w:cs="Times New Roman"/>
          <w:sz w:val="28"/>
          <w:szCs w:val="28"/>
        </w:rPr>
        <w:t xml:space="preserve">need to be recruited by 2030 </w:t>
      </w:r>
      <w:r w:rsidR="007C2E3B" w:rsidRPr="00E54845">
        <w:rPr>
          <w:rFonts w:ascii="Times New Roman" w:hAnsi="Times New Roman" w:cs="Times New Roman"/>
          <w:sz w:val="28"/>
          <w:szCs w:val="28"/>
        </w:rPr>
        <w:t xml:space="preserve">in order to meet the SDG education goals.     </w:t>
      </w:r>
      <w:r w:rsidR="00AD6B66" w:rsidRPr="00E54845">
        <w:rPr>
          <w:rFonts w:ascii="Times New Roman" w:hAnsi="Times New Roman" w:cs="Times New Roman"/>
          <w:sz w:val="28"/>
          <w:szCs w:val="28"/>
        </w:rPr>
        <w:t xml:space="preserve">  </w:t>
      </w:r>
    </w:p>
    <w:p w:rsidR="0070771F" w:rsidRPr="00E54845" w:rsidRDefault="0070771F" w:rsidP="00646CA0">
      <w:pPr>
        <w:jc w:val="both"/>
        <w:rPr>
          <w:rFonts w:ascii="Times New Roman" w:hAnsi="Times New Roman" w:cs="Times New Roman"/>
          <w:sz w:val="28"/>
          <w:szCs w:val="28"/>
        </w:rPr>
      </w:pPr>
      <w:r w:rsidRPr="00E54845">
        <w:rPr>
          <w:rFonts w:ascii="Times New Roman" w:hAnsi="Times New Roman" w:cs="Times New Roman"/>
          <w:noProof/>
          <w:sz w:val="28"/>
          <w:szCs w:val="28"/>
          <w:lang w:eastAsia="en-GB"/>
        </w:rPr>
        <w:drawing>
          <wp:inline distT="0" distB="0" distL="0" distR="0" wp14:anchorId="550418C5" wp14:editId="4CD6986C">
            <wp:extent cx="4680000" cy="27432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06E5" w:rsidRPr="00E54845" w:rsidRDefault="00143DC7" w:rsidP="00646CA0">
      <w:pPr>
        <w:jc w:val="both"/>
        <w:rPr>
          <w:rFonts w:ascii="Times New Roman" w:hAnsi="Times New Roman" w:cs="Times New Roman"/>
          <w:sz w:val="28"/>
          <w:szCs w:val="28"/>
        </w:rPr>
      </w:pPr>
      <w:r w:rsidRPr="00E54845">
        <w:rPr>
          <w:rFonts w:ascii="Times New Roman" w:hAnsi="Times New Roman" w:cs="Times New Roman"/>
          <w:sz w:val="28"/>
          <w:szCs w:val="28"/>
        </w:rPr>
        <w:t>The mean TAR for secondary school teachers for the 14 countries with available estimates is 7.3% and the median value is 4.4</w:t>
      </w:r>
      <w:r w:rsidR="00BD1C9A" w:rsidRPr="00E54845">
        <w:rPr>
          <w:rFonts w:ascii="Times New Roman" w:hAnsi="Times New Roman" w:cs="Times New Roman"/>
          <w:sz w:val="28"/>
          <w:szCs w:val="28"/>
        </w:rPr>
        <w:t>%</w:t>
      </w:r>
      <w:r w:rsidRPr="00E54845">
        <w:rPr>
          <w:rFonts w:ascii="Times New Roman" w:hAnsi="Times New Roman" w:cs="Times New Roman"/>
          <w:sz w:val="28"/>
          <w:szCs w:val="28"/>
        </w:rPr>
        <w:t>, both which are around 50% higher than the corresponding figures for primary school teachers</w:t>
      </w:r>
      <w:r w:rsidR="00BD1C9A" w:rsidRPr="00E54845">
        <w:rPr>
          <w:rFonts w:ascii="Times New Roman" w:hAnsi="Times New Roman" w:cs="Times New Roman"/>
          <w:sz w:val="28"/>
          <w:szCs w:val="28"/>
        </w:rPr>
        <w:t xml:space="preserve"> (see figure 2)</w:t>
      </w:r>
      <w:r w:rsidRPr="00E54845">
        <w:rPr>
          <w:rFonts w:ascii="Times New Roman" w:hAnsi="Times New Roman" w:cs="Times New Roman"/>
          <w:sz w:val="28"/>
          <w:szCs w:val="28"/>
        </w:rPr>
        <w:t>. Again, however, excluding the four countries with exceptionally high TARs (Guinea, Niger, Rwanda and Sierra Leone), reduces the mean</w:t>
      </w:r>
      <w:r w:rsidR="007B4272" w:rsidRPr="00E54845">
        <w:rPr>
          <w:rFonts w:ascii="Times New Roman" w:hAnsi="Times New Roman" w:cs="Times New Roman"/>
          <w:sz w:val="28"/>
          <w:szCs w:val="28"/>
        </w:rPr>
        <w:t xml:space="preserve"> TAR to 3.7% and the median TAR to 3.4</w:t>
      </w:r>
      <w:r w:rsidRPr="00E54845">
        <w:rPr>
          <w:rFonts w:ascii="Times New Roman" w:hAnsi="Times New Roman" w:cs="Times New Roman"/>
          <w:sz w:val="28"/>
          <w:szCs w:val="28"/>
        </w:rPr>
        <w:t xml:space="preserve">%. The unweighted </w:t>
      </w:r>
      <w:r w:rsidR="00305B7E" w:rsidRPr="00E54845">
        <w:rPr>
          <w:rFonts w:ascii="Times New Roman" w:hAnsi="Times New Roman" w:cs="Times New Roman"/>
          <w:sz w:val="28"/>
          <w:szCs w:val="28"/>
        </w:rPr>
        <w:t xml:space="preserve">mean </w:t>
      </w:r>
      <w:r w:rsidRPr="00E54845">
        <w:rPr>
          <w:rFonts w:ascii="Times New Roman" w:hAnsi="Times New Roman" w:cs="Times New Roman"/>
          <w:sz w:val="28"/>
          <w:szCs w:val="28"/>
        </w:rPr>
        <w:t>TAR for t</w:t>
      </w:r>
      <w:r w:rsidR="00BD1C9A" w:rsidRPr="00E54845">
        <w:rPr>
          <w:rFonts w:ascii="Times New Roman" w:hAnsi="Times New Roman" w:cs="Times New Roman"/>
          <w:sz w:val="28"/>
          <w:szCs w:val="28"/>
        </w:rPr>
        <w:t xml:space="preserve">he entire sample </w:t>
      </w:r>
      <w:r w:rsidR="0067773C" w:rsidRPr="00E54845">
        <w:rPr>
          <w:rFonts w:ascii="Times New Roman" w:hAnsi="Times New Roman" w:cs="Times New Roman"/>
          <w:sz w:val="28"/>
          <w:szCs w:val="28"/>
        </w:rPr>
        <w:t>m</w:t>
      </w:r>
      <w:r w:rsidR="00BD1C9A" w:rsidRPr="00E54845">
        <w:rPr>
          <w:rFonts w:ascii="Times New Roman" w:hAnsi="Times New Roman" w:cs="Times New Roman"/>
          <w:sz w:val="28"/>
          <w:szCs w:val="28"/>
        </w:rPr>
        <w:t xml:space="preserve">inus the four outliers is </w:t>
      </w:r>
      <w:r w:rsidR="000A23E8" w:rsidRPr="00E54845">
        <w:rPr>
          <w:rFonts w:ascii="Times New Roman" w:hAnsi="Times New Roman" w:cs="Times New Roman"/>
          <w:sz w:val="28"/>
          <w:szCs w:val="28"/>
        </w:rPr>
        <w:t>3.6</w:t>
      </w:r>
      <w:r w:rsidR="00BD1C9A" w:rsidRPr="00E54845">
        <w:rPr>
          <w:rFonts w:ascii="Times New Roman" w:hAnsi="Times New Roman" w:cs="Times New Roman"/>
          <w:sz w:val="28"/>
          <w:szCs w:val="28"/>
        </w:rPr>
        <w:t>%.</w:t>
      </w:r>
    </w:p>
    <w:p w:rsidR="004E7552" w:rsidRPr="00E54845" w:rsidRDefault="004E7552" w:rsidP="00646CA0">
      <w:pPr>
        <w:jc w:val="both"/>
        <w:rPr>
          <w:rFonts w:ascii="Times New Roman" w:hAnsi="Times New Roman" w:cs="Times New Roman"/>
          <w:i/>
          <w:sz w:val="28"/>
          <w:szCs w:val="28"/>
        </w:rPr>
      </w:pPr>
      <w:r w:rsidRPr="00E54845">
        <w:rPr>
          <w:rFonts w:ascii="Times New Roman" w:hAnsi="Times New Roman" w:cs="Times New Roman"/>
          <w:noProof/>
          <w:sz w:val="28"/>
          <w:szCs w:val="28"/>
          <w:lang w:eastAsia="en-GB"/>
        </w:rPr>
        <w:drawing>
          <wp:inline distT="0" distB="0" distL="0" distR="0" wp14:anchorId="16E68B0F" wp14:editId="1059B2A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5F9E" w:rsidRPr="00E54845" w:rsidRDefault="00DD5F9E" w:rsidP="00646CA0">
      <w:pPr>
        <w:jc w:val="both"/>
        <w:rPr>
          <w:rFonts w:ascii="Times New Roman" w:hAnsi="Times New Roman" w:cs="Times New Roman"/>
          <w:i/>
          <w:sz w:val="28"/>
          <w:szCs w:val="28"/>
        </w:rPr>
      </w:pPr>
      <w:r w:rsidRPr="00E54845">
        <w:rPr>
          <w:rFonts w:ascii="Times New Roman" w:hAnsi="Times New Roman" w:cs="Times New Roman"/>
          <w:i/>
          <w:sz w:val="28"/>
          <w:szCs w:val="28"/>
        </w:rPr>
        <w:t xml:space="preserve">Attrition </w:t>
      </w:r>
      <w:r w:rsidR="003027B3" w:rsidRPr="00E54845">
        <w:rPr>
          <w:rFonts w:ascii="Times New Roman" w:hAnsi="Times New Roman" w:cs="Times New Roman"/>
          <w:i/>
          <w:sz w:val="28"/>
          <w:szCs w:val="28"/>
        </w:rPr>
        <w:t>breakdown</w:t>
      </w:r>
      <w:r w:rsidR="00F52145" w:rsidRPr="00E54845">
        <w:rPr>
          <w:rFonts w:ascii="Times New Roman" w:hAnsi="Times New Roman" w:cs="Times New Roman"/>
          <w:i/>
          <w:sz w:val="28"/>
          <w:szCs w:val="28"/>
        </w:rPr>
        <w:t xml:space="preserve"> by reason</w:t>
      </w:r>
    </w:p>
    <w:p w:rsidR="006B0CC7" w:rsidRPr="00E54845" w:rsidRDefault="00DD5F9E"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Information on the breakdown of teacher attrition </w:t>
      </w:r>
      <w:r w:rsidR="001403AA" w:rsidRPr="00E54845">
        <w:rPr>
          <w:rFonts w:ascii="Times New Roman" w:hAnsi="Times New Roman" w:cs="Times New Roman"/>
          <w:sz w:val="28"/>
          <w:szCs w:val="28"/>
        </w:rPr>
        <w:t xml:space="preserve">by reason </w:t>
      </w:r>
      <w:r w:rsidRPr="00E54845">
        <w:rPr>
          <w:rFonts w:ascii="Times New Roman" w:hAnsi="Times New Roman" w:cs="Times New Roman"/>
          <w:sz w:val="28"/>
          <w:szCs w:val="28"/>
        </w:rPr>
        <w:t xml:space="preserve">is limited to nine Anglophone countries in SSA. </w:t>
      </w:r>
      <w:r w:rsidR="00417CD5" w:rsidRPr="00E54845">
        <w:rPr>
          <w:rFonts w:ascii="Times New Roman" w:hAnsi="Times New Roman" w:cs="Times New Roman"/>
          <w:sz w:val="28"/>
          <w:szCs w:val="28"/>
        </w:rPr>
        <w:t xml:space="preserve">This indicates that, for the large majority of these </w:t>
      </w:r>
      <w:r w:rsidR="00417CD5" w:rsidRPr="00E54845">
        <w:rPr>
          <w:rFonts w:ascii="Times New Roman" w:hAnsi="Times New Roman" w:cs="Times New Roman"/>
          <w:sz w:val="28"/>
          <w:szCs w:val="28"/>
        </w:rPr>
        <w:lastRenderedPageBreak/>
        <w:t xml:space="preserve">countries, voluntary attrition is very low with resignation rates of less than one percent (see Figure </w:t>
      </w:r>
      <w:r w:rsidR="005123E3" w:rsidRPr="00E54845">
        <w:rPr>
          <w:rFonts w:ascii="Times New Roman" w:hAnsi="Times New Roman" w:cs="Times New Roman"/>
          <w:sz w:val="28"/>
          <w:szCs w:val="28"/>
        </w:rPr>
        <w:t>3</w:t>
      </w:r>
      <w:r w:rsidR="00417CD5" w:rsidRPr="00E54845">
        <w:rPr>
          <w:rFonts w:ascii="Times New Roman" w:hAnsi="Times New Roman" w:cs="Times New Roman"/>
          <w:sz w:val="28"/>
          <w:szCs w:val="28"/>
        </w:rPr>
        <w:t>)</w:t>
      </w:r>
      <w:r w:rsidR="00BC377C" w:rsidRPr="00E54845">
        <w:rPr>
          <w:rStyle w:val="FootnoteReference"/>
          <w:rFonts w:ascii="Times New Roman" w:hAnsi="Times New Roman" w:cs="Times New Roman"/>
          <w:sz w:val="28"/>
          <w:szCs w:val="28"/>
        </w:rPr>
        <w:footnoteReference w:id="4"/>
      </w:r>
      <w:r w:rsidR="00BC377C" w:rsidRPr="00E54845">
        <w:rPr>
          <w:rFonts w:ascii="Times New Roman" w:hAnsi="Times New Roman" w:cs="Times New Roman"/>
          <w:sz w:val="28"/>
          <w:szCs w:val="28"/>
        </w:rPr>
        <w:t xml:space="preserve">. While voluntary attrition does appear to account for </w:t>
      </w:r>
      <w:r w:rsidR="00F52145" w:rsidRPr="00E54845">
        <w:rPr>
          <w:rFonts w:ascii="Times New Roman" w:hAnsi="Times New Roman" w:cs="Times New Roman"/>
          <w:sz w:val="28"/>
          <w:szCs w:val="28"/>
        </w:rPr>
        <w:t xml:space="preserve">the </w:t>
      </w:r>
      <w:r w:rsidR="00BC377C" w:rsidRPr="00E54845">
        <w:rPr>
          <w:rFonts w:ascii="Times New Roman" w:hAnsi="Times New Roman" w:cs="Times New Roman"/>
          <w:sz w:val="28"/>
          <w:szCs w:val="28"/>
        </w:rPr>
        <w:t>largest share of total attrition in larger population countries in SSA (see table 1), absolute resignation rates are still very low</w:t>
      </w:r>
      <w:r w:rsidR="00495D0B" w:rsidRPr="00E54845">
        <w:rPr>
          <w:rFonts w:ascii="Times New Roman" w:hAnsi="Times New Roman" w:cs="Times New Roman"/>
          <w:sz w:val="28"/>
          <w:szCs w:val="28"/>
        </w:rPr>
        <w:t>.</w:t>
      </w:r>
    </w:p>
    <w:p w:rsidR="005123E3" w:rsidRPr="00E54845" w:rsidRDefault="005123E3" w:rsidP="00646CA0">
      <w:pPr>
        <w:jc w:val="both"/>
        <w:rPr>
          <w:rFonts w:ascii="Times New Roman" w:hAnsi="Times New Roman" w:cs="Times New Roman"/>
          <w:sz w:val="28"/>
          <w:szCs w:val="28"/>
        </w:rPr>
      </w:pPr>
      <w:r w:rsidRPr="00E54845">
        <w:rPr>
          <w:rFonts w:ascii="Times New Roman" w:hAnsi="Times New Roman" w:cs="Times New Roman"/>
          <w:noProof/>
          <w:sz w:val="28"/>
          <w:szCs w:val="28"/>
          <w:lang w:eastAsia="en-GB"/>
        </w:rPr>
        <w:drawing>
          <wp:inline distT="0" distB="0" distL="0" distR="0" wp14:anchorId="44F7C209" wp14:editId="57A9F29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5FD" w:rsidRPr="00E54845" w:rsidRDefault="006B0CC7"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There are too few countries with the required data to be able to analyse the relationship between teacher resignation rates and key macroeconomic indicators including GDP per capita, formal </w:t>
      </w:r>
      <w:r w:rsidR="0019460C" w:rsidRPr="00E54845">
        <w:rPr>
          <w:rFonts w:ascii="Times New Roman" w:hAnsi="Times New Roman" w:cs="Times New Roman"/>
          <w:sz w:val="28"/>
          <w:szCs w:val="28"/>
        </w:rPr>
        <w:t xml:space="preserve">sector employment, </w:t>
      </w:r>
      <w:r w:rsidR="00D91893" w:rsidRPr="00E54845">
        <w:rPr>
          <w:rFonts w:ascii="Times New Roman" w:hAnsi="Times New Roman" w:cs="Times New Roman"/>
          <w:sz w:val="28"/>
          <w:szCs w:val="28"/>
        </w:rPr>
        <w:t>national</w:t>
      </w:r>
      <w:r w:rsidR="0019460C" w:rsidRPr="00E54845">
        <w:rPr>
          <w:rFonts w:ascii="Times New Roman" w:hAnsi="Times New Roman" w:cs="Times New Roman"/>
          <w:sz w:val="28"/>
          <w:szCs w:val="28"/>
        </w:rPr>
        <w:t xml:space="preserve"> and teacher unemployment rates and teacher pay.</w:t>
      </w:r>
      <w:r w:rsidR="00D91893" w:rsidRPr="00E54845">
        <w:rPr>
          <w:rFonts w:ascii="Times New Roman" w:hAnsi="Times New Roman" w:cs="Times New Roman"/>
          <w:sz w:val="28"/>
          <w:szCs w:val="28"/>
        </w:rPr>
        <w:t xml:space="preserve"> </w:t>
      </w:r>
      <w:r w:rsidR="0019460C" w:rsidRPr="00E54845">
        <w:rPr>
          <w:rFonts w:ascii="Times New Roman" w:hAnsi="Times New Roman" w:cs="Times New Roman"/>
          <w:sz w:val="28"/>
          <w:szCs w:val="28"/>
        </w:rPr>
        <w:t xml:space="preserve">Looking at national </w:t>
      </w:r>
      <w:r w:rsidR="00D91893" w:rsidRPr="00E54845">
        <w:rPr>
          <w:rFonts w:ascii="Times New Roman" w:hAnsi="Times New Roman" w:cs="Times New Roman"/>
          <w:sz w:val="28"/>
          <w:szCs w:val="28"/>
        </w:rPr>
        <w:t>TARs</w:t>
      </w:r>
      <w:r w:rsidR="00495D0B" w:rsidRPr="00E54845">
        <w:rPr>
          <w:rFonts w:ascii="Times New Roman" w:hAnsi="Times New Roman" w:cs="Times New Roman"/>
          <w:sz w:val="28"/>
          <w:szCs w:val="28"/>
        </w:rPr>
        <w:t xml:space="preserve"> (which </w:t>
      </w:r>
      <w:r w:rsidR="0019460C" w:rsidRPr="00E54845">
        <w:rPr>
          <w:rFonts w:ascii="Times New Roman" w:hAnsi="Times New Roman" w:cs="Times New Roman"/>
          <w:sz w:val="28"/>
          <w:szCs w:val="28"/>
        </w:rPr>
        <w:t>include all types of attrition)</w:t>
      </w:r>
      <w:r w:rsidR="00D91893" w:rsidRPr="00E54845">
        <w:rPr>
          <w:rFonts w:ascii="Times New Roman" w:hAnsi="Times New Roman" w:cs="Times New Roman"/>
          <w:sz w:val="28"/>
          <w:szCs w:val="28"/>
        </w:rPr>
        <w:t xml:space="preserve">, the only strong </w:t>
      </w:r>
      <w:r w:rsidR="00E05E46" w:rsidRPr="00E54845">
        <w:rPr>
          <w:rFonts w:ascii="Times New Roman" w:hAnsi="Times New Roman" w:cs="Times New Roman"/>
          <w:sz w:val="28"/>
          <w:szCs w:val="28"/>
        </w:rPr>
        <w:t xml:space="preserve">positive </w:t>
      </w:r>
      <w:r w:rsidR="00D91893" w:rsidRPr="00E54845">
        <w:rPr>
          <w:rFonts w:ascii="Times New Roman" w:hAnsi="Times New Roman" w:cs="Times New Roman"/>
          <w:sz w:val="28"/>
          <w:szCs w:val="28"/>
        </w:rPr>
        <w:t xml:space="preserve">statistical </w:t>
      </w:r>
      <w:r w:rsidR="0019460C" w:rsidRPr="00E54845">
        <w:rPr>
          <w:rFonts w:ascii="Times New Roman" w:hAnsi="Times New Roman" w:cs="Times New Roman"/>
          <w:sz w:val="28"/>
          <w:szCs w:val="28"/>
        </w:rPr>
        <w:t xml:space="preserve">significant </w:t>
      </w:r>
      <w:r w:rsidR="00D91893" w:rsidRPr="00E54845">
        <w:rPr>
          <w:rFonts w:ascii="Times New Roman" w:hAnsi="Times New Roman" w:cs="Times New Roman"/>
          <w:sz w:val="28"/>
          <w:szCs w:val="28"/>
        </w:rPr>
        <w:t>relationship that can be observed is with teacher pay (see Figure</w:t>
      </w:r>
      <w:r w:rsidR="0019460C" w:rsidRPr="00E54845">
        <w:rPr>
          <w:rFonts w:ascii="Times New Roman" w:hAnsi="Times New Roman" w:cs="Times New Roman"/>
          <w:sz w:val="28"/>
          <w:szCs w:val="28"/>
        </w:rPr>
        <w:t xml:space="preserve"> 4</w:t>
      </w:r>
      <w:r w:rsidR="00D91893" w:rsidRPr="00E54845">
        <w:rPr>
          <w:rFonts w:ascii="Times New Roman" w:hAnsi="Times New Roman" w:cs="Times New Roman"/>
          <w:sz w:val="28"/>
          <w:szCs w:val="28"/>
        </w:rPr>
        <w:t>)</w:t>
      </w:r>
      <w:r w:rsidR="0019460C" w:rsidRPr="00E54845">
        <w:rPr>
          <w:rStyle w:val="FootnoteReference"/>
          <w:rFonts w:ascii="Times New Roman" w:hAnsi="Times New Roman" w:cs="Times New Roman"/>
          <w:sz w:val="28"/>
          <w:szCs w:val="28"/>
        </w:rPr>
        <w:footnoteReference w:id="5"/>
      </w:r>
      <w:r w:rsidR="00D91893" w:rsidRPr="00E54845">
        <w:rPr>
          <w:rFonts w:ascii="Times New Roman" w:hAnsi="Times New Roman" w:cs="Times New Roman"/>
          <w:sz w:val="28"/>
          <w:szCs w:val="28"/>
        </w:rPr>
        <w:t xml:space="preserve">. The reasons for this are unclear but it may be because the level of teacher pay is a rough proxy for the relative size of the formal employment </w:t>
      </w:r>
      <w:r w:rsidR="00F50E21" w:rsidRPr="00E54845">
        <w:rPr>
          <w:rFonts w:ascii="Times New Roman" w:hAnsi="Times New Roman" w:cs="Times New Roman"/>
          <w:sz w:val="28"/>
          <w:szCs w:val="28"/>
        </w:rPr>
        <w:t xml:space="preserve">sector </w:t>
      </w:r>
      <w:r w:rsidR="00D91893" w:rsidRPr="00E54845">
        <w:rPr>
          <w:rFonts w:ascii="Times New Roman" w:hAnsi="Times New Roman" w:cs="Times New Roman"/>
          <w:sz w:val="28"/>
          <w:szCs w:val="28"/>
        </w:rPr>
        <w:t>and thus the availability of alternative employment possibilities</w:t>
      </w:r>
      <w:r w:rsidR="00F50E21" w:rsidRPr="00E54845">
        <w:rPr>
          <w:rFonts w:ascii="Times New Roman" w:hAnsi="Times New Roman" w:cs="Times New Roman"/>
          <w:sz w:val="28"/>
          <w:szCs w:val="28"/>
        </w:rPr>
        <w:t xml:space="preserve"> for teachers</w:t>
      </w:r>
      <w:r w:rsidR="00D91893" w:rsidRPr="00E54845">
        <w:rPr>
          <w:rFonts w:ascii="Times New Roman" w:hAnsi="Times New Roman" w:cs="Times New Roman"/>
          <w:sz w:val="28"/>
          <w:szCs w:val="28"/>
        </w:rPr>
        <w:t>.</w:t>
      </w:r>
      <w:r w:rsidR="00E05E46" w:rsidRPr="00E54845">
        <w:rPr>
          <w:rFonts w:ascii="Times New Roman" w:hAnsi="Times New Roman" w:cs="Times New Roman"/>
          <w:sz w:val="28"/>
          <w:szCs w:val="28"/>
        </w:rPr>
        <w:t xml:space="preserve"> The share of teachers in formal sector employment could also be negatively correlated with voluntary attrition.</w:t>
      </w:r>
      <w:r w:rsidR="00D91893" w:rsidRPr="00E54845">
        <w:rPr>
          <w:rFonts w:ascii="Times New Roman" w:hAnsi="Times New Roman" w:cs="Times New Roman"/>
          <w:sz w:val="28"/>
          <w:szCs w:val="28"/>
        </w:rPr>
        <w:t xml:space="preserve"> </w:t>
      </w:r>
    </w:p>
    <w:tbl>
      <w:tblPr>
        <w:tblW w:w="7850" w:type="dxa"/>
        <w:tblLook w:val="04A0" w:firstRow="1" w:lastRow="0" w:firstColumn="1" w:lastColumn="0" w:noHBand="0" w:noVBand="1"/>
      </w:tblPr>
      <w:tblGrid>
        <w:gridCol w:w="1499"/>
        <w:gridCol w:w="1554"/>
        <w:gridCol w:w="1678"/>
        <w:gridCol w:w="1383"/>
        <w:gridCol w:w="1461"/>
        <w:gridCol w:w="854"/>
      </w:tblGrid>
      <w:tr w:rsidR="00652BB3" w:rsidRPr="00E54845" w:rsidTr="00652BB3">
        <w:trPr>
          <w:trHeight w:val="288"/>
        </w:trPr>
        <w:tc>
          <w:tcPr>
            <w:tcW w:w="7850" w:type="dxa"/>
            <w:gridSpan w:val="6"/>
            <w:tcBorders>
              <w:top w:val="nil"/>
              <w:left w:val="nil"/>
              <w:bottom w:val="nil"/>
              <w:right w:val="nil"/>
            </w:tcBorders>
            <w:shd w:val="clear" w:color="auto" w:fill="auto"/>
            <w:noWrap/>
            <w:vAlign w:val="bottom"/>
            <w:hideMark/>
          </w:tcPr>
          <w:p w:rsidR="00652BB3" w:rsidRPr="00E54845" w:rsidRDefault="00652BB3" w:rsidP="005669A2">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Table 1: Attrition by reason among primary school teachers in selected countries in SSA (</w:t>
            </w:r>
            <w:r w:rsidR="005669A2" w:rsidRPr="00E54845">
              <w:rPr>
                <w:rFonts w:ascii="Times New Roman" w:eastAsia="Times New Roman" w:hAnsi="Times New Roman" w:cs="Times New Roman"/>
                <w:color w:val="000000"/>
                <w:sz w:val="28"/>
                <w:szCs w:val="28"/>
                <w:lang w:eastAsia="en-GB"/>
              </w:rPr>
              <w:t>% rounded</w:t>
            </w:r>
            <w:r w:rsidRPr="00E54845">
              <w:rPr>
                <w:rFonts w:ascii="Times New Roman" w:eastAsia="Times New Roman" w:hAnsi="Times New Roman" w:cs="Times New Roman"/>
                <w:color w:val="000000"/>
                <w:sz w:val="28"/>
                <w:szCs w:val="28"/>
                <w:lang w:eastAsia="en-GB"/>
              </w:rPr>
              <w:t>)</w:t>
            </w:r>
          </w:p>
        </w:tc>
      </w:tr>
      <w:tr w:rsidR="00652BB3" w:rsidRPr="00E54845" w:rsidTr="00652BB3">
        <w:trPr>
          <w:trHeight w:val="288"/>
        </w:trPr>
        <w:tc>
          <w:tcPr>
            <w:tcW w:w="1499" w:type="dxa"/>
            <w:tcBorders>
              <w:top w:val="single" w:sz="8" w:space="0" w:color="auto"/>
              <w:left w:val="single" w:sz="8" w:space="0" w:color="auto"/>
              <w:bottom w:val="nil"/>
              <w:right w:val="nil"/>
            </w:tcBorders>
            <w:shd w:val="clear" w:color="000000" w:fill="E7E6E6"/>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Country</w:t>
            </w:r>
          </w:p>
        </w:tc>
        <w:tc>
          <w:tcPr>
            <w:tcW w:w="1421" w:type="dxa"/>
            <w:tcBorders>
              <w:top w:val="single" w:sz="8" w:space="0" w:color="auto"/>
              <w:left w:val="nil"/>
              <w:bottom w:val="nil"/>
              <w:right w:val="nil"/>
            </w:tcBorders>
            <w:shd w:val="clear" w:color="000000" w:fill="E7E6E6"/>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Resignation</w:t>
            </w:r>
          </w:p>
        </w:tc>
        <w:tc>
          <w:tcPr>
            <w:tcW w:w="1590" w:type="dxa"/>
            <w:tcBorders>
              <w:top w:val="single" w:sz="8" w:space="0" w:color="auto"/>
              <w:left w:val="nil"/>
              <w:bottom w:val="nil"/>
              <w:right w:val="nil"/>
            </w:tcBorders>
            <w:shd w:val="clear" w:color="000000" w:fill="E7E6E6"/>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Death/illness</w:t>
            </w:r>
          </w:p>
        </w:tc>
        <w:tc>
          <w:tcPr>
            <w:tcW w:w="1223" w:type="dxa"/>
            <w:tcBorders>
              <w:top w:val="single" w:sz="8" w:space="0" w:color="auto"/>
              <w:left w:val="nil"/>
              <w:bottom w:val="nil"/>
              <w:right w:val="nil"/>
            </w:tcBorders>
            <w:shd w:val="clear" w:color="000000" w:fill="E7E6E6"/>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Dismissed</w:t>
            </w:r>
          </w:p>
        </w:tc>
        <w:tc>
          <w:tcPr>
            <w:tcW w:w="1379" w:type="dxa"/>
            <w:tcBorders>
              <w:top w:val="single" w:sz="8" w:space="0" w:color="auto"/>
              <w:left w:val="nil"/>
              <w:bottom w:val="nil"/>
              <w:right w:val="nil"/>
            </w:tcBorders>
            <w:shd w:val="clear" w:color="000000" w:fill="E7E6E6"/>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Retirement</w:t>
            </w:r>
          </w:p>
        </w:tc>
        <w:tc>
          <w:tcPr>
            <w:tcW w:w="738" w:type="dxa"/>
            <w:tcBorders>
              <w:top w:val="single" w:sz="8" w:space="0" w:color="auto"/>
              <w:left w:val="nil"/>
              <w:bottom w:val="nil"/>
              <w:right w:val="single" w:sz="8" w:space="0" w:color="auto"/>
            </w:tcBorders>
            <w:shd w:val="clear" w:color="000000" w:fill="E7E6E6"/>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Other</w:t>
            </w:r>
          </w:p>
        </w:tc>
      </w:tr>
      <w:tr w:rsidR="00652BB3" w:rsidRPr="00E54845" w:rsidTr="00652BB3">
        <w:trPr>
          <w:trHeight w:val="288"/>
        </w:trPr>
        <w:tc>
          <w:tcPr>
            <w:tcW w:w="1499" w:type="dxa"/>
            <w:tcBorders>
              <w:top w:val="single" w:sz="4" w:space="0" w:color="auto"/>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Ethiopia</w:t>
            </w:r>
          </w:p>
        </w:tc>
        <w:tc>
          <w:tcPr>
            <w:tcW w:w="1421" w:type="dxa"/>
            <w:tcBorders>
              <w:top w:val="single" w:sz="4" w:space="0" w:color="auto"/>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60</w:t>
            </w:r>
          </w:p>
        </w:tc>
        <w:tc>
          <w:tcPr>
            <w:tcW w:w="1590" w:type="dxa"/>
            <w:tcBorders>
              <w:top w:val="single" w:sz="4" w:space="0" w:color="auto"/>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9</w:t>
            </w:r>
          </w:p>
        </w:tc>
        <w:tc>
          <w:tcPr>
            <w:tcW w:w="1223" w:type="dxa"/>
            <w:tcBorders>
              <w:top w:val="single" w:sz="4" w:space="0" w:color="auto"/>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0</w:t>
            </w:r>
          </w:p>
        </w:tc>
        <w:tc>
          <w:tcPr>
            <w:tcW w:w="1379" w:type="dxa"/>
            <w:tcBorders>
              <w:top w:val="single" w:sz="4" w:space="0" w:color="auto"/>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18</w:t>
            </w:r>
          </w:p>
        </w:tc>
        <w:tc>
          <w:tcPr>
            <w:tcW w:w="738" w:type="dxa"/>
            <w:tcBorders>
              <w:top w:val="single" w:sz="4" w:space="0" w:color="auto"/>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14</w:t>
            </w:r>
          </w:p>
        </w:tc>
      </w:tr>
      <w:tr w:rsidR="00652BB3" w:rsidRPr="00E54845" w:rsidTr="00652BB3">
        <w:trPr>
          <w:trHeight w:val="288"/>
        </w:trPr>
        <w:tc>
          <w:tcPr>
            <w:tcW w:w="1499" w:type="dxa"/>
            <w:tcBorders>
              <w:top w:val="nil"/>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Malawi</w:t>
            </w:r>
          </w:p>
        </w:tc>
        <w:tc>
          <w:tcPr>
            <w:tcW w:w="1421"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21</w:t>
            </w:r>
          </w:p>
        </w:tc>
        <w:tc>
          <w:tcPr>
            <w:tcW w:w="1590"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20</w:t>
            </w:r>
          </w:p>
        </w:tc>
        <w:tc>
          <w:tcPr>
            <w:tcW w:w="1223"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7</w:t>
            </w:r>
          </w:p>
        </w:tc>
        <w:tc>
          <w:tcPr>
            <w:tcW w:w="1379"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30</w:t>
            </w:r>
          </w:p>
        </w:tc>
        <w:tc>
          <w:tcPr>
            <w:tcW w:w="738" w:type="dxa"/>
            <w:tcBorders>
              <w:top w:val="nil"/>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22</w:t>
            </w:r>
          </w:p>
        </w:tc>
      </w:tr>
      <w:tr w:rsidR="00652BB3" w:rsidRPr="00E54845" w:rsidTr="00652BB3">
        <w:trPr>
          <w:trHeight w:val="288"/>
        </w:trPr>
        <w:tc>
          <w:tcPr>
            <w:tcW w:w="1499" w:type="dxa"/>
            <w:tcBorders>
              <w:top w:val="nil"/>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Namibia</w:t>
            </w:r>
          </w:p>
        </w:tc>
        <w:tc>
          <w:tcPr>
            <w:tcW w:w="1421"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9</w:t>
            </w:r>
          </w:p>
        </w:tc>
        <w:tc>
          <w:tcPr>
            <w:tcW w:w="1590"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11</w:t>
            </w:r>
          </w:p>
        </w:tc>
        <w:tc>
          <w:tcPr>
            <w:tcW w:w="1223"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w:t>
            </w:r>
          </w:p>
        </w:tc>
        <w:tc>
          <w:tcPr>
            <w:tcW w:w="1379"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56</w:t>
            </w:r>
          </w:p>
        </w:tc>
        <w:tc>
          <w:tcPr>
            <w:tcW w:w="738" w:type="dxa"/>
            <w:tcBorders>
              <w:top w:val="nil"/>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22</w:t>
            </w:r>
          </w:p>
        </w:tc>
      </w:tr>
      <w:tr w:rsidR="00652BB3" w:rsidRPr="00E54845" w:rsidTr="00652BB3">
        <w:trPr>
          <w:trHeight w:val="288"/>
        </w:trPr>
        <w:tc>
          <w:tcPr>
            <w:tcW w:w="1499" w:type="dxa"/>
            <w:tcBorders>
              <w:top w:val="nil"/>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Swaziland</w:t>
            </w:r>
          </w:p>
        </w:tc>
        <w:tc>
          <w:tcPr>
            <w:tcW w:w="1421"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19</w:t>
            </w:r>
          </w:p>
        </w:tc>
        <w:tc>
          <w:tcPr>
            <w:tcW w:w="1590"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22</w:t>
            </w:r>
          </w:p>
        </w:tc>
        <w:tc>
          <w:tcPr>
            <w:tcW w:w="1223"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4</w:t>
            </w:r>
          </w:p>
        </w:tc>
        <w:tc>
          <w:tcPr>
            <w:tcW w:w="1379"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56</w:t>
            </w:r>
          </w:p>
        </w:tc>
        <w:tc>
          <w:tcPr>
            <w:tcW w:w="738" w:type="dxa"/>
            <w:tcBorders>
              <w:top w:val="nil"/>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0</w:t>
            </w:r>
          </w:p>
        </w:tc>
      </w:tr>
      <w:tr w:rsidR="00652BB3" w:rsidRPr="00E54845" w:rsidTr="00652BB3">
        <w:trPr>
          <w:trHeight w:val="288"/>
        </w:trPr>
        <w:tc>
          <w:tcPr>
            <w:tcW w:w="1499" w:type="dxa"/>
            <w:tcBorders>
              <w:top w:val="nil"/>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Tanzania</w:t>
            </w:r>
          </w:p>
        </w:tc>
        <w:tc>
          <w:tcPr>
            <w:tcW w:w="1421"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45</w:t>
            </w:r>
          </w:p>
        </w:tc>
        <w:tc>
          <w:tcPr>
            <w:tcW w:w="1590"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24</w:t>
            </w:r>
          </w:p>
        </w:tc>
        <w:tc>
          <w:tcPr>
            <w:tcW w:w="1223"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24</w:t>
            </w:r>
          </w:p>
        </w:tc>
        <w:tc>
          <w:tcPr>
            <w:tcW w:w="1379"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6</w:t>
            </w:r>
          </w:p>
        </w:tc>
        <w:tc>
          <w:tcPr>
            <w:tcW w:w="738" w:type="dxa"/>
            <w:tcBorders>
              <w:top w:val="nil"/>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0</w:t>
            </w:r>
          </w:p>
        </w:tc>
      </w:tr>
      <w:tr w:rsidR="00652BB3" w:rsidRPr="00E54845" w:rsidTr="00652BB3">
        <w:trPr>
          <w:trHeight w:val="288"/>
        </w:trPr>
        <w:tc>
          <w:tcPr>
            <w:tcW w:w="1499" w:type="dxa"/>
            <w:tcBorders>
              <w:top w:val="nil"/>
              <w:left w:val="single" w:sz="8" w:space="0" w:color="auto"/>
              <w:bottom w:val="nil"/>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Uganda</w:t>
            </w:r>
          </w:p>
        </w:tc>
        <w:tc>
          <w:tcPr>
            <w:tcW w:w="1421"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57</w:t>
            </w:r>
          </w:p>
        </w:tc>
        <w:tc>
          <w:tcPr>
            <w:tcW w:w="1590"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14</w:t>
            </w:r>
          </w:p>
        </w:tc>
        <w:tc>
          <w:tcPr>
            <w:tcW w:w="1223"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w:t>
            </w:r>
          </w:p>
        </w:tc>
        <w:tc>
          <w:tcPr>
            <w:tcW w:w="1379" w:type="dxa"/>
            <w:tcBorders>
              <w:top w:val="nil"/>
              <w:left w:val="nil"/>
              <w:bottom w:val="nil"/>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26</w:t>
            </w:r>
          </w:p>
        </w:tc>
        <w:tc>
          <w:tcPr>
            <w:tcW w:w="738" w:type="dxa"/>
            <w:tcBorders>
              <w:top w:val="nil"/>
              <w:left w:val="nil"/>
              <w:bottom w:val="nil"/>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0</w:t>
            </w:r>
          </w:p>
        </w:tc>
      </w:tr>
      <w:tr w:rsidR="00652BB3" w:rsidRPr="00E54845" w:rsidTr="00652BB3">
        <w:trPr>
          <w:trHeight w:val="300"/>
        </w:trPr>
        <w:tc>
          <w:tcPr>
            <w:tcW w:w="1499" w:type="dxa"/>
            <w:tcBorders>
              <w:top w:val="nil"/>
              <w:left w:val="single" w:sz="8" w:space="0" w:color="auto"/>
              <w:bottom w:val="single" w:sz="8" w:space="0" w:color="auto"/>
              <w:right w:val="nil"/>
            </w:tcBorders>
            <w:shd w:val="clear" w:color="000000" w:fill="DDEBF7"/>
            <w:noWrap/>
            <w:vAlign w:val="bottom"/>
            <w:hideMark/>
          </w:tcPr>
          <w:p w:rsidR="00652BB3" w:rsidRPr="00E54845" w:rsidRDefault="00652BB3" w:rsidP="00652BB3">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Zambia</w:t>
            </w:r>
          </w:p>
        </w:tc>
        <w:tc>
          <w:tcPr>
            <w:tcW w:w="1421" w:type="dxa"/>
            <w:tcBorders>
              <w:top w:val="nil"/>
              <w:left w:val="nil"/>
              <w:bottom w:val="single" w:sz="8" w:space="0" w:color="auto"/>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40</w:t>
            </w:r>
          </w:p>
        </w:tc>
        <w:tc>
          <w:tcPr>
            <w:tcW w:w="1590" w:type="dxa"/>
            <w:tcBorders>
              <w:top w:val="nil"/>
              <w:left w:val="nil"/>
              <w:bottom w:val="single" w:sz="8" w:space="0" w:color="auto"/>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19</w:t>
            </w:r>
          </w:p>
        </w:tc>
        <w:tc>
          <w:tcPr>
            <w:tcW w:w="1223" w:type="dxa"/>
            <w:tcBorders>
              <w:top w:val="nil"/>
              <w:left w:val="nil"/>
              <w:bottom w:val="single" w:sz="8" w:space="0" w:color="auto"/>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12</w:t>
            </w:r>
          </w:p>
        </w:tc>
        <w:tc>
          <w:tcPr>
            <w:tcW w:w="1379" w:type="dxa"/>
            <w:tcBorders>
              <w:top w:val="nil"/>
              <w:left w:val="nil"/>
              <w:bottom w:val="single" w:sz="8" w:space="0" w:color="auto"/>
              <w:right w:val="nil"/>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13</w:t>
            </w:r>
          </w:p>
        </w:tc>
        <w:tc>
          <w:tcPr>
            <w:tcW w:w="738" w:type="dxa"/>
            <w:tcBorders>
              <w:top w:val="nil"/>
              <w:left w:val="nil"/>
              <w:bottom w:val="single" w:sz="8" w:space="0" w:color="auto"/>
              <w:right w:val="single" w:sz="8" w:space="0" w:color="auto"/>
            </w:tcBorders>
            <w:shd w:val="clear" w:color="000000" w:fill="DDEBF7"/>
            <w:noWrap/>
            <w:vAlign w:val="bottom"/>
            <w:hideMark/>
          </w:tcPr>
          <w:p w:rsidR="00652BB3" w:rsidRPr="00E54845" w:rsidRDefault="00652BB3" w:rsidP="00652BB3">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17</w:t>
            </w:r>
          </w:p>
        </w:tc>
      </w:tr>
    </w:tbl>
    <w:p w:rsidR="00495D0B" w:rsidRPr="00E54845" w:rsidRDefault="00495D0B" w:rsidP="00B428AF">
      <w:pPr>
        <w:jc w:val="both"/>
        <w:rPr>
          <w:rFonts w:ascii="Times New Roman" w:hAnsi="Times New Roman" w:cs="Times New Roman"/>
          <w:sz w:val="28"/>
          <w:szCs w:val="28"/>
        </w:rPr>
      </w:pPr>
    </w:p>
    <w:p w:rsidR="00B428AF" w:rsidRPr="00E54845" w:rsidRDefault="00B428AF" w:rsidP="00B428AF">
      <w:pPr>
        <w:jc w:val="both"/>
        <w:rPr>
          <w:rFonts w:ascii="Times New Roman" w:hAnsi="Times New Roman" w:cs="Times New Roman"/>
          <w:sz w:val="28"/>
          <w:szCs w:val="28"/>
        </w:rPr>
      </w:pPr>
      <w:r w:rsidRPr="00E54845">
        <w:rPr>
          <w:rFonts w:ascii="Times New Roman" w:hAnsi="Times New Roman" w:cs="Times New Roman"/>
          <w:sz w:val="28"/>
          <w:szCs w:val="28"/>
        </w:rPr>
        <w:t xml:space="preserve">Retirement rates among primary school teachers remain very low in most countries in SSA. The age profile of teachers declined appreciably with the mass recruitment of primary school teachers </w:t>
      </w:r>
      <w:r w:rsidR="005669A2" w:rsidRPr="00E54845">
        <w:rPr>
          <w:rFonts w:ascii="Times New Roman" w:hAnsi="Times New Roman" w:cs="Times New Roman"/>
          <w:sz w:val="28"/>
          <w:szCs w:val="28"/>
        </w:rPr>
        <w:t xml:space="preserve">(as part of Universal Primary Education programmes) </w:t>
      </w:r>
      <w:r w:rsidRPr="00E54845">
        <w:rPr>
          <w:rFonts w:ascii="Times New Roman" w:hAnsi="Times New Roman" w:cs="Times New Roman"/>
          <w:sz w:val="28"/>
          <w:szCs w:val="28"/>
        </w:rPr>
        <w:t>from the late 1990s which has kept retirement attrition rates at very low levels.</w:t>
      </w:r>
      <w:r w:rsidR="00956D37" w:rsidRPr="00E54845">
        <w:rPr>
          <w:rFonts w:ascii="Times New Roman" w:hAnsi="Times New Roman" w:cs="Times New Roman"/>
          <w:sz w:val="28"/>
          <w:szCs w:val="28"/>
        </w:rPr>
        <w:t xml:space="preserve"> </w:t>
      </w:r>
      <w:r w:rsidRPr="00E54845">
        <w:rPr>
          <w:rFonts w:ascii="Times New Roman" w:hAnsi="Times New Roman" w:cs="Times New Roman"/>
          <w:sz w:val="28"/>
          <w:szCs w:val="28"/>
        </w:rPr>
        <w:t xml:space="preserve">Mortality/morbidity and dismissal rates are also very low. It was widely anticipated that the HIV/AIDS epidemic would have a catastrophic impact on teacher mortality. At the height of the epidemic, teacher mortality had increased markedly to between 1.5 and 3.0% in the high prevalence countries. However, the very high projected mortality rates did not materialise in part because the projection models had serious shortcomings but, more significantly, the massive take-up of life-prolonging antiretroviral drugs led to rapid declines </w:t>
      </w:r>
      <w:r w:rsidR="001403AA" w:rsidRPr="00E54845">
        <w:rPr>
          <w:rFonts w:ascii="Times New Roman" w:hAnsi="Times New Roman" w:cs="Times New Roman"/>
          <w:sz w:val="28"/>
          <w:szCs w:val="28"/>
        </w:rPr>
        <w:t xml:space="preserve">in teacher </w:t>
      </w:r>
      <w:r w:rsidRPr="00E54845">
        <w:rPr>
          <w:rFonts w:ascii="Times New Roman" w:hAnsi="Times New Roman" w:cs="Times New Roman"/>
          <w:sz w:val="28"/>
          <w:szCs w:val="28"/>
        </w:rPr>
        <w:t>mortality</w:t>
      </w:r>
      <w:r w:rsidR="00DA7D8B" w:rsidRPr="00E54845">
        <w:rPr>
          <w:rFonts w:ascii="Times New Roman" w:hAnsi="Times New Roman" w:cs="Times New Roman"/>
          <w:sz w:val="28"/>
          <w:szCs w:val="28"/>
        </w:rPr>
        <w:t xml:space="preserve"> (see Author </w:t>
      </w:r>
      <w:r w:rsidR="00956D37" w:rsidRPr="00E54845">
        <w:rPr>
          <w:rFonts w:ascii="Times New Roman" w:hAnsi="Times New Roman" w:cs="Times New Roman"/>
          <w:sz w:val="28"/>
          <w:szCs w:val="28"/>
        </w:rPr>
        <w:t>2005</w:t>
      </w:r>
      <w:r w:rsidR="00F52145" w:rsidRPr="00E54845">
        <w:rPr>
          <w:rFonts w:ascii="Times New Roman" w:hAnsi="Times New Roman" w:cs="Times New Roman"/>
          <w:sz w:val="28"/>
          <w:szCs w:val="28"/>
        </w:rPr>
        <w:t>)</w:t>
      </w:r>
      <w:r w:rsidRPr="00E54845">
        <w:rPr>
          <w:rFonts w:ascii="Times New Roman" w:hAnsi="Times New Roman" w:cs="Times New Roman"/>
          <w:sz w:val="28"/>
          <w:szCs w:val="28"/>
        </w:rPr>
        <w:t xml:space="preserve">.  </w:t>
      </w:r>
    </w:p>
    <w:p w:rsidR="001F182A" w:rsidRPr="00E54845" w:rsidRDefault="001F182A" w:rsidP="00B428AF">
      <w:pPr>
        <w:jc w:val="both"/>
        <w:rPr>
          <w:rFonts w:ascii="Times New Roman" w:hAnsi="Times New Roman" w:cs="Times New Roman"/>
          <w:sz w:val="28"/>
          <w:szCs w:val="28"/>
        </w:rPr>
      </w:pPr>
      <w:r w:rsidRPr="00E54845">
        <w:rPr>
          <w:rFonts w:ascii="Times New Roman" w:hAnsi="Times New Roman" w:cs="Times New Roman"/>
          <w:noProof/>
          <w:sz w:val="28"/>
          <w:szCs w:val="28"/>
          <w:lang w:eastAsia="en-GB"/>
        </w:rPr>
        <w:drawing>
          <wp:inline distT="0" distB="0" distL="0" distR="0" wp14:anchorId="141F2834" wp14:editId="24F68B0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2145" w:rsidRPr="00E54845" w:rsidRDefault="00F52145" w:rsidP="00B428AF">
      <w:pPr>
        <w:jc w:val="both"/>
        <w:rPr>
          <w:rFonts w:ascii="Times New Roman" w:hAnsi="Times New Roman" w:cs="Times New Roman"/>
          <w:sz w:val="28"/>
          <w:szCs w:val="28"/>
        </w:rPr>
      </w:pPr>
      <w:r w:rsidRPr="00E54845">
        <w:rPr>
          <w:rFonts w:ascii="Times New Roman" w:hAnsi="Times New Roman" w:cs="Times New Roman"/>
          <w:sz w:val="28"/>
          <w:szCs w:val="28"/>
        </w:rPr>
        <w:t>T</w:t>
      </w:r>
      <w:r w:rsidR="00B428AF" w:rsidRPr="00E54845">
        <w:rPr>
          <w:rFonts w:ascii="Times New Roman" w:hAnsi="Times New Roman" w:cs="Times New Roman"/>
          <w:sz w:val="28"/>
          <w:szCs w:val="28"/>
        </w:rPr>
        <w:t>eacher misbehaviour including absenteeism and sexual harassment and impropriety</w:t>
      </w:r>
      <w:r w:rsidRPr="00E54845">
        <w:rPr>
          <w:rFonts w:ascii="Times New Roman" w:hAnsi="Times New Roman" w:cs="Times New Roman"/>
          <w:sz w:val="28"/>
          <w:szCs w:val="28"/>
        </w:rPr>
        <w:t xml:space="preserve"> is reported to be widespread in</w:t>
      </w:r>
      <w:r w:rsidR="00956D37" w:rsidRPr="00E54845">
        <w:rPr>
          <w:rFonts w:ascii="Times New Roman" w:hAnsi="Times New Roman" w:cs="Times New Roman"/>
          <w:sz w:val="28"/>
          <w:szCs w:val="28"/>
        </w:rPr>
        <w:t xml:space="preserve"> many countries in SSA</w:t>
      </w:r>
      <w:r w:rsidR="00B428AF" w:rsidRPr="00E54845">
        <w:rPr>
          <w:rFonts w:ascii="Times New Roman" w:hAnsi="Times New Roman" w:cs="Times New Roman"/>
          <w:sz w:val="28"/>
          <w:szCs w:val="28"/>
        </w:rPr>
        <w:t>. However, dismissal rates are negligible in almost all countries</w:t>
      </w:r>
      <w:r w:rsidRPr="00E54845">
        <w:rPr>
          <w:rFonts w:ascii="Times New Roman" w:hAnsi="Times New Roman" w:cs="Times New Roman"/>
          <w:sz w:val="28"/>
          <w:szCs w:val="28"/>
        </w:rPr>
        <w:t xml:space="preserve"> which suggests that the reported levels of misbehaviour are exaggerated </w:t>
      </w:r>
      <w:r w:rsidR="00956D37" w:rsidRPr="00E54845">
        <w:rPr>
          <w:rFonts w:ascii="Times New Roman" w:hAnsi="Times New Roman" w:cs="Times New Roman"/>
          <w:sz w:val="28"/>
          <w:szCs w:val="28"/>
        </w:rPr>
        <w:t>and/</w:t>
      </w:r>
      <w:r w:rsidRPr="00E54845">
        <w:rPr>
          <w:rFonts w:ascii="Times New Roman" w:hAnsi="Times New Roman" w:cs="Times New Roman"/>
          <w:sz w:val="28"/>
          <w:szCs w:val="28"/>
        </w:rPr>
        <w:t xml:space="preserve">or that such behaviour is </w:t>
      </w:r>
      <w:r w:rsidR="00956D37" w:rsidRPr="00E54845">
        <w:rPr>
          <w:rFonts w:ascii="Times New Roman" w:hAnsi="Times New Roman" w:cs="Times New Roman"/>
          <w:sz w:val="28"/>
          <w:szCs w:val="28"/>
        </w:rPr>
        <w:t xml:space="preserve">generally </w:t>
      </w:r>
      <w:r w:rsidRPr="00E54845">
        <w:rPr>
          <w:rFonts w:ascii="Times New Roman" w:hAnsi="Times New Roman" w:cs="Times New Roman"/>
          <w:sz w:val="28"/>
          <w:szCs w:val="28"/>
        </w:rPr>
        <w:t>tolerated</w:t>
      </w:r>
      <w:r w:rsidR="00B428AF" w:rsidRPr="00E54845">
        <w:rPr>
          <w:rFonts w:ascii="Times New Roman" w:hAnsi="Times New Roman" w:cs="Times New Roman"/>
          <w:sz w:val="28"/>
          <w:szCs w:val="28"/>
        </w:rPr>
        <w:t>. Mass sackings have been threatened by governments at various times in order to get striking teachers to return to work</w:t>
      </w:r>
      <w:r w:rsidR="00956D37" w:rsidRPr="00E54845">
        <w:rPr>
          <w:rFonts w:ascii="Times New Roman" w:hAnsi="Times New Roman" w:cs="Times New Roman"/>
          <w:sz w:val="28"/>
          <w:szCs w:val="28"/>
        </w:rPr>
        <w:t xml:space="preserve"> but these threats  rarely result in any action</w:t>
      </w:r>
      <w:r w:rsidR="00B428AF" w:rsidRPr="00E54845">
        <w:rPr>
          <w:rFonts w:ascii="Times New Roman" w:hAnsi="Times New Roman" w:cs="Times New Roman"/>
          <w:sz w:val="28"/>
          <w:szCs w:val="28"/>
        </w:rPr>
        <w:t>.</w:t>
      </w:r>
    </w:p>
    <w:p w:rsidR="00F52145" w:rsidRPr="00E54845" w:rsidRDefault="00E54845" w:rsidP="00B428AF">
      <w:pPr>
        <w:jc w:val="both"/>
        <w:rPr>
          <w:rFonts w:ascii="Times New Roman" w:hAnsi="Times New Roman" w:cs="Times New Roman"/>
          <w:i/>
          <w:sz w:val="28"/>
          <w:szCs w:val="28"/>
        </w:rPr>
      </w:pPr>
      <w:r>
        <w:rPr>
          <w:rFonts w:ascii="Times New Roman" w:hAnsi="Times New Roman" w:cs="Times New Roman"/>
          <w:i/>
          <w:sz w:val="28"/>
          <w:szCs w:val="28"/>
        </w:rPr>
        <w:t xml:space="preserve">4.2 </w:t>
      </w:r>
      <w:r w:rsidR="00F52145" w:rsidRPr="00E54845">
        <w:rPr>
          <w:rFonts w:ascii="Times New Roman" w:hAnsi="Times New Roman" w:cs="Times New Roman"/>
          <w:i/>
          <w:sz w:val="28"/>
          <w:szCs w:val="28"/>
        </w:rPr>
        <w:t>Attrition patterns</w:t>
      </w:r>
    </w:p>
    <w:p w:rsidR="005C1A87" w:rsidRPr="00E54845" w:rsidRDefault="005C1A87" w:rsidP="00B428AF">
      <w:pPr>
        <w:jc w:val="both"/>
        <w:rPr>
          <w:rFonts w:ascii="Times New Roman" w:hAnsi="Times New Roman" w:cs="Times New Roman"/>
          <w:sz w:val="28"/>
          <w:szCs w:val="28"/>
        </w:rPr>
      </w:pPr>
      <w:r w:rsidRPr="00E54845">
        <w:rPr>
          <w:rFonts w:ascii="Times New Roman" w:hAnsi="Times New Roman" w:cs="Times New Roman"/>
          <w:sz w:val="28"/>
          <w:szCs w:val="28"/>
        </w:rPr>
        <w:t xml:space="preserve">Virtually no statistical evidence is available on the patterns of teacher </w:t>
      </w:r>
      <w:r w:rsidR="00164BC8" w:rsidRPr="00E54845">
        <w:rPr>
          <w:rFonts w:ascii="Times New Roman" w:hAnsi="Times New Roman" w:cs="Times New Roman"/>
          <w:sz w:val="28"/>
          <w:szCs w:val="28"/>
        </w:rPr>
        <w:t xml:space="preserve">attrition </w:t>
      </w:r>
      <w:r w:rsidRPr="00E54845">
        <w:rPr>
          <w:rFonts w:ascii="Times New Roman" w:hAnsi="Times New Roman" w:cs="Times New Roman"/>
          <w:sz w:val="28"/>
          <w:szCs w:val="28"/>
        </w:rPr>
        <w:t xml:space="preserve">in particular with respect to personal characteristics (age/experience, sex, </w:t>
      </w:r>
      <w:r w:rsidR="004E7D7C" w:rsidRPr="00E54845">
        <w:rPr>
          <w:rFonts w:ascii="Times New Roman" w:hAnsi="Times New Roman" w:cs="Times New Roman"/>
          <w:sz w:val="28"/>
          <w:szCs w:val="28"/>
        </w:rPr>
        <w:t xml:space="preserve">marital status, </w:t>
      </w:r>
      <w:r w:rsidR="00441E30" w:rsidRPr="00E54845">
        <w:rPr>
          <w:rFonts w:ascii="Times New Roman" w:hAnsi="Times New Roman" w:cs="Times New Roman"/>
          <w:sz w:val="28"/>
          <w:szCs w:val="28"/>
        </w:rPr>
        <w:t xml:space="preserve">qualification level, </w:t>
      </w:r>
      <w:r w:rsidRPr="00E54845">
        <w:rPr>
          <w:rFonts w:ascii="Times New Roman" w:hAnsi="Times New Roman" w:cs="Times New Roman"/>
          <w:sz w:val="28"/>
          <w:szCs w:val="28"/>
        </w:rPr>
        <w:t>etc.)</w:t>
      </w:r>
      <w:r w:rsidR="002156DB" w:rsidRPr="00E54845">
        <w:rPr>
          <w:rFonts w:ascii="Times New Roman" w:hAnsi="Times New Roman" w:cs="Times New Roman"/>
          <w:sz w:val="28"/>
          <w:szCs w:val="28"/>
        </w:rPr>
        <w:t xml:space="preserve">, </w:t>
      </w:r>
      <w:r w:rsidRPr="00E54845">
        <w:rPr>
          <w:rFonts w:ascii="Times New Roman" w:hAnsi="Times New Roman" w:cs="Times New Roman"/>
          <w:sz w:val="28"/>
          <w:szCs w:val="28"/>
        </w:rPr>
        <w:t>school level variables (</w:t>
      </w:r>
      <w:r w:rsidR="004E7D7C" w:rsidRPr="00E54845">
        <w:rPr>
          <w:rFonts w:ascii="Times New Roman" w:hAnsi="Times New Roman" w:cs="Times New Roman"/>
          <w:sz w:val="28"/>
          <w:szCs w:val="28"/>
        </w:rPr>
        <w:t xml:space="preserve">school level, </w:t>
      </w:r>
      <w:r w:rsidRPr="00E54845">
        <w:rPr>
          <w:rFonts w:ascii="Times New Roman" w:hAnsi="Times New Roman" w:cs="Times New Roman"/>
          <w:sz w:val="28"/>
          <w:szCs w:val="28"/>
        </w:rPr>
        <w:t>ownership, subject, location etc.)</w:t>
      </w:r>
      <w:r w:rsidR="002156DB" w:rsidRPr="00E54845">
        <w:rPr>
          <w:rFonts w:ascii="Times New Roman" w:hAnsi="Times New Roman" w:cs="Times New Roman"/>
          <w:sz w:val="28"/>
          <w:szCs w:val="28"/>
        </w:rPr>
        <w:t xml:space="preserve"> and national variables (pandemics, conflict, economic crisis </w:t>
      </w:r>
      <w:r w:rsidR="002156DB" w:rsidRPr="00E54845">
        <w:rPr>
          <w:rFonts w:ascii="Times New Roman" w:hAnsi="Times New Roman" w:cs="Times New Roman"/>
          <w:sz w:val="28"/>
          <w:szCs w:val="28"/>
        </w:rPr>
        <w:lastRenderedPageBreak/>
        <w:t>and other shocks)</w:t>
      </w:r>
      <w:r w:rsidRPr="00E54845">
        <w:rPr>
          <w:rFonts w:ascii="Times New Roman" w:hAnsi="Times New Roman" w:cs="Times New Roman"/>
          <w:sz w:val="28"/>
          <w:szCs w:val="28"/>
        </w:rPr>
        <w:t>. This is in marked contrast to the very substantial amount of research that has been undertaken on attrition patterns in high-income countries</w:t>
      </w:r>
      <w:r w:rsidR="00956D37" w:rsidRPr="00E54845">
        <w:rPr>
          <w:rFonts w:ascii="Times New Roman" w:hAnsi="Times New Roman" w:cs="Times New Roman"/>
          <w:sz w:val="28"/>
          <w:szCs w:val="28"/>
        </w:rPr>
        <w:t xml:space="preserve"> (see, for example, Carver-Thomas and Darling-Hammond 2019; Craig 2017).</w:t>
      </w:r>
    </w:p>
    <w:p w:rsidR="002156DB" w:rsidRPr="00E54845" w:rsidRDefault="00164BC8" w:rsidP="00B428AF">
      <w:pPr>
        <w:jc w:val="both"/>
        <w:rPr>
          <w:rFonts w:ascii="Times New Roman" w:hAnsi="Times New Roman" w:cs="Times New Roman"/>
          <w:sz w:val="28"/>
          <w:szCs w:val="28"/>
        </w:rPr>
      </w:pPr>
      <w:r w:rsidRPr="00E54845">
        <w:rPr>
          <w:rFonts w:ascii="Times New Roman" w:hAnsi="Times New Roman" w:cs="Times New Roman"/>
          <w:sz w:val="28"/>
          <w:szCs w:val="28"/>
        </w:rPr>
        <w:t xml:space="preserve">The </w:t>
      </w:r>
      <w:r w:rsidR="005C1A87" w:rsidRPr="00E54845">
        <w:rPr>
          <w:rFonts w:ascii="Times New Roman" w:hAnsi="Times New Roman" w:cs="Times New Roman"/>
          <w:sz w:val="28"/>
          <w:szCs w:val="28"/>
        </w:rPr>
        <w:t>mainly qualitative</w:t>
      </w:r>
      <w:r w:rsidRPr="00E54845">
        <w:rPr>
          <w:rFonts w:ascii="Times New Roman" w:hAnsi="Times New Roman" w:cs="Times New Roman"/>
          <w:sz w:val="28"/>
          <w:szCs w:val="28"/>
        </w:rPr>
        <w:t>/anecdotal</w:t>
      </w:r>
      <w:r w:rsidR="005C1A87" w:rsidRPr="00E54845">
        <w:rPr>
          <w:rFonts w:ascii="Times New Roman" w:hAnsi="Times New Roman" w:cs="Times New Roman"/>
          <w:sz w:val="28"/>
          <w:szCs w:val="28"/>
        </w:rPr>
        <w:t xml:space="preserve"> evidence indicates that TARs are </w:t>
      </w:r>
      <w:r w:rsidR="00956D37" w:rsidRPr="00E54845">
        <w:rPr>
          <w:rFonts w:ascii="Times New Roman" w:hAnsi="Times New Roman" w:cs="Times New Roman"/>
          <w:sz w:val="28"/>
          <w:szCs w:val="28"/>
        </w:rPr>
        <w:t xml:space="preserve">generally </w:t>
      </w:r>
      <w:r w:rsidR="005C1A87" w:rsidRPr="00E54845">
        <w:rPr>
          <w:rFonts w:ascii="Times New Roman" w:hAnsi="Times New Roman" w:cs="Times New Roman"/>
          <w:sz w:val="28"/>
          <w:szCs w:val="28"/>
        </w:rPr>
        <w:t xml:space="preserve">higher among males and </w:t>
      </w:r>
      <w:r w:rsidR="00956D37" w:rsidRPr="00E54845">
        <w:rPr>
          <w:rFonts w:ascii="Times New Roman" w:hAnsi="Times New Roman" w:cs="Times New Roman"/>
          <w:sz w:val="28"/>
          <w:szCs w:val="28"/>
        </w:rPr>
        <w:t xml:space="preserve">there is lot of ‘churn’ </w:t>
      </w:r>
      <w:r w:rsidR="005C1A87" w:rsidRPr="00E54845">
        <w:rPr>
          <w:rFonts w:ascii="Times New Roman" w:hAnsi="Times New Roman" w:cs="Times New Roman"/>
          <w:sz w:val="28"/>
          <w:szCs w:val="28"/>
        </w:rPr>
        <w:t>among beginning teachers. Resignation and d</w:t>
      </w:r>
      <w:r w:rsidR="00956D37" w:rsidRPr="00E54845">
        <w:rPr>
          <w:rFonts w:ascii="Times New Roman" w:hAnsi="Times New Roman" w:cs="Times New Roman"/>
          <w:sz w:val="28"/>
          <w:szCs w:val="28"/>
        </w:rPr>
        <w:t xml:space="preserve">ismissal rates are </w:t>
      </w:r>
      <w:r w:rsidR="004E7552" w:rsidRPr="00E54845">
        <w:rPr>
          <w:rFonts w:ascii="Times New Roman" w:hAnsi="Times New Roman" w:cs="Times New Roman"/>
          <w:sz w:val="28"/>
          <w:szCs w:val="28"/>
        </w:rPr>
        <w:t xml:space="preserve">usually </w:t>
      </w:r>
      <w:r w:rsidR="005C1A87" w:rsidRPr="00E54845">
        <w:rPr>
          <w:rFonts w:ascii="Times New Roman" w:hAnsi="Times New Roman" w:cs="Times New Roman"/>
          <w:sz w:val="28"/>
          <w:szCs w:val="28"/>
        </w:rPr>
        <w:t>high</w:t>
      </w:r>
      <w:r w:rsidR="00956D37" w:rsidRPr="00E54845">
        <w:rPr>
          <w:rFonts w:ascii="Times New Roman" w:hAnsi="Times New Roman" w:cs="Times New Roman"/>
          <w:sz w:val="28"/>
          <w:szCs w:val="28"/>
        </w:rPr>
        <w:t>er</w:t>
      </w:r>
      <w:r w:rsidR="005C1A87" w:rsidRPr="00E54845">
        <w:rPr>
          <w:rFonts w:ascii="Times New Roman" w:hAnsi="Times New Roman" w:cs="Times New Roman"/>
          <w:sz w:val="28"/>
          <w:szCs w:val="28"/>
        </w:rPr>
        <w:t xml:space="preserve"> among temporary/contract teachers and teachers working at private-for-profit schools. </w:t>
      </w:r>
      <w:r w:rsidR="002156DB" w:rsidRPr="00E54845">
        <w:rPr>
          <w:rFonts w:ascii="Times New Roman" w:hAnsi="Times New Roman" w:cs="Times New Roman"/>
          <w:sz w:val="28"/>
          <w:szCs w:val="28"/>
        </w:rPr>
        <w:t xml:space="preserve">Teacher pay in the large majority of private-for-profit </w:t>
      </w:r>
      <w:r w:rsidR="00883BAC" w:rsidRPr="00E54845">
        <w:rPr>
          <w:rFonts w:ascii="Times New Roman" w:hAnsi="Times New Roman" w:cs="Times New Roman"/>
          <w:sz w:val="28"/>
          <w:szCs w:val="28"/>
        </w:rPr>
        <w:t xml:space="preserve">schools </w:t>
      </w:r>
      <w:r w:rsidR="002156DB" w:rsidRPr="00E54845">
        <w:rPr>
          <w:rFonts w:ascii="Times New Roman" w:hAnsi="Times New Roman" w:cs="Times New Roman"/>
          <w:sz w:val="28"/>
          <w:szCs w:val="28"/>
        </w:rPr>
        <w:t>is generally much lower than in the public sector</w:t>
      </w:r>
      <w:r w:rsidR="004E7552" w:rsidRPr="00E54845">
        <w:rPr>
          <w:rFonts w:ascii="Times New Roman" w:hAnsi="Times New Roman" w:cs="Times New Roman"/>
          <w:sz w:val="28"/>
          <w:szCs w:val="28"/>
        </w:rPr>
        <w:t>. In many countries, private school teacher wages are</w:t>
      </w:r>
      <w:r w:rsidR="002156DB" w:rsidRPr="00E54845">
        <w:rPr>
          <w:rFonts w:ascii="Times New Roman" w:hAnsi="Times New Roman" w:cs="Times New Roman"/>
          <w:sz w:val="28"/>
          <w:szCs w:val="28"/>
        </w:rPr>
        <w:t xml:space="preserve"> </w:t>
      </w:r>
      <w:r w:rsidR="004E7552" w:rsidRPr="00E54845">
        <w:rPr>
          <w:rFonts w:ascii="Times New Roman" w:hAnsi="Times New Roman" w:cs="Times New Roman"/>
          <w:sz w:val="28"/>
          <w:szCs w:val="28"/>
        </w:rPr>
        <w:t xml:space="preserve">driven to </w:t>
      </w:r>
      <w:r w:rsidR="001403AA" w:rsidRPr="00E54845">
        <w:rPr>
          <w:rFonts w:ascii="Times New Roman" w:hAnsi="Times New Roman" w:cs="Times New Roman"/>
          <w:sz w:val="28"/>
          <w:szCs w:val="28"/>
        </w:rPr>
        <w:t xml:space="preserve">well </w:t>
      </w:r>
      <w:r w:rsidR="002156DB" w:rsidRPr="00E54845">
        <w:rPr>
          <w:rFonts w:ascii="Times New Roman" w:hAnsi="Times New Roman" w:cs="Times New Roman"/>
          <w:sz w:val="28"/>
          <w:szCs w:val="28"/>
        </w:rPr>
        <w:t>below nati</w:t>
      </w:r>
      <w:r w:rsidR="004E7552" w:rsidRPr="00E54845">
        <w:rPr>
          <w:rFonts w:ascii="Times New Roman" w:hAnsi="Times New Roman" w:cs="Times New Roman"/>
          <w:sz w:val="28"/>
          <w:szCs w:val="28"/>
        </w:rPr>
        <w:t xml:space="preserve">onal poverty levels by the </w:t>
      </w:r>
      <w:r w:rsidR="002156DB" w:rsidRPr="00E54845">
        <w:rPr>
          <w:rFonts w:ascii="Times New Roman" w:hAnsi="Times New Roman" w:cs="Times New Roman"/>
          <w:sz w:val="28"/>
          <w:szCs w:val="28"/>
        </w:rPr>
        <w:t xml:space="preserve">large ‘labour reserve’ of unemployed teachers. </w:t>
      </w:r>
      <w:r w:rsidR="00883BAC" w:rsidRPr="00E54845">
        <w:rPr>
          <w:rFonts w:ascii="Times New Roman" w:hAnsi="Times New Roman" w:cs="Times New Roman"/>
          <w:sz w:val="28"/>
          <w:szCs w:val="28"/>
        </w:rPr>
        <w:t xml:space="preserve">Teachers are prepared to tolerate these poverty wages in the hope that they will eventually be employed in public schools. </w:t>
      </w:r>
    </w:p>
    <w:p w:rsidR="004E7552" w:rsidRPr="00E54845" w:rsidRDefault="004E7D7C" w:rsidP="00FE0E22">
      <w:pPr>
        <w:jc w:val="both"/>
        <w:rPr>
          <w:rFonts w:ascii="Times New Roman" w:hAnsi="Times New Roman" w:cs="Times New Roman"/>
          <w:i/>
          <w:sz w:val="28"/>
          <w:szCs w:val="28"/>
        </w:rPr>
      </w:pPr>
      <w:r w:rsidRPr="00E54845">
        <w:rPr>
          <w:rFonts w:ascii="Times New Roman" w:hAnsi="Times New Roman" w:cs="Times New Roman"/>
          <w:sz w:val="28"/>
          <w:szCs w:val="28"/>
        </w:rPr>
        <w:t xml:space="preserve">Higher TARs among secondary school teachers </w:t>
      </w:r>
      <w:r w:rsidR="001403AA" w:rsidRPr="00E54845">
        <w:rPr>
          <w:rFonts w:ascii="Times New Roman" w:hAnsi="Times New Roman" w:cs="Times New Roman"/>
          <w:sz w:val="28"/>
          <w:szCs w:val="28"/>
        </w:rPr>
        <w:t xml:space="preserve">are </w:t>
      </w:r>
      <w:r w:rsidR="004E7552" w:rsidRPr="00E54845">
        <w:rPr>
          <w:rFonts w:ascii="Times New Roman" w:hAnsi="Times New Roman" w:cs="Times New Roman"/>
          <w:sz w:val="28"/>
          <w:szCs w:val="28"/>
        </w:rPr>
        <w:t xml:space="preserve">probably </w:t>
      </w:r>
      <w:r w:rsidRPr="00E54845">
        <w:rPr>
          <w:rFonts w:ascii="Times New Roman" w:hAnsi="Times New Roman" w:cs="Times New Roman"/>
          <w:sz w:val="28"/>
          <w:szCs w:val="28"/>
        </w:rPr>
        <w:t>main</w:t>
      </w:r>
      <w:r w:rsidR="001403AA" w:rsidRPr="00E54845">
        <w:rPr>
          <w:rFonts w:ascii="Times New Roman" w:hAnsi="Times New Roman" w:cs="Times New Roman"/>
          <w:sz w:val="28"/>
          <w:szCs w:val="28"/>
        </w:rPr>
        <w:t>ly</w:t>
      </w:r>
      <w:r w:rsidRPr="00E54845">
        <w:rPr>
          <w:rFonts w:ascii="Times New Roman" w:hAnsi="Times New Roman" w:cs="Times New Roman"/>
          <w:sz w:val="28"/>
          <w:szCs w:val="28"/>
        </w:rPr>
        <w:t xml:space="preserve"> attributable to the higher marketability of teachers with university </w:t>
      </w:r>
      <w:r w:rsidR="001403AA" w:rsidRPr="00E54845">
        <w:rPr>
          <w:rFonts w:ascii="Times New Roman" w:hAnsi="Times New Roman" w:cs="Times New Roman"/>
          <w:sz w:val="28"/>
          <w:szCs w:val="28"/>
        </w:rPr>
        <w:t xml:space="preserve">degrees </w:t>
      </w:r>
      <w:r w:rsidRPr="00E54845">
        <w:rPr>
          <w:rFonts w:ascii="Times New Roman" w:hAnsi="Times New Roman" w:cs="Times New Roman"/>
          <w:sz w:val="28"/>
          <w:szCs w:val="28"/>
        </w:rPr>
        <w:t>compared with primary school teachers nearly all of whom have only teaching certificate and diploma qualifications.</w:t>
      </w:r>
    </w:p>
    <w:p w:rsidR="004E7D7C" w:rsidRPr="00E54845" w:rsidRDefault="00E54845">
      <w:pPr>
        <w:rPr>
          <w:rFonts w:ascii="Times New Roman" w:hAnsi="Times New Roman" w:cs="Times New Roman"/>
          <w:i/>
          <w:sz w:val="28"/>
          <w:szCs w:val="28"/>
        </w:rPr>
      </w:pPr>
      <w:r>
        <w:rPr>
          <w:rFonts w:ascii="Times New Roman" w:hAnsi="Times New Roman" w:cs="Times New Roman"/>
          <w:i/>
          <w:sz w:val="28"/>
          <w:szCs w:val="28"/>
        </w:rPr>
        <w:t xml:space="preserve">4.3 </w:t>
      </w:r>
      <w:r w:rsidR="004E7D7C" w:rsidRPr="00E54845">
        <w:rPr>
          <w:rFonts w:ascii="Times New Roman" w:hAnsi="Times New Roman" w:cs="Times New Roman"/>
          <w:i/>
          <w:sz w:val="28"/>
          <w:szCs w:val="28"/>
        </w:rPr>
        <w:t>Attrition trends</w:t>
      </w:r>
    </w:p>
    <w:p w:rsidR="008B5B44" w:rsidRPr="00E54845" w:rsidRDefault="00386B43" w:rsidP="004E7D7C">
      <w:pPr>
        <w:jc w:val="both"/>
        <w:rPr>
          <w:rFonts w:ascii="Times New Roman" w:hAnsi="Times New Roman" w:cs="Times New Roman"/>
          <w:sz w:val="28"/>
          <w:szCs w:val="28"/>
        </w:rPr>
      </w:pPr>
      <w:r w:rsidRPr="00E54845">
        <w:rPr>
          <w:rFonts w:ascii="Times New Roman" w:hAnsi="Times New Roman" w:cs="Times New Roman"/>
          <w:sz w:val="28"/>
          <w:szCs w:val="28"/>
        </w:rPr>
        <w:t xml:space="preserve">It is frequently </w:t>
      </w:r>
      <w:r w:rsidR="00C83C36" w:rsidRPr="00E54845">
        <w:rPr>
          <w:rFonts w:ascii="Times New Roman" w:hAnsi="Times New Roman" w:cs="Times New Roman"/>
          <w:sz w:val="28"/>
          <w:szCs w:val="28"/>
        </w:rPr>
        <w:t xml:space="preserve">contended (or at least </w:t>
      </w:r>
      <w:r w:rsidRPr="00E54845">
        <w:rPr>
          <w:rFonts w:ascii="Times New Roman" w:hAnsi="Times New Roman" w:cs="Times New Roman"/>
          <w:sz w:val="28"/>
          <w:szCs w:val="28"/>
        </w:rPr>
        <w:t>implied</w:t>
      </w:r>
      <w:r w:rsidR="00C83C36" w:rsidRPr="00E54845">
        <w:rPr>
          <w:rFonts w:ascii="Times New Roman" w:hAnsi="Times New Roman" w:cs="Times New Roman"/>
          <w:sz w:val="28"/>
          <w:szCs w:val="28"/>
        </w:rPr>
        <w:t>)</w:t>
      </w:r>
      <w:r w:rsidRPr="00E54845">
        <w:rPr>
          <w:rFonts w:ascii="Times New Roman" w:hAnsi="Times New Roman" w:cs="Times New Roman"/>
          <w:sz w:val="28"/>
          <w:szCs w:val="28"/>
        </w:rPr>
        <w:t xml:space="preserve"> that teacher attrition is worsening over time as teachers become increasingly dissatisfied with their jobs especially where working</w:t>
      </w:r>
      <w:r w:rsidR="00FE0E22" w:rsidRPr="00E54845">
        <w:rPr>
          <w:rFonts w:ascii="Times New Roman" w:hAnsi="Times New Roman" w:cs="Times New Roman"/>
          <w:sz w:val="28"/>
          <w:szCs w:val="28"/>
        </w:rPr>
        <w:t xml:space="preserve"> conditions are particularly poor</w:t>
      </w:r>
      <w:r w:rsidRPr="00E54845">
        <w:rPr>
          <w:rFonts w:ascii="Times New Roman" w:hAnsi="Times New Roman" w:cs="Times New Roman"/>
          <w:sz w:val="28"/>
          <w:szCs w:val="28"/>
        </w:rPr>
        <w:t xml:space="preserve">. However, time series data </w:t>
      </w:r>
      <w:r w:rsidR="004E7D7C" w:rsidRPr="00E54845">
        <w:rPr>
          <w:rFonts w:ascii="Times New Roman" w:hAnsi="Times New Roman" w:cs="Times New Roman"/>
          <w:sz w:val="28"/>
          <w:szCs w:val="28"/>
        </w:rPr>
        <w:t xml:space="preserve">on primary school teacher attrition </w:t>
      </w:r>
      <w:r w:rsidRPr="00E54845">
        <w:rPr>
          <w:rFonts w:ascii="Times New Roman" w:hAnsi="Times New Roman" w:cs="Times New Roman"/>
          <w:sz w:val="28"/>
          <w:szCs w:val="28"/>
        </w:rPr>
        <w:t xml:space="preserve">shows that </w:t>
      </w:r>
      <w:r w:rsidR="008B5B44" w:rsidRPr="00E54845">
        <w:rPr>
          <w:rFonts w:ascii="Times New Roman" w:hAnsi="Times New Roman" w:cs="Times New Roman"/>
          <w:sz w:val="28"/>
          <w:szCs w:val="28"/>
        </w:rPr>
        <w:t>national</w:t>
      </w:r>
      <w:r w:rsidR="004E7D7C" w:rsidRPr="00E54845">
        <w:rPr>
          <w:rFonts w:ascii="Times New Roman" w:hAnsi="Times New Roman" w:cs="Times New Roman"/>
          <w:sz w:val="28"/>
          <w:szCs w:val="28"/>
        </w:rPr>
        <w:t xml:space="preserve"> TARs have declined or remained largely unchanged in nearly 70% of the</w:t>
      </w:r>
      <w:r w:rsidRPr="00E54845">
        <w:rPr>
          <w:rFonts w:ascii="Times New Roman" w:hAnsi="Times New Roman" w:cs="Times New Roman"/>
          <w:sz w:val="28"/>
          <w:szCs w:val="28"/>
        </w:rPr>
        <w:t xml:space="preserve"> 23 </w:t>
      </w:r>
      <w:r w:rsidR="004E7D7C" w:rsidRPr="00E54845">
        <w:rPr>
          <w:rFonts w:ascii="Times New Roman" w:hAnsi="Times New Roman" w:cs="Times New Roman"/>
          <w:sz w:val="28"/>
          <w:szCs w:val="28"/>
        </w:rPr>
        <w:t>countries</w:t>
      </w:r>
      <w:r w:rsidRPr="00E54845">
        <w:rPr>
          <w:rFonts w:ascii="Times New Roman" w:hAnsi="Times New Roman" w:cs="Times New Roman"/>
          <w:sz w:val="28"/>
          <w:szCs w:val="28"/>
        </w:rPr>
        <w:t xml:space="preserve"> where this information is available</w:t>
      </w:r>
      <w:r w:rsidR="004E7D7C" w:rsidRPr="00E54845">
        <w:rPr>
          <w:rFonts w:ascii="Times New Roman" w:hAnsi="Times New Roman" w:cs="Times New Roman"/>
          <w:sz w:val="28"/>
          <w:szCs w:val="28"/>
        </w:rPr>
        <w:t xml:space="preserve">. </w:t>
      </w:r>
      <w:r w:rsidR="008B5B44" w:rsidRPr="00E54845">
        <w:rPr>
          <w:rFonts w:ascii="Times New Roman" w:hAnsi="Times New Roman" w:cs="Times New Roman"/>
          <w:sz w:val="28"/>
          <w:szCs w:val="28"/>
        </w:rPr>
        <w:t xml:space="preserve">This is perhaps not surprising given the deteriorating employment market conditions for teachers, in particular higher unemployment rates both for teachers and other relatively highly educated individuals and the growing mismatch between </w:t>
      </w:r>
      <w:r w:rsidRPr="00E54845">
        <w:rPr>
          <w:rFonts w:ascii="Times New Roman" w:hAnsi="Times New Roman" w:cs="Times New Roman"/>
          <w:sz w:val="28"/>
          <w:szCs w:val="28"/>
        </w:rPr>
        <w:t xml:space="preserve">teacher </w:t>
      </w:r>
      <w:r w:rsidR="008B5B44" w:rsidRPr="00E54845">
        <w:rPr>
          <w:rFonts w:ascii="Times New Roman" w:hAnsi="Times New Roman" w:cs="Times New Roman"/>
          <w:sz w:val="28"/>
          <w:szCs w:val="28"/>
        </w:rPr>
        <w:t>supply</w:t>
      </w:r>
      <w:r w:rsidRPr="00E54845">
        <w:rPr>
          <w:rFonts w:ascii="Times New Roman" w:hAnsi="Times New Roman" w:cs="Times New Roman"/>
          <w:sz w:val="28"/>
          <w:szCs w:val="28"/>
        </w:rPr>
        <w:t xml:space="preserve"> and demand</w:t>
      </w:r>
      <w:r w:rsidR="008B5B44" w:rsidRPr="00E54845">
        <w:rPr>
          <w:rFonts w:ascii="Times New Roman" w:hAnsi="Times New Roman" w:cs="Times New Roman"/>
          <w:sz w:val="28"/>
          <w:szCs w:val="28"/>
        </w:rPr>
        <w:t xml:space="preserve"> (see below).</w:t>
      </w:r>
    </w:p>
    <w:p w:rsidR="008B5B44" w:rsidRPr="00E54845" w:rsidRDefault="008B5B44" w:rsidP="004E7D7C">
      <w:pPr>
        <w:jc w:val="both"/>
        <w:rPr>
          <w:rFonts w:ascii="Times New Roman" w:hAnsi="Times New Roman" w:cs="Times New Roman"/>
          <w:sz w:val="28"/>
          <w:szCs w:val="28"/>
        </w:rPr>
      </w:pPr>
      <w:r w:rsidRPr="00E54845">
        <w:rPr>
          <w:rFonts w:ascii="Times New Roman" w:hAnsi="Times New Roman" w:cs="Times New Roman"/>
          <w:sz w:val="28"/>
          <w:szCs w:val="28"/>
        </w:rPr>
        <w:t xml:space="preserve">The impact of the Covid-19 pandemic is likely to have further reduced voluntary attrition rates among both public and private school teachers as alternative employment opportunities have contracted even further with the accompanying economic crisis in most countries. However, dismissals among teachers at private-for-profit schools increased dramatically as proprietors, faced with an almost complete loss of fee income during protracted school closures, laid-off most of their teachers.     </w:t>
      </w:r>
    </w:p>
    <w:p w:rsidR="003055CE" w:rsidRPr="00E54845" w:rsidRDefault="008B5B44" w:rsidP="00646CA0">
      <w:pPr>
        <w:jc w:val="both"/>
        <w:rPr>
          <w:rFonts w:ascii="Times New Roman" w:hAnsi="Times New Roman" w:cs="Times New Roman"/>
          <w:b/>
          <w:i/>
          <w:sz w:val="28"/>
          <w:szCs w:val="28"/>
        </w:rPr>
      </w:pPr>
      <w:r w:rsidRPr="00E54845">
        <w:rPr>
          <w:rFonts w:ascii="Times New Roman" w:hAnsi="Times New Roman" w:cs="Times New Roman"/>
          <w:sz w:val="28"/>
          <w:szCs w:val="28"/>
        </w:rPr>
        <w:t xml:space="preserve"> </w:t>
      </w:r>
      <w:r w:rsidR="003055CE" w:rsidRPr="00E54845">
        <w:rPr>
          <w:rFonts w:ascii="Times New Roman" w:hAnsi="Times New Roman" w:cs="Times New Roman"/>
          <w:b/>
          <w:i/>
          <w:sz w:val="28"/>
          <w:szCs w:val="28"/>
        </w:rPr>
        <w:t xml:space="preserve">5. </w:t>
      </w:r>
      <w:r w:rsidR="00CB06E5" w:rsidRPr="00E54845">
        <w:rPr>
          <w:rFonts w:ascii="Times New Roman" w:hAnsi="Times New Roman" w:cs="Times New Roman"/>
          <w:b/>
          <w:i/>
          <w:sz w:val="28"/>
          <w:szCs w:val="28"/>
        </w:rPr>
        <w:t>R</w:t>
      </w:r>
      <w:r w:rsidR="003055CE" w:rsidRPr="00E54845">
        <w:rPr>
          <w:rFonts w:ascii="Times New Roman" w:hAnsi="Times New Roman" w:cs="Times New Roman"/>
          <w:b/>
          <w:i/>
          <w:sz w:val="28"/>
          <w:szCs w:val="28"/>
        </w:rPr>
        <w:t xml:space="preserve">easons for low </w:t>
      </w:r>
      <w:r w:rsidR="003027B3" w:rsidRPr="00E54845">
        <w:rPr>
          <w:rFonts w:ascii="Times New Roman" w:hAnsi="Times New Roman" w:cs="Times New Roman"/>
          <w:b/>
          <w:i/>
          <w:sz w:val="28"/>
          <w:szCs w:val="28"/>
        </w:rPr>
        <w:t>resignation</w:t>
      </w:r>
      <w:r w:rsidR="00D6570F" w:rsidRPr="00E54845">
        <w:rPr>
          <w:rFonts w:ascii="Times New Roman" w:hAnsi="Times New Roman" w:cs="Times New Roman"/>
          <w:b/>
          <w:i/>
          <w:sz w:val="28"/>
          <w:szCs w:val="28"/>
        </w:rPr>
        <w:t xml:space="preserve"> rates</w:t>
      </w:r>
    </w:p>
    <w:p w:rsidR="0048748C" w:rsidRPr="00E54845" w:rsidRDefault="008B2D4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Any analysis of the reasons for low rates of primary school teacher attrition </w:t>
      </w:r>
      <w:r w:rsidR="00C83C36" w:rsidRPr="00E54845">
        <w:rPr>
          <w:rFonts w:ascii="Times New Roman" w:hAnsi="Times New Roman" w:cs="Times New Roman"/>
          <w:sz w:val="28"/>
          <w:szCs w:val="28"/>
        </w:rPr>
        <w:t xml:space="preserve">should be </w:t>
      </w:r>
      <w:r w:rsidRPr="00E54845">
        <w:rPr>
          <w:rFonts w:ascii="Times New Roman" w:hAnsi="Times New Roman" w:cs="Times New Roman"/>
          <w:sz w:val="28"/>
          <w:szCs w:val="28"/>
        </w:rPr>
        <w:t>based on</w:t>
      </w:r>
      <w:r w:rsidR="00F52145" w:rsidRPr="00E54845">
        <w:rPr>
          <w:rFonts w:ascii="Times New Roman" w:hAnsi="Times New Roman" w:cs="Times New Roman"/>
          <w:sz w:val="28"/>
          <w:szCs w:val="28"/>
        </w:rPr>
        <w:t xml:space="preserve"> an</w:t>
      </w:r>
      <w:r w:rsidRPr="00E54845">
        <w:rPr>
          <w:rFonts w:ascii="Times New Roman" w:hAnsi="Times New Roman" w:cs="Times New Roman"/>
          <w:sz w:val="28"/>
          <w:szCs w:val="28"/>
        </w:rPr>
        <w:t xml:space="preserve"> in-depth understanding of the structure and functioning of </w:t>
      </w:r>
      <w:r w:rsidRPr="00E54845">
        <w:rPr>
          <w:rFonts w:ascii="Times New Roman" w:hAnsi="Times New Roman" w:cs="Times New Roman"/>
          <w:sz w:val="28"/>
          <w:szCs w:val="28"/>
        </w:rPr>
        <w:lastRenderedPageBreak/>
        <w:t>teacher labour markets in each country in SSA.</w:t>
      </w:r>
      <w:r w:rsidR="00F52145" w:rsidRPr="00E54845">
        <w:rPr>
          <w:rFonts w:ascii="Times New Roman" w:hAnsi="Times New Roman" w:cs="Times New Roman"/>
          <w:sz w:val="28"/>
          <w:szCs w:val="28"/>
        </w:rPr>
        <w:t xml:space="preserve"> However, research in this key area remains minimal.</w:t>
      </w:r>
      <w:r w:rsidRPr="00E54845">
        <w:rPr>
          <w:rFonts w:ascii="Times New Roman" w:hAnsi="Times New Roman" w:cs="Times New Roman"/>
          <w:sz w:val="28"/>
          <w:szCs w:val="28"/>
        </w:rPr>
        <w:t xml:space="preserve"> </w:t>
      </w:r>
    </w:p>
    <w:p w:rsidR="00B231C8" w:rsidRPr="00E54845" w:rsidRDefault="00E54845" w:rsidP="00B231C8">
      <w:pPr>
        <w:jc w:val="both"/>
        <w:rPr>
          <w:rFonts w:ascii="Times New Roman" w:hAnsi="Times New Roman" w:cs="Times New Roman"/>
          <w:i/>
          <w:sz w:val="28"/>
          <w:szCs w:val="28"/>
        </w:rPr>
      </w:pPr>
      <w:r>
        <w:rPr>
          <w:rFonts w:ascii="Times New Roman" w:hAnsi="Times New Roman" w:cs="Times New Roman"/>
          <w:i/>
          <w:sz w:val="28"/>
          <w:szCs w:val="28"/>
        </w:rPr>
        <w:t xml:space="preserve">5.1 </w:t>
      </w:r>
      <w:r w:rsidR="00B231C8" w:rsidRPr="00E54845">
        <w:rPr>
          <w:rFonts w:ascii="Times New Roman" w:hAnsi="Times New Roman" w:cs="Times New Roman"/>
          <w:i/>
          <w:sz w:val="28"/>
          <w:szCs w:val="28"/>
        </w:rPr>
        <w:t xml:space="preserve">Teacher </w:t>
      </w:r>
      <w:r w:rsidR="00766065" w:rsidRPr="00E54845">
        <w:rPr>
          <w:rFonts w:ascii="Times New Roman" w:hAnsi="Times New Roman" w:cs="Times New Roman"/>
          <w:i/>
          <w:sz w:val="28"/>
          <w:szCs w:val="28"/>
        </w:rPr>
        <w:t>employment</w:t>
      </w:r>
      <w:r w:rsidR="00326265" w:rsidRPr="00E54845">
        <w:rPr>
          <w:rFonts w:ascii="Times New Roman" w:hAnsi="Times New Roman" w:cs="Times New Roman"/>
          <w:i/>
          <w:sz w:val="28"/>
          <w:szCs w:val="28"/>
        </w:rPr>
        <w:t>: an overview</w:t>
      </w:r>
    </w:p>
    <w:p w:rsidR="00766065" w:rsidRPr="00E54845" w:rsidRDefault="00326265" w:rsidP="00B231C8">
      <w:pPr>
        <w:jc w:val="both"/>
        <w:rPr>
          <w:rFonts w:ascii="Times New Roman" w:hAnsi="Times New Roman" w:cs="Times New Roman"/>
          <w:sz w:val="28"/>
          <w:szCs w:val="28"/>
        </w:rPr>
      </w:pPr>
      <w:r w:rsidRPr="00E54845">
        <w:rPr>
          <w:rFonts w:ascii="Times New Roman" w:hAnsi="Times New Roman" w:cs="Times New Roman"/>
          <w:sz w:val="28"/>
          <w:szCs w:val="28"/>
        </w:rPr>
        <w:t xml:space="preserve">Teachers account for a very sizeable share of formal sector employment throughout </w:t>
      </w:r>
      <w:r w:rsidR="00EC2F41" w:rsidRPr="00E54845">
        <w:rPr>
          <w:rFonts w:ascii="Times New Roman" w:hAnsi="Times New Roman" w:cs="Times New Roman"/>
          <w:sz w:val="28"/>
          <w:szCs w:val="28"/>
        </w:rPr>
        <w:t>SSA (see figure 5</w:t>
      </w:r>
      <w:r w:rsidRPr="00E54845">
        <w:rPr>
          <w:rFonts w:ascii="Times New Roman" w:hAnsi="Times New Roman" w:cs="Times New Roman"/>
          <w:sz w:val="28"/>
          <w:szCs w:val="28"/>
        </w:rPr>
        <w:t xml:space="preserve">). This is very important for both economic and political reasons. In particular, these high shares of teacher employment limit the relative availability of alternative non-teaching jobs. Sierra Leone is the most extreme case where teachers account for nearly 40% of formal sector employment. </w:t>
      </w:r>
    </w:p>
    <w:p w:rsidR="00FE0E22" w:rsidRPr="00E54845" w:rsidRDefault="00FE0E22" w:rsidP="00B231C8">
      <w:pPr>
        <w:jc w:val="both"/>
        <w:rPr>
          <w:rFonts w:ascii="Times New Roman" w:hAnsi="Times New Roman" w:cs="Times New Roman"/>
          <w:sz w:val="28"/>
          <w:szCs w:val="28"/>
        </w:rPr>
      </w:pPr>
      <w:r w:rsidRPr="00E54845">
        <w:rPr>
          <w:rFonts w:ascii="Times New Roman" w:hAnsi="Times New Roman" w:cs="Times New Roman"/>
          <w:sz w:val="28"/>
          <w:szCs w:val="28"/>
        </w:rPr>
        <w:t>The relative importance of teacher employment is particularly marked in relation to job creation in the formal sector. Table 2 shows that increases in teacher posts during the 2010s accounted for over one-quarter of all new jobs in the formal sector in eight out of the 12 countries for which data is available. In Ghana, for example, 55% of new jobs were in the education sector and 31% in Kenya and Nambia. The political economy implications of such a marked reliance on the education sector for job creation are likely</w:t>
      </w:r>
      <w:r w:rsidR="00DA7D8B" w:rsidRPr="00E54845">
        <w:rPr>
          <w:rFonts w:ascii="Times New Roman" w:hAnsi="Times New Roman" w:cs="Times New Roman"/>
          <w:sz w:val="28"/>
          <w:szCs w:val="28"/>
        </w:rPr>
        <w:t xml:space="preserve"> to be considerable (see Author</w:t>
      </w:r>
      <w:r w:rsidRPr="00E54845">
        <w:rPr>
          <w:rFonts w:ascii="Times New Roman" w:hAnsi="Times New Roman" w:cs="Times New Roman"/>
          <w:sz w:val="28"/>
          <w:szCs w:val="28"/>
        </w:rPr>
        <w:t xml:space="preserve"> 2021). Just as many governments in SSA rely heavily on teacher training institutions to absorb school leavers into the tertiary education sector, once they have graduated, the (labour intensive) education sector is disproportionately important in creating new</w:t>
      </w:r>
      <w:r w:rsidR="00C83C36" w:rsidRPr="00E54845">
        <w:rPr>
          <w:rFonts w:ascii="Times New Roman" w:hAnsi="Times New Roman" w:cs="Times New Roman"/>
          <w:sz w:val="28"/>
          <w:szCs w:val="28"/>
        </w:rPr>
        <w:t>,</w:t>
      </w:r>
      <w:r w:rsidRPr="00E54845">
        <w:rPr>
          <w:rFonts w:ascii="Times New Roman" w:hAnsi="Times New Roman" w:cs="Times New Roman"/>
          <w:sz w:val="28"/>
          <w:szCs w:val="28"/>
        </w:rPr>
        <w:t xml:space="preserve"> albeit usually quite limited</w:t>
      </w:r>
      <w:r w:rsidR="00C83C36" w:rsidRPr="00E54845">
        <w:rPr>
          <w:rFonts w:ascii="Times New Roman" w:hAnsi="Times New Roman" w:cs="Times New Roman"/>
          <w:sz w:val="28"/>
          <w:szCs w:val="28"/>
        </w:rPr>
        <w:t>,</w:t>
      </w:r>
      <w:r w:rsidRPr="00E54845">
        <w:rPr>
          <w:rFonts w:ascii="Times New Roman" w:hAnsi="Times New Roman" w:cs="Times New Roman"/>
          <w:sz w:val="28"/>
          <w:szCs w:val="28"/>
        </w:rPr>
        <w:t xml:space="preserve"> job opportunities in the economy as a whole. The enormous pressure to recruit new teachers in order to alleviate the ‘youth unemployment crisis’ also tends to crowd out the other essential recurrent and capital expenditures needed to ensure </w:t>
      </w:r>
      <w:r w:rsidR="00C83C36" w:rsidRPr="00E54845">
        <w:rPr>
          <w:rFonts w:ascii="Times New Roman" w:hAnsi="Times New Roman" w:cs="Times New Roman"/>
          <w:sz w:val="28"/>
          <w:szCs w:val="28"/>
        </w:rPr>
        <w:t>the provision of</w:t>
      </w:r>
      <w:r w:rsidRPr="00E54845">
        <w:rPr>
          <w:rFonts w:ascii="Times New Roman" w:hAnsi="Times New Roman" w:cs="Times New Roman"/>
          <w:sz w:val="28"/>
          <w:szCs w:val="28"/>
        </w:rPr>
        <w:t>cost-effective, quality education</w:t>
      </w:r>
      <w:r w:rsidR="00C83C36" w:rsidRPr="00E54845">
        <w:rPr>
          <w:rFonts w:ascii="Times New Roman" w:hAnsi="Times New Roman" w:cs="Times New Roman"/>
          <w:sz w:val="28"/>
          <w:szCs w:val="28"/>
        </w:rPr>
        <w:t xml:space="preserve"> in the region</w:t>
      </w:r>
      <w:r w:rsidRPr="00E54845">
        <w:rPr>
          <w:rFonts w:ascii="Times New Roman" w:hAnsi="Times New Roman" w:cs="Times New Roman"/>
          <w:sz w:val="28"/>
          <w:szCs w:val="28"/>
        </w:rPr>
        <w:t>.</w:t>
      </w:r>
    </w:p>
    <w:p w:rsidR="00EC2F41" w:rsidRPr="00E54845" w:rsidRDefault="00EC2F41" w:rsidP="00B231C8">
      <w:pPr>
        <w:jc w:val="both"/>
        <w:rPr>
          <w:rFonts w:ascii="Times New Roman" w:hAnsi="Times New Roman" w:cs="Times New Roman"/>
          <w:sz w:val="28"/>
          <w:szCs w:val="28"/>
        </w:rPr>
      </w:pPr>
      <w:r w:rsidRPr="00E54845">
        <w:rPr>
          <w:rFonts w:ascii="Times New Roman" w:hAnsi="Times New Roman" w:cs="Times New Roman"/>
          <w:noProof/>
          <w:sz w:val="28"/>
          <w:szCs w:val="28"/>
          <w:lang w:eastAsia="en-GB"/>
        </w:rPr>
        <w:drawing>
          <wp:inline distT="0" distB="0" distL="0" distR="0" wp14:anchorId="1ED164C0" wp14:editId="4480119D">
            <wp:extent cx="4932000" cy="274320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6D25" w:rsidRPr="00E54845" w:rsidRDefault="003F6D25" w:rsidP="00B231C8">
      <w:pPr>
        <w:jc w:val="both"/>
        <w:rPr>
          <w:rFonts w:ascii="Times New Roman" w:hAnsi="Times New Roman" w:cs="Times New Roman"/>
          <w:sz w:val="28"/>
          <w:szCs w:val="28"/>
        </w:rPr>
      </w:pPr>
    </w:p>
    <w:tbl>
      <w:tblPr>
        <w:tblW w:w="6772" w:type="dxa"/>
        <w:tblLook w:val="04A0" w:firstRow="1" w:lastRow="0" w:firstColumn="1" w:lastColumn="0" w:noHBand="0" w:noVBand="1"/>
      </w:tblPr>
      <w:tblGrid>
        <w:gridCol w:w="1701"/>
        <w:gridCol w:w="1227"/>
        <w:gridCol w:w="1882"/>
        <w:gridCol w:w="1134"/>
        <w:gridCol w:w="960"/>
      </w:tblGrid>
      <w:tr w:rsidR="00EC2F41" w:rsidRPr="00E54845" w:rsidTr="00E54845">
        <w:trPr>
          <w:trHeight w:val="288"/>
        </w:trPr>
        <w:tc>
          <w:tcPr>
            <w:tcW w:w="5812" w:type="dxa"/>
            <w:gridSpan w:val="4"/>
            <w:tcBorders>
              <w:top w:val="nil"/>
              <w:left w:val="nil"/>
              <w:bottom w:val="nil"/>
              <w:right w:val="nil"/>
            </w:tcBorders>
            <w:shd w:val="clear" w:color="auto" w:fill="auto"/>
            <w:noWrap/>
            <w:vAlign w:val="bottom"/>
            <w:hideMark/>
          </w:tcPr>
          <w:p w:rsidR="00E54845" w:rsidRDefault="00EC2F41" w:rsidP="00E54845">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lastRenderedPageBreak/>
              <w:t xml:space="preserve">Table 2: Change in teachers in-post as </w:t>
            </w:r>
            <w:r w:rsidR="00E54845">
              <w:rPr>
                <w:rFonts w:ascii="Times New Roman" w:eastAsia="Times New Roman" w:hAnsi="Times New Roman" w:cs="Times New Roman"/>
                <w:color w:val="000000"/>
                <w:sz w:val="28"/>
                <w:szCs w:val="28"/>
                <w:lang w:eastAsia="en-GB"/>
              </w:rPr>
              <w:t>% formal</w:t>
            </w:r>
          </w:p>
          <w:p w:rsidR="00EC2F41" w:rsidRPr="00E54845" w:rsidRDefault="00E54845" w:rsidP="00E54845">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sector employment (‘000 rounded) </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single" w:sz="8" w:space="0" w:color="auto"/>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Country</w:t>
            </w:r>
          </w:p>
        </w:tc>
        <w:tc>
          <w:tcPr>
            <w:tcW w:w="1095" w:type="dxa"/>
            <w:tcBorders>
              <w:top w:val="single" w:sz="8" w:space="0" w:color="auto"/>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Teachers</w:t>
            </w:r>
          </w:p>
        </w:tc>
        <w:tc>
          <w:tcPr>
            <w:tcW w:w="1882" w:type="dxa"/>
            <w:tcBorders>
              <w:top w:val="single" w:sz="8" w:space="0" w:color="auto"/>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Formal sector</w:t>
            </w:r>
          </w:p>
        </w:tc>
        <w:tc>
          <w:tcPr>
            <w:tcW w:w="1134" w:type="dxa"/>
            <w:tcBorders>
              <w:top w:val="single" w:sz="8" w:space="0" w:color="auto"/>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 teachers</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single" w:sz="4" w:space="0" w:color="auto"/>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Tanzania</w:t>
            </w:r>
          </w:p>
        </w:tc>
        <w:tc>
          <w:tcPr>
            <w:tcW w:w="1095" w:type="dxa"/>
            <w:tcBorders>
              <w:top w:val="single" w:sz="4" w:space="0" w:color="auto"/>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61</w:t>
            </w:r>
          </w:p>
        </w:tc>
        <w:tc>
          <w:tcPr>
            <w:tcW w:w="1882" w:type="dxa"/>
            <w:tcBorders>
              <w:top w:val="single" w:sz="4" w:space="0" w:color="auto"/>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1041</w:t>
            </w:r>
          </w:p>
        </w:tc>
        <w:tc>
          <w:tcPr>
            <w:tcW w:w="1134" w:type="dxa"/>
            <w:tcBorders>
              <w:top w:val="single" w:sz="4" w:space="0" w:color="auto"/>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6</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Senegal</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29</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264</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11</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Uganda</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52</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401</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13</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Mali</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26</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139</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19</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Niger</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31</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135</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23</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Cote d'Ivoire</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47</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165</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29</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Namibia</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10</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32</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31</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Kenya</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205</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662</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31</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Ghana</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133</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240</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55</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South Africa</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20</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-334</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100</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single" w:sz="8" w:space="0" w:color="auto"/>
              <w:bottom w:val="nil"/>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Madagascar</w:t>
            </w:r>
          </w:p>
        </w:tc>
        <w:tc>
          <w:tcPr>
            <w:tcW w:w="1095"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27</w:t>
            </w:r>
          </w:p>
        </w:tc>
        <w:tc>
          <w:tcPr>
            <w:tcW w:w="1882" w:type="dxa"/>
            <w:tcBorders>
              <w:top w:val="nil"/>
              <w:left w:val="nil"/>
              <w:bottom w:val="nil"/>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-7</w:t>
            </w:r>
          </w:p>
        </w:tc>
        <w:tc>
          <w:tcPr>
            <w:tcW w:w="1134" w:type="dxa"/>
            <w:tcBorders>
              <w:top w:val="nil"/>
              <w:left w:val="single" w:sz="4" w:space="0" w:color="auto"/>
              <w:bottom w:val="nil"/>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100</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300"/>
        </w:trPr>
        <w:tc>
          <w:tcPr>
            <w:tcW w:w="1701" w:type="dxa"/>
            <w:tcBorders>
              <w:top w:val="nil"/>
              <w:left w:val="single" w:sz="8" w:space="0" w:color="auto"/>
              <w:bottom w:val="single" w:sz="8" w:space="0" w:color="auto"/>
              <w:right w:val="nil"/>
            </w:tcBorders>
            <w:shd w:val="clear" w:color="000000" w:fill="DDEBF7"/>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Gambia</w:t>
            </w:r>
          </w:p>
        </w:tc>
        <w:tc>
          <w:tcPr>
            <w:tcW w:w="1095" w:type="dxa"/>
            <w:tcBorders>
              <w:top w:val="nil"/>
              <w:left w:val="nil"/>
              <w:bottom w:val="single" w:sz="8" w:space="0" w:color="auto"/>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7</w:t>
            </w:r>
          </w:p>
        </w:tc>
        <w:tc>
          <w:tcPr>
            <w:tcW w:w="1882" w:type="dxa"/>
            <w:tcBorders>
              <w:top w:val="nil"/>
              <w:left w:val="nil"/>
              <w:bottom w:val="single" w:sz="8" w:space="0" w:color="auto"/>
              <w:right w:val="nil"/>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-21</w:t>
            </w:r>
          </w:p>
        </w:tc>
        <w:tc>
          <w:tcPr>
            <w:tcW w:w="1134" w:type="dxa"/>
            <w:tcBorders>
              <w:top w:val="nil"/>
              <w:left w:val="single" w:sz="4" w:space="0" w:color="auto"/>
              <w:bottom w:val="single" w:sz="8" w:space="0" w:color="auto"/>
              <w:right w:val="single" w:sz="8" w:space="0" w:color="auto"/>
            </w:tcBorders>
            <w:shd w:val="clear" w:color="000000" w:fill="DDEBF7"/>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100</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jc w:val="center"/>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5812" w:type="dxa"/>
            <w:gridSpan w:val="4"/>
            <w:tcBorders>
              <w:top w:val="nil"/>
              <w:left w:val="nil"/>
              <w:bottom w:val="nil"/>
              <w:right w:val="nil"/>
            </w:tcBorders>
            <w:shd w:val="clear" w:color="auto" w:fill="auto"/>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Notes: From the early 2010s to late 2010s or nearest years</w:t>
            </w:r>
            <w:r w:rsidR="00E54845">
              <w:rPr>
                <w:rFonts w:ascii="Times New Roman" w:eastAsia="Times New Roman" w:hAnsi="Times New Roman" w:cs="Times New Roman"/>
                <w:color w:val="000000"/>
                <w:sz w:val="28"/>
                <w:szCs w:val="28"/>
                <w:lang w:eastAsia="en-GB"/>
              </w:rPr>
              <w:t xml:space="preserve"> available</w:t>
            </w:r>
            <w:r w:rsidR="00FF77D2">
              <w:rPr>
                <w:rFonts w:ascii="Times New Roman" w:eastAsia="Times New Roman" w:hAnsi="Times New Roman" w:cs="Times New Roman"/>
                <w:color w:val="000000"/>
                <w:sz w:val="28"/>
                <w:szCs w:val="28"/>
                <w:lang w:eastAsia="en-GB"/>
              </w:rPr>
              <w:t>.</w:t>
            </w:r>
          </w:p>
        </w:tc>
        <w:tc>
          <w:tcPr>
            <w:tcW w:w="960" w:type="dxa"/>
            <w:tcBorders>
              <w:top w:val="nil"/>
              <w:left w:val="nil"/>
              <w:bottom w:val="nil"/>
              <w:right w:val="nil"/>
            </w:tcBorders>
            <w:shd w:val="clear" w:color="auto" w:fill="auto"/>
            <w:noWrap/>
            <w:vAlign w:val="bottom"/>
            <w:hideMark/>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p>
        </w:tc>
      </w:tr>
      <w:tr w:rsidR="00EC2F41" w:rsidRPr="00E54845" w:rsidTr="00E54845">
        <w:trPr>
          <w:trHeight w:val="288"/>
        </w:trPr>
        <w:tc>
          <w:tcPr>
            <w:tcW w:w="1701" w:type="dxa"/>
            <w:tcBorders>
              <w:top w:val="nil"/>
              <w:left w:val="nil"/>
              <w:bottom w:val="nil"/>
              <w:right w:val="nil"/>
            </w:tcBorders>
            <w:shd w:val="clear" w:color="auto" w:fill="auto"/>
            <w:noWrap/>
            <w:vAlign w:val="bottom"/>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p>
        </w:tc>
        <w:tc>
          <w:tcPr>
            <w:tcW w:w="1095" w:type="dxa"/>
            <w:tcBorders>
              <w:top w:val="nil"/>
              <w:left w:val="nil"/>
              <w:bottom w:val="nil"/>
              <w:right w:val="nil"/>
            </w:tcBorders>
            <w:shd w:val="clear" w:color="auto" w:fill="auto"/>
            <w:noWrap/>
            <w:vAlign w:val="bottom"/>
          </w:tcPr>
          <w:p w:rsidR="00EC2F41" w:rsidRPr="00E54845" w:rsidRDefault="00EC2F41" w:rsidP="00EC2F41">
            <w:pPr>
              <w:spacing w:after="0" w:line="240" w:lineRule="auto"/>
              <w:rPr>
                <w:rFonts w:ascii="Times New Roman" w:eastAsia="Times New Roman" w:hAnsi="Times New Roman" w:cs="Times New Roman"/>
                <w:color w:val="000000"/>
                <w:sz w:val="28"/>
                <w:szCs w:val="28"/>
                <w:lang w:eastAsia="en-GB"/>
              </w:rPr>
            </w:pPr>
          </w:p>
        </w:tc>
        <w:tc>
          <w:tcPr>
            <w:tcW w:w="1882" w:type="dxa"/>
            <w:tcBorders>
              <w:top w:val="nil"/>
              <w:left w:val="nil"/>
              <w:bottom w:val="nil"/>
              <w:right w:val="nil"/>
            </w:tcBorders>
            <w:shd w:val="clear" w:color="auto" w:fill="auto"/>
            <w:noWrap/>
            <w:vAlign w:val="bottom"/>
          </w:tcPr>
          <w:p w:rsidR="00EC2F41" w:rsidRPr="00E54845" w:rsidRDefault="00EC2F41" w:rsidP="00EC2F41">
            <w:pPr>
              <w:spacing w:after="0" w:line="240" w:lineRule="auto"/>
              <w:jc w:val="center"/>
              <w:rPr>
                <w:rFonts w:ascii="Times New Roman" w:eastAsia="Times New Roman" w:hAnsi="Times New Roman" w:cs="Times New Roman"/>
                <w:sz w:val="28"/>
                <w:szCs w:val="28"/>
                <w:lang w:eastAsia="en-GB"/>
              </w:rPr>
            </w:pPr>
          </w:p>
        </w:tc>
        <w:tc>
          <w:tcPr>
            <w:tcW w:w="1134" w:type="dxa"/>
            <w:tcBorders>
              <w:top w:val="nil"/>
              <w:left w:val="nil"/>
              <w:bottom w:val="nil"/>
              <w:right w:val="nil"/>
            </w:tcBorders>
            <w:shd w:val="clear" w:color="auto" w:fill="auto"/>
            <w:noWrap/>
            <w:vAlign w:val="bottom"/>
          </w:tcPr>
          <w:p w:rsidR="00EC2F41" w:rsidRPr="00E54845" w:rsidRDefault="00EC2F41" w:rsidP="00EC2F41">
            <w:pPr>
              <w:spacing w:after="0" w:line="240" w:lineRule="auto"/>
              <w:jc w:val="center"/>
              <w:rPr>
                <w:rFonts w:ascii="Times New Roman" w:eastAsia="Times New Roman" w:hAnsi="Times New Roman" w:cs="Times New Roman"/>
                <w:sz w:val="28"/>
                <w:szCs w:val="28"/>
                <w:lang w:eastAsia="en-GB"/>
              </w:rPr>
            </w:pPr>
          </w:p>
        </w:tc>
        <w:tc>
          <w:tcPr>
            <w:tcW w:w="960" w:type="dxa"/>
            <w:tcBorders>
              <w:top w:val="nil"/>
              <w:left w:val="nil"/>
              <w:bottom w:val="nil"/>
              <w:right w:val="nil"/>
            </w:tcBorders>
            <w:shd w:val="clear" w:color="auto" w:fill="auto"/>
            <w:noWrap/>
            <w:vAlign w:val="bottom"/>
          </w:tcPr>
          <w:p w:rsidR="00EC2F41" w:rsidRPr="00E54845" w:rsidRDefault="00EC2F41" w:rsidP="00EC2F41">
            <w:pPr>
              <w:spacing w:after="0" w:line="240" w:lineRule="auto"/>
              <w:jc w:val="center"/>
              <w:rPr>
                <w:rFonts w:ascii="Times New Roman" w:eastAsia="Times New Roman" w:hAnsi="Times New Roman" w:cs="Times New Roman"/>
                <w:sz w:val="28"/>
                <w:szCs w:val="28"/>
                <w:lang w:eastAsia="en-GB"/>
              </w:rPr>
            </w:pPr>
          </w:p>
        </w:tc>
      </w:tr>
    </w:tbl>
    <w:p w:rsidR="00326265" w:rsidRPr="00E54845" w:rsidRDefault="00FF77D2" w:rsidP="00B231C8">
      <w:pPr>
        <w:jc w:val="both"/>
        <w:rPr>
          <w:rFonts w:ascii="Times New Roman" w:hAnsi="Times New Roman" w:cs="Times New Roman"/>
          <w:i/>
          <w:sz w:val="28"/>
          <w:szCs w:val="28"/>
        </w:rPr>
      </w:pPr>
      <w:r>
        <w:rPr>
          <w:rFonts w:ascii="Times New Roman" w:hAnsi="Times New Roman" w:cs="Times New Roman"/>
          <w:i/>
          <w:sz w:val="28"/>
          <w:szCs w:val="28"/>
        </w:rPr>
        <w:t xml:space="preserve">5.2 </w:t>
      </w:r>
      <w:r w:rsidR="00326265" w:rsidRPr="00E54845">
        <w:rPr>
          <w:rFonts w:ascii="Times New Roman" w:hAnsi="Times New Roman" w:cs="Times New Roman"/>
          <w:i/>
          <w:sz w:val="28"/>
          <w:szCs w:val="28"/>
        </w:rPr>
        <w:t xml:space="preserve">Teacher unemployment </w:t>
      </w:r>
    </w:p>
    <w:p w:rsidR="00766065" w:rsidRPr="00E54845" w:rsidRDefault="00B231C8" w:rsidP="00B231C8">
      <w:pPr>
        <w:jc w:val="both"/>
        <w:rPr>
          <w:rFonts w:ascii="Times New Roman" w:hAnsi="Times New Roman" w:cs="Times New Roman"/>
          <w:sz w:val="28"/>
          <w:szCs w:val="28"/>
        </w:rPr>
      </w:pPr>
      <w:r w:rsidRPr="00E54845">
        <w:rPr>
          <w:rFonts w:ascii="Times New Roman" w:hAnsi="Times New Roman" w:cs="Times New Roman"/>
          <w:sz w:val="28"/>
          <w:szCs w:val="28"/>
        </w:rPr>
        <w:t>Evidence is patchy but the main consequence of the sizeable mismatch between the (effective) demand and supply of teachers in SSA is high rates of teacher unemployment in the majority of countries</w:t>
      </w:r>
      <w:r w:rsidR="00590F4C" w:rsidRPr="00E54845">
        <w:rPr>
          <w:rFonts w:ascii="Times New Roman" w:hAnsi="Times New Roman" w:cs="Times New Roman"/>
          <w:sz w:val="28"/>
          <w:szCs w:val="28"/>
        </w:rPr>
        <w:t>, certainly in Anglophone Africa</w:t>
      </w:r>
      <w:r w:rsidRPr="00E54845">
        <w:rPr>
          <w:rFonts w:ascii="Times New Roman" w:hAnsi="Times New Roman" w:cs="Times New Roman"/>
          <w:sz w:val="28"/>
          <w:szCs w:val="28"/>
        </w:rPr>
        <w:t xml:space="preserve">. In Kenya, </w:t>
      </w:r>
      <w:r w:rsidR="00FE0E22" w:rsidRPr="00E54845">
        <w:rPr>
          <w:rFonts w:ascii="Times New Roman" w:hAnsi="Times New Roman" w:cs="Times New Roman"/>
          <w:sz w:val="28"/>
          <w:szCs w:val="28"/>
        </w:rPr>
        <w:t xml:space="preserve">in 2021, </w:t>
      </w:r>
      <w:r w:rsidRPr="00E54845">
        <w:rPr>
          <w:rFonts w:ascii="Times New Roman" w:hAnsi="Times New Roman" w:cs="Times New Roman"/>
          <w:sz w:val="28"/>
          <w:szCs w:val="28"/>
        </w:rPr>
        <w:t>300,000 out of 755,000 teachers registered with the Teacher Services Commission</w:t>
      </w:r>
      <w:r w:rsidR="00FE0E22" w:rsidRPr="00E54845">
        <w:rPr>
          <w:rFonts w:ascii="Times New Roman" w:hAnsi="Times New Roman" w:cs="Times New Roman"/>
          <w:sz w:val="28"/>
          <w:szCs w:val="28"/>
        </w:rPr>
        <w:t xml:space="preserve"> were</w:t>
      </w:r>
      <w:r w:rsidRPr="00E54845">
        <w:rPr>
          <w:rFonts w:ascii="Times New Roman" w:hAnsi="Times New Roman" w:cs="Times New Roman"/>
          <w:sz w:val="28"/>
          <w:szCs w:val="28"/>
        </w:rPr>
        <w:t xml:space="preserve"> looking for teaching jobs. In 2019, 103,000 teachers applied for 10,000 </w:t>
      </w:r>
      <w:r w:rsidR="00766065" w:rsidRPr="00E54845">
        <w:rPr>
          <w:rFonts w:ascii="Times New Roman" w:hAnsi="Times New Roman" w:cs="Times New Roman"/>
          <w:sz w:val="28"/>
          <w:szCs w:val="28"/>
        </w:rPr>
        <w:t>‘</w:t>
      </w:r>
      <w:r w:rsidRPr="00E54845">
        <w:rPr>
          <w:rFonts w:ascii="Times New Roman" w:hAnsi="Times New Roman" w:cs="Times New Roman"/>
          <w:sz w:val="28"/>
          <w:szCs w:val="28"/>
        </w:rPr>
        <w:t>internships</w:t>
      </w:r>
      <w:r w:rsidR="00766065" w:rsidRPr="00E54845">
        <w:rPr>
          <w:rFonts w:ascii="Times New Roman" w:hAnsi="Times New Roman" w:cs="Times New Roman"/>
          <w:sz w:val="28"/>
          <w:szCs w:val="28"/>
        </w:rPr>
        <w:t>’ in government schools</w:t>
      </w:r>
      <w:r w:rsidRPr="00E54845">
        <w:rPr>
          <w:rFonts w:ascii="Times New Roman" w:hAnsi="Times New Roman" w:cs="Times New Roman"/>
          <w:sz w:val="28"/>
          <w:szCs w:val="28"/>
        </w:rPr>
        <w:t xml:space="preserve">. </w:t>
      </w:r>
      <w:r w:rsidR="00D91144" w:rsidRPr="00E54845">
        <w:rPr>
          <w:rFonts w:ascii="Times New Roman" w:hAnsi="Times New Roman" w:cs="Times New Roman"/>
          <w:sz w:val="28"/>
          <w:szCs w:val="28"/>
        </w:rPr>
        <w:t xml:space="preserve">Similar applicant-vacancy ratios are evident in other countries. </w:t>
      </w:r>
      <w:r w:rsidRPr="00E54845">
        <w:rPr>
          <w:rFonts w:ascii="Times New Roman" w:hAnsi="Times New Roman" w:cs="Times New Roman"/>
          <w:sz w:val="28"/>
          <w:szCs w:val="28"/>
        </w:rPr>
        <w:t xml:space="preserve">Around one-third </w:t>
      </w:r>
      <w:r w:rsidR="00766065" w:rsidRPr="00E54845">
        <w:rPr>
          <w:rFonts w:ascii="Times New Roman" w:hAnsi="Times New Roman" w:cs="Times New Roman"/>
          <w:sz w:val="28"/>
          <w:szCs w:val="28"/>
        </w:rPr>
        <w:t xml:space="preserve">of teachers </w:t>
      </w:r>
      <w:r w:rsidRPr="00E54845">
        <w:rPr>
          <w:rFonts w:ascii="Times New Roman" w:hAnsi="Times New Roman" w:cs="Times New Roman"/>
          <w:sz w:val="28"/>
          <w:szCs w:val="28"/>
        </w:rPr>
        <w:t>in Zambia and at least one-quarter in Nigeria and Zimbabwe</w:t>
      </w:r>
      <w:r w:rsidR="00766065" w:rsidRPr="00E54845">
        <w:rPr>
          <w:rFonts w:ascii="Times New Roman" w:hAnsi="Times New Roman" w:cs="Times New Roman"/>
          <w:sz w:val="28"/>
          <w:szCs w:val="28"/>
        </w:rPr>
        <w:t xml:space="preserve"> are unemployed. Recruitment ‘bans’ for all or some categories of </w:t>
      </w:r>
      <w:r w:rsidR="00D91144" w:rsidRPr="00E54845">
        <w:rPr>
          <w:rFonts w:ascii="Times New Roman" w:hAnsi="Times New Roman" w:cs="Times New Roman"/>
          <w:sz w:val="28"/>
          <w:szCs w:val="28"/>
        </w:rPr>
        <w:t xml:space="preserve">teacher graduates has </w:t>
      </w:r>
      <w:r w:rsidR="00766065" w:rsidRPr="00E54845">
        <w:rPr>
          <w:rFonts w:ascii="Times New Roman" w:hAnsi="Times New Roman" w:cs="Times New Roman"/>
          <w:sz w:val="28"/>
          <w:szCs w:val="28"/>
        </w:rPr>
        <w:t>exacerbated this situation in some countries (such as Ghana). M</w:t>
      </w:r>
      <w:r w:rsidR="00D91144" w:rsidRPr="00E54845">
        <w:rPr>
          <w:rFonts w:ascii="Times New Roman" w:hAnsi="Times New Roman" w:cs="Times New Roman"/>
          <w:sz w:val="28"/>
          <w:szCs w:val="28"/>
        </w:rPr>
        <w:t>arche</w:t>
      </w:r>
      <w:r w:rsidRPr="00E54845">
        <w:rPr>
          <w:rFonts w:ascii="Times New Roman" w:hAnsi="Times New Roman" w:cs="Times New Roman"/>
          <w:sz w:val="28"/>
          <w:szCs w:val="28"/>
        </w:rPr>
        <w:t xml:space="preserve">s and </w:t>
      </w:r>
      <w:r w:rsidR="00766065" w:rsidRPr="00E54845">
        <w:rPr>
          <w:rFonts w:ascii="Times New Roman" w:hAnsi="Times New Roman" w:cs="Times New Roman"/>
          <w:sz w:val="28"/>
          <w:szCs w:val="28"/>
        </w:rPr>
        <w:t xml:space="preserve">other kinds of </w:t>
      </w:r>
      <w:r w:rsidRPr="00E54845">
        <w:rPr>
          <w:rFonts w:ascii="Times New Roman" w:hAnsi="Times New Roman" w:cs="Times New Roman"/>
          <w:sz w:val="28"/>
          <w:szCs w:val="28"/>
        </w:rPr>
        <w:t xml:space="preserve">demonstrations </w:t>
      </w:r>
      <w:r w:rsidR="00766065" w:rsidRPr="00E54845">
        <w:rPr>
          <w:rFonts w:ascii="Times New Roman" w:hAnsi="Times New Roman" w:cs="Times New Roman"/>
          <w:sz w:val="28"/>
          <w:szCs w:val="28"/>
        </w:rPr>
        <w:t xml:space="preserve">by teacher </w:t>
      </w:r>
      <w:r w:rsidRPr="00E54845">
        <w:rPr>
          <w:rFonts w:ascii="Times New Roman" w:hAnsi="Times New Roman" w:cs="Times New Roman"/>
          <w:sz w:val="28"/>
          <w:szCs w:val="28"/>
        </w:rPr>
        <w:t>graduates</w:t>
      </w:r>
      <w:r w:rsidR="00766065" w:rsidRPr="00E54845">
        <w:rPr>
          <w:rFonts w:ascii="Times New Roman" w:hAnsi="Times New Roman" w:cs="Times New Roman"/>
          <w:sz w:val="28"/>
          <w:szCs w:val="28"/>
        </w:rPr>
        <w:t xml:space="preserve"> are regularly reported upon in many countries</w:t>
      </w:r>
      <w:r w:rsidRPr="00E54845">
        <w:rPr>
          <w:rFonts w:ascii="Times New Roman" w:hAnsi="Times New Roman" w:cs="Times New Roman"/>
          <w:sz w:val="28"/>
          <w:szCs w:val="28"/>
        </w:rPr>
        <w:t>.</w:t>
      </w:r>
      <w:r w:rsidR="00766065" w:rsidRPr="00E54845">
        <w:rPr>
          <w:rFonts w:ascii="Times New Roman" w:hAnsi="Times New Roman" w:cs="Times New Roman"/>
          <w:sz w:val="28"/>
          <w:szCs w:val="28"/>
        </w:rPr>
        <w:t xml:space="preserve"> Organisations of unemployed teachers have also begun to spring up (as in Nigeria and Zambia). </w:t>
      </w:r>
      <w:r w:rsidRPr="00E54845">
        <w:rPr>
          <w:rFonts w:ascii="Times New Roman" w:hAnsi="Times New Roman" w:cs="Times New Roman"/>
          <w:sz w:val="28"/>
          <w:szCs w:val="28"/>
        </w:rPr>
        <w:t xml:space="preserve"> </w:t>
      </w:r>
    </w:p>
    <w:p w:rsidR="00735117" w:rsidRPr="00E54845" w:rsidRDefault="00FF77D2" w:rsidP="00646CA0">
      <w:pPr>
        <w:jc w:val="both"/>
        <w:rPr>
          <w:rFonts w:ascii="Times New Roman" w:hAnsi="Times New Roman" w:cs="Times New Roman"/>
          <w:i/>
          <w:sz w:val="28"/>
          <w:szCs w:val="28"/>
        </w:rPr>
      </w:pPr>
      <w:r>
        <w:rPr>
          <w:rFonts w:ascii="Times New Roman" w:hAnsi="Times New Roman" w:cs="Times New Roman"/>
          <w:i/>
          <w:sz w:val="28"/>
          <w:szCs w:val="28"/>
        </w:rPr>
        <w:t xml:space="preserve">5.3 </w:t>
      </w:r>
      <w:r w:rsidR="0048748C" w:rsidRPr="00E54845">
        <w:rPr>
          <w:rFonts w:ascii="Times New Roman" w:hAnsi="Times New Roman" w:cs="Times New Roman"/>
          <w:i/>
          <w:sz w:val="28"/>
          <w:szCs w:val="28"/>
        </w:rPr>
        <w:t>Teacher effective demand</w:t>
      </w:r>
    </w:p>
    <w:p w:rsidR="0048748C" w:rsidRPr="00E54845" w:rsidRDefault="0048748C" w:rsidP="0048748C">
      <w:pPr>
        <w:jc w:val="both"/>
        <w:rPr>
          <w:rFonts w:ascii="Times New Roman" w:hAnsi="Times New Roman" w:cs="Times New Roman"/>
          <w:sz w:val="28"/>
          <w:szCs w:val="28"/>
        </w:rPr>
      </w:pPr>
      <w:r w:rsidRPr="00E54845">
        <w:rPr>
          <w:rFonts w:ascii="Times New Roman" w:hAnsi="Times New Roman" w:cs="Times New Roman"/>
          <w:sz w:val="28"/>
          <w:szCs w:val="28"/>
        </w:rPr>
        <w:t xml:space="preserve">In most countries, the main reason for low TARs is that, while </w:t>
      </w:r>
      <w:r w:rsidR="00D91144" w:rsidRPr="00E54845">
        <w:rPr>
          <w:rFonts w:ascii="Times New Roman" w:hAnsi="Times New Roman" w:cs="Times New Roman"/>
          <w:sz w:val="28"/>
          <w:szCs w:val="28"/>
        </w:rPr>
        <w:t xml:space="preserve">many </w:t>
      </w:r>
      <w:r w:rsidRPr="00E54845">
        <w:rPr>
          <w:rFonts w:ascii="Times New Roman" w:hAnsi="Times New Roman" w:cs="Times New Roman"/>
          <w:sz w:val="28"/>
          <w:szCs w:val="28"/>
        </w:rPr>
        <w:t>teacher</w:t>
      </w:r>
      <w:r w:rsidR="00D91144" w:rsidRPr="00E54845">
        <w:rPr>
          <w:rFonts w:ascii="Times New Roman" w:hAnsi="Times New Roman" w:cs="Times New Roman"/>
          <w:sz w:val="28"/>
          <w:szCs w:val="28"/>
        </w:rPr>
        <w:t>s</w:t>
      </w:r>
      <w:r w:rsidRPr="00E54845">
        <w:rPr>
          <w:rFonts w:ascii="Times New Roman" w:hAnsi="Times New Roman" w:cs="Times New Roman"/>
          <w:sz w:val="28"/>
          <w:szCs w:val="28"/>
        </w:rPr>
        <w:t xml:space="preserve"> are </w:t>
      </w:r>
      <w:r w:rsidR="00FE0E22" w:rsidRPr="00E54845">
        <w:rPr>
          <w:rFonts w:ascii="Times New Roman" w:hAnsi="Times New Roman" w:cs="Times New Roman"/>
          <w:sz w:val="28"/>
          <w:szCs w:val="28"/>
        </w:rPr>
        <w:t xml:space="preserve">dissatisfied and even </w:t>
      </w:r>
      <w:r w:rsidRPr="00E54845">
        <w:rPr>
          <w:rFonts w:ascii="Times New Roman" w:hAnsi="Times New Roman" w:cs="Times New Roman"/>
          <w:sz w:val="28"/>
          <w:szCs w:val="28"/>
        </w:rPr>
        <w:t xml:space="preserve">demoralised and express </w:t>
      </w:r>
      <w:r w:rsidR="00D91144" w:rsidRPr="00E54845">
        <w:rPr>
          <w:rFonts w:ascii="Times New Roman" w:hAnsi="Times New Roman" w:cs="Times New Roman"/>
          <w:sz w:val="28"/>
          <w:szCs w:val="28"/>
        </w:rPr>
        <w:t xml:space="preserve">strong </w:t>
      </w:r>
      <w:r w:rsidRPr="00E54845">
        <w:rPr>
          <w:rFonts w:ascii="Times New Roman" w:hAnsi="Times New Roman" w:cs="Times New Roman"/>
          <w:sz w:val="28"/>
          <w:szCs w:val="28"/>
        </w:rPr>
        <w:t xml:space="preserve">intentions to leave, </w:t>
      </w:r>
      <w:r w:rsidR="00164BC8" w:rsidRPr="00E54845">
        <w:rPr>
          <w:rFonts w:ascii="Times New Roman" w:hAnsi="Times New Roman" w:cs="Times New Roman"/>
          <w:sz w:val="28"/>
          <w:szCs w:val="28"/>
        </w:rPr>
        <w:t xml:space="preserve">in </w:t>
      </w:r>
      <w:r w:rsidRPr="00E54845">
        <w:rPr>
          <w:rFonts w:ascii="Times New Roman" w:hAnsi="Times New Roman" w:cs="Times New Roman"/>
          <w:sz w:val="28"/>
          <w:szCs w:val="28"/>
        </w:rPr>
        <w:t xml:space="preserve">most countries primary school teachers have very limited alternative employment opportunities either nationally or internationally, and are obliged, therefore, to remain in their jobs. This is the result of the combined interaction of both supply and demand factors. While ‘teacher shortages’ may be high due to the need for </w:t>
      </w:r>
      <w:r w:rsidRPr="00E54845">
        <w:rPr>
          <w:rFonts w:ascii="Times New Roman" w:hAnsi="Times New Roman" w:cs="Times New Roman"/>
          <w:sz w:val="28"/>
          <w:szCs w:val="28"/>
        </w:rPr>
        <w:lastRenderedPageBreak/>
        <w:t xml:space="preserve">new teaching posts and/or </w:t>
      </w:r>
      <w:r w:rsidR="00652284" w:rsidRPr="00E54845">
        <w:rPr>
          <w:rFonts w:ascii="Times New Roman" w:hAnsi="Times New Roman" w:cs="Times New Roman"/>
          <w:sz w:val="28"/>
          <w:szCs w:val="28"/>
        </w:rPr>
        <w:t xml:space="preserve">to fill </w:t>
      </w:r>
      <w:r w:rsidRPr="00E54845">
        <w:rPr>
          <w:rFonts w:ascii="Times New Roman" w:hAnsi="Times New Roman" w:cs="Times New Roman"/>
          <w:sz w:val="28"/>
          <w:szCs w:val="28"/>
        </w:rPr>
        <w:t>large numbers of existing ‘vacant posts’, the limited financial capacity of most governments is such that the overall ‘effective demand’</w:t>
      </w:r>
      <w:r w:rsidR="00652284" w:rsidRPr="00E54845">
        <w:rPr>
          <w:rFonts w:ascii="Times New Roman" w:hAnsi="Times New Roman" w:cs="Times New Roman"/>
          <w:sz w:val="28"/>
          <w:szCs w:val="28"/>
        </w:rPr>
        <w:t xml:space="preserve"> </w:t>
      </w:r>
      <w:r w:rsidRPr="00E54845">
        <w:rPr>
          <w:rFonts w:ascii="Times New Roman" w:hAnsi="Times New Roman" w:cs="Times New Roman"/>
          <w:sz w:val="28"/>
          <w:szCs w:val="28"/>
        </w:rPr>
        <w:t xml:space="preserve">for teachers is much less. </w:t>
      </w:r>
    </w:p>
    <w:p w:rsidR="000368D9" w:rsidRPr="00E54845" w:rsidRDefault="0048748C" w:rsidP="000368D9">
      <w:pPr>
        <w:jc w:val="both"/>
        <w:rPr>
          <w:rFonts w:ascii="Times New Roman" w:hAnsi="Times New Roman" w:cs="Times New Roman"/>
          <w:sz w:val="28"/>
          <w:szCs w:val="28"/>
        </w:rPr>
      </w:pPr>
      <w:r w:rsidRPr="00E54845">
        <w:rPr>
          <w:rFonts w:ascii="Times New Roman" w:hAnsi="Times New Roman" w:cs="Times New Roman"/>
          <w:sz w:val="28"/>
          <w:szCs w:val="28"/>
        </w:rPr>
        <w:t xml:space="preserve">The international migration of teachers has led to usually relatively short periods of high resignation rates in some countries in SSA. </w:t>
      </w:r>
      <w:r w:rsidR="00652284" w:rsidRPr="00E54845">
        <w:rPr>
          <w:rFonts w:ascii="Times New Roman" w:hAnsi="Times New Roman" w:cs="Times New Roman"/>
          <w:sz w:val="28"/>
          <w:szCs w:val="28"/>
        </w:rPr>
        <w:t>This has been due mainly to acute economic crises and military conflict in countries such as Gambia, Sierra Leone</w:t>
      </w:r>
      <w:r w:rsidR="00FE0E22" w:rsidRPr="00E54845">
        <w:rPr>
          <w:rFonts w:ascii="Times New Roman" w:hAnsi="Times New Roman" w:cs="Times New Roman"/>
          <w:sz w:val="28"/>
          <w:szCs w:val="28"/>
        </w:rPr>
        <w:t>, Uganda, Zambia</w:t>
      </w:r>
      <w:r w:rsidR="00652284" w:rsidRPr="00E54845">
        <w:rPr>
          <w:rFonts w:ascii="Times New Roman" w:hAnsi="Times New Roman" w:cs="Times New Roman"/>
          <w:sz w:val="28"/>
          <w:szCs w:val="28"/>
        </w:rPr>
        <w:t xml:space="preserve"> and Zimbabwe. However, the extent of teacher migration is increasingly limited especially as the teaching labour markets in countries such as Botswana, Ghana and South Africa which, in the past, have relied quite heavily on expatriate teachers from neighbouring countries</w:t>
      </w:r>
      <w:r w:rsidR="00FE0E22" w:rsidRPr="00E54845">
        <w:rPr>
          <w:rFonts w:ascii="Times New Roman" w:hAnsi="Times New Roman" w:cs="Times New Roman"/>
          <w:sz w:val="28"/>
          <w:szCs w:val="28"/>
        </w:rPr>
        <w:t xml:space="preserve">, have become increasingly </w:t>
      </w:r>
      <w:r w:rsidR="00652284" w:rsidRPr="00E54845">
        <w:rPr>
          <w:rFonts w:ascii="Times New Roman" w:hAnsi="Times New Roman" w:cs="Times New Roman"/>
          <w:sz w:val="28"/>
          <w:szCs w:val="28"/>
        </w:rPr>
        <w:t>saturated</w:t>
      </w:r>
      <w:r w:rsidR="00FE0E22" w:rsidRPr="00E54845">
        <w:rPr>
          <w:rFonts w:ascii="Times New Roman" w:hAnsi="Times New Roman" w:cs="Times New Roman"/>
          <w:sz w:val="28"/>
          <w:szCs w:val="28"/>
        </w:rPr>
        <w:t xml:space="preserve"> with domestically trained teachers</w:t>
      </w:r>
      <w:r w:rsidR="00652284" w:rsidRPr="00E54845">
        <w:rPr>
          <w:rFonts w:ascii="Times New Roman" w:hAnsi="Times New Roman" w:cs="Times New Roman"/>
          <w:sz w:val="28"/>
          <w:szCs w:val="28"/>
        </w:rPr>
        <w:t xml:space="preserve">. The limited international negotiability of teacher qualifications acquired in SSA countries in Europe and other high-income countries also significantly limits the extent of teacher migration to these regions.  </w:t>
      </w:r>
    </w:p>
    <w:p w:rsidR="000368D9" w:rsidRPr="00E54845" w:rsidRDefault="00661961" w:rsidP="00164BC8">
      <w:pPr>
        <w:jc w:val="both"/>
        <w:rPr>
          <w:rFonts w:ascii="Times New Roman" w:hAnsi="Times New Roman" w:cs="Times New Roman"/>
          <w:i/>
          <w:sz w:val="28"/>
          <w:szCs w:val="28"/>
        </w:rPr>
      </w:pPr>
      <w:r w:rsidRPr="00E54845">
        <w:rPr>
          <w:rFonts w:ascii="Times New Roman" w:hAnsi="Times New Roman" w:cs="Times New Roman"/>
          <w:sz w:val="28"/>
          <w:szCs w:val="28"/>
        </w:rPr>
        <w:t xml:space="preserve">Teacher attrition rates </w:t>
      </w:r>
      <w:r w:rsidR="000368D9" w:rsidRPr="00E54845">
        <w:rPr>
          <w:rFonts w:ascii="Times New Roman" w:hAnsi="Times New Roman" w:cs="Times New Roman"/>
          <w:sz w:val="28"/>
          <w:szCs w:val="28"/>
        </w:rPr>
        <w:t xml:space="preserve">are generally </w:t>
      </w:r>
      <w:r w:rsidRPr="00E54845">
        <w:rPr>
          <w:rFonts w:ascii="Times New Roman" w:hAnsi="Times New Roman" w:cs="Times New Roman"/>
          <w:sz w:val="28"/>
          <w:szCs w:val="28"/>
        </w:rPr>
        <w:t xml:space="preserve">much </w:t>
      </w:r>
      <w:r w:rsidR="000368D9" w:rsidRPr="00E54845">
        <w:rPr>
          <w:rFonts w:ascii="Times New Roman" w:hAnsi="Times New Roman" w:cs="Times New Roman"/>
          <w:sz w:val="28"/>
          <w:szCs w:val="28"/>
        </w:rPr>
        <w:t xml:space="preserve">higher in </w:t>
      </w:r>
      <w:r w:rsidR="00164BC8" w:rsidRPr="00E54845">
        <w:rPr>
          <w:rFonts w:ascii="Times New Roman" w:hAnsi="Times New Roman" w:cs="Times New Roman"/>
          <w:sz w:val="28"/>
          <w:szCs w:val="28"/>
        </w:rPr>
        <w:t>high-</w:t>
      </w:r>
      <w:r w:rsidRPr="00E54845">
        <w:rPr>
          <w:rFonts w:ascii="Times New Roman" w:hAnsi="Times New Roman" w:cs="Times New Roman"/>
          <w:sz w:val="28"/>
          <w:szCs w:val="28"/>
        </w:rPr>
        <w:t xml:space="preserve">income countries </w:t>
      </w:r>
      <w:r w:rsidR="00164BC8" w:rsidRPr="00E54845">
        <w:rPr>
          <w:rFonts w:ascii="Times New Roman" w:hAnsi="Times New Roman" w:cs="Times New Roman"/>
          <w:sz w:val="28"/>
          <w:szCs w:val="28"/>
        </w:rPr>
        <w:t xml:space="preserve">in the North </w:t>
      </w:r>
      <w:r w:rsidRPr="00E54845">
        <w:rPr>
          <w:rFonts w:ascii="Times New Roman" w:hAnsi="Times New Roman" w:cs="Times New Roman"/>
          <w:sz w:val="28"/>
          <w:szCs w:val="28"/>
        </w:rPr>
        <w:t xml:space="preserve">precisely because alternative employment opportunities are available for teachers wishing to leave the profession. </w:t>
      </w:r>
      <w:r w:rsidR="000368D9" w:rsidRPr="00E54845">
        <w:rPr>
          <w:rFonts w:ascii="Times New Roman" w:hAnsi="Times New Roman" w:cs="Times New Roman"/>
          <w:sz w:val="28"/>
          <w:szCs w:val="28"/>
        </w:rPr>
        <w:t xml:space="preserve">The </w:t>
      </w:r>
      <w:r w:rsidRPr="00E54845">
        <w:rPr>
          <w:rFonts w:ascii="Times New Roman" w:hAnsi="Times New Roman" w:cs="Times New Roman"/>
          <w:sz w:val="28"/>
          <w:szCs w:val="28"/>
        </w:rPr>
        <w:t xml:space="preserve">average attrition rate in Europe is </w:t>
      </w:r>
      <w:r w:rsidR="000368D9" w:rsidRPr="00E54845">
        <w:rPr>
          <w:rFonts w:ascii="Times New Roman" w:hAnsi="Times New Roman" w:cs="Times New Roman"/>
          <w:sz w:val="28"/>
          <w:szCs w:val="28"/>
        </w:rPr>
        <w:t>7.1</w:t>
      </w:r>
      <w:r w:rsidR="00D91144" w:rsidRPr="00E54845">
        <w:rPr>
          <w:rFonts w:ascii="Times New Roman" w:hAnsi="Times New Roman" w:cs="Times New Roman"/>
          <w:sz w:val="28"/>
          <w:szCs w:val="28"/>
        </w:rPr>
        <w:t>%</w:t>
      </w:r>
      <w:r w:rsidR="000368D9" w:rsidRPr="00E54845">
        <w:rPr>
          <w:rFonts w:ascii="Times New Roman" w:hAnsi="Times New Roman" w:cs="Times New Roman"/>
          <w:sz w:val="28"/>
          <w:szCs w:val="28"/>
        </w:rPr>
        <w:t xml:space="preserve">. </w:t>
      </w:r>
      <w:r w:rsidRPr="00E54845">
        <w:rPr>
          <w:rFonts w:ascii="Times New Roman" w:hAnsi="Times New Roman" w:cs="Times New Roman"/>
          <w:sz w:val="28"/>
          <w:szCs w:val="28"/>
        </w:rPr>
        <w:t>It is p</w:t>
      </w:r>
      <w:r w:rsidR="00164BC8" w:rsidRPr="00E54845">
        <w:rPr>
          <w:rFonts w:ascii="Times New Roman" w:hAnsi="Times New Roman" w:cs="Times New Roman"/>
          <w:sz w:val="28"/>
          <w:szCs w:val="28"/>
        </w:rPr>
        <w:t xml:space="preserve">articularly </w:t>
      </w:r>
      <w:r w:rsidR="000368D9" w:rsidRPr="00E54845">
        <w:rPr>
          <w:rFonts w:ascii="Times New Roman" w:hAnsi="Times New Roman" w:cs="Times New Roman"/>
          <w:sz w:val="28"/>
          <w:szCs w:val="28"/>
        </w:rPr>
        <w:t xml:space="preserve">high in </w:t>
      </w:r>
      <w:r w:rsidRPr="00E54845">
        <w:rPr>
          <w:rFonts w:ascii="Times New Roman" w:hAnsi="Times New Roman" w:cs="Times New Roman"/>
          <w:sz w:val="28"/>
          <w:szCs w:val="28"/>
        </w:rPr>
        <w:t xml:space="preserve">some countries including </w:t>
      </w:r>
      <w:r w:rsidR="000368D9" w:rsidRPr="00E54845">
        <w:rPr>
          <w:rFonts w:ascii="Times New Roman" w:hAnsi="Times New Roman" w:cs="Times New Roman"/>
          <w:sz w:val="28"/>
          <w:szCs w:val="28"/>
        </w:rPr>
        <w:t>England (10.2</w:t>
      </w:r>
      <w:r w:rsidRPr="00E54845">
        <w:rPr>
          <w:rFonts w:ascii="Times New Roman" w:hAnsi="Times New Roman" w:cs="Times New Roman"/>
          <w:sz w:val="28"/>
          <w:szCs w:val="28"/>
        </w:rPr>
        <w:t>%</w:t>
      </w:r>
      <w:r w:rsidR="000368D9" w:rsidRPr="00E54845">
        <w:rPr>
          <w:rFonts w:ascii="Times New Roman" w:hAnsi="Times New Roman" w:cs="Times New Roman"/>
          <w:sz w:val="28"/>
          <w:szCs w:val="28"/>
        </w:rPr>
        <w:t>) and Scandinavia.</w:t>
      </w:r>
      <w:r w:rsidRPr="00E54845">
        <w:rPr>
          <w:rStyle w:val="FootnoteReference"/>
          <w:rFonts w:ascii="Times New Roman" w:hAnsi="Times New Roman" w:cs="Times New Roman"/>
          <w:sz w:val="28"/>
          <w:szCs w:val="28"/>
        </w:rPr>
        <w:footnoteReference w:id="6"/>
      </w:r>
      <w:r w:rsidR="000368D9" w:rsidRPr="00E54845">
        <w:rPr>
          <w:rFonts w:ascii="Times New Roman" w:hAnsi="Times New Roman" w:cs="Times New Roman"/>
          <w:sz w:val="28"/>
          <w:szCs w:val="28"/>
        </w:rPr>
        <w:t>.</w:t>
      </w:r>
    </w:p>
    <w:p w:rsidR="0048748C" w:rsidRPr="00E54845" w:rsidRDefault="00FF77D2" w:rsidP="0048748C">
      <w:pPr>
        <w:jc w:val="both"/>
        <w:rPr>
          <w:rFonts w:ascii="Times New Roman" w:hAnsi="Times New Roman" w:cs="Times New Roman"/>
          <w:i/>
          <w:sz w:val="28"/>
          <w:szCs w:val="28"/>
        </w:rPr>
      </w:pPr>
      <w:r>
        <w:rPr>
          <w:rFonts w:ascii="Times New Roman" w:hAnsi="Times New Roman" w:cs="Times New Roman"/>
          <w:i/>
          <w:sz w:val="28"/>
          <w:szCs w:val="28"/>
        </w:rPr>
        <w:t xml:space="preserve">5.4 </w:t>
      </w:r>
      <w:r w:rsidR="0048748C" w:rsidRPr="00E54845">
        <w:rPr>
          <w:rFonts w:ascii="Times New Roman" w:hAnsi="Times New Roman" w:cs="Times New Roman"/>
          <w:i/>
          <w:sz w:val="28"/>
          <w:szCs w:val="28"/>
        </w:rPr>
        <w:t>Teacher supply</w:t>
      </w:r>
    </w:p>
    <w:p w:rsidR="00441E30" w:rsidRPr="00E54845" w:rsidRDefault="0048748C" w:rsidP="0048748C">
      <w:pPr>
        <w:jc w:val="both"/>
        <w:rPr>
          <w:rFonts w:ascii="Times New Roman" w:hAnsi="Times New Roman" w:cs="Times New Roman"/>
          <w:sz w:val="28"/>
          <w:szCs w:val="28"/>
        </w:rPr>
      </w:pPr>
      <w:r w:rsidRPr="00E54845">
        <w:rPr>
          <w:rFonts w:ascii="Times New Roman" w:hAnsi="Times New Roman" w:cs="Times New Roman"/>
          <w:sz w:val="28"/>
          <w:szCs w:val="28"/>
        </w:rPr>
        <w:t xml:space="preserve">With regard to supply, </w:t>
      </w:r>
      <w:r w:rsidR="00FE0E22" w:rsidRPr="00E54845">
        <w:rPr>
          <w:rFonts w:ascii="Times New Roman" w:hAnsi="Times New Roman" w:cs="Times New Roman"/>
          <w:sz w:val="28"/>
          <w:szCs w:val="28"/>
        </w:rPr>
        <w:t xml:space="preserve">in most countries in SSA, </w:t>
      </w:r>
      <w:r w:rsidRPr="00E54845">
        <w:rPr>
          <w:rFonts w:ascii="Times New Roman" w:hAnsi="Times New Roman" w:cs="Times New Roman"/>
          <w:sz w:val="28"/>
          <w:szCs w:val="28"/>
        </w:rPr>
        <w:t xml:space="preserve">the output of teacher </w:t>
      </w:r>
      <w:r w:rsidR="003027B3" w:rsidRPr="00E54845">
        <w:rPr>
          <w:rFonts w:ascii="Times New Roman" w:hAnsi="Times New Roman" w:cs="Times New Roman"/>
          <w:sz w:val="28"/>
          <w:szCs w:val="28"/>
        </w:rPr>
        <w:t>grad</w:t>
      </w:r>
      <w:r w:rsidRPr="00E54845">
        <w:rPr>
          <w:rFonts w:ascii="Times New Roman" w:hAnsi="Times New Roman" w:cs="Times New Roman"/>
          <w:sz w:val="28"/>
          <w:szCs w:val="28"/>
        </w:rPr>
        <w:t xml:space="preserve">uates from universities and colleges of education, far exceeds the fiscal capacity of the state to recruit them all. As a result, the majority of these new teacher graduates in SSA have to wait </w:t>
      </w:r>
      <w:r w:rsidR="00307FAE" w:rsidRPr="00E54845">
        <w:rPr>
          <w:rFonts w:ascii="Times New Roman" w:hAnsi="Times New Roman" w:cs="Times New Roman"/>
          <w:sz w:val="28"/>
          <w:szCs w:val="28"/>
        </w:rPr>
        <w:t>a long time, sometimes more than five</w:t>
      </w:r>
      <w:r w:rsidRPr="00E54845">
        <w:rPr>
          <w:rFonts w:ascii="Times New Roman" w:hAnsi="Times New Roman" w:cs="Times New Roman"/>
          <w:sz w:val="28"/>
          <w:szCs w:val="28"/>
        </w:rPr>
        <w:t xml:space="preserve"> years</w:t>
      </w:r>
      <w:r w:rsidR="00307FAE" w:rsidRPr="00E54845">
        <w:rPr>
          <w:rFonts w:ascii="Times New Roman" w:hAnsi="Times New Roman" w:cs="Times New Roman"/>
          <w:sz w:val="28"/>
          <w:szCs w:val="28"/>
        </w:rPr>
        <w:t>,</w:t>
      </w:r>
      <w:r w:rsidRPr="00E54845">
        <w:rPr>
          <w:rFonts w:ascii="Times New Roman" w:hAnsi="Times New Roman" w:cs="Times New Roman"/>
          <w:sz w:val="28"/>
          <w:szCs w:val="28"/>
        </w:rPr>
        <w:t xml:space="preserve"> before they finally succeed in being recruited as a government teacher.</w:t>
      </w:r>
    </w:p>
    <w:p w:rsidR="0048748C" w:rsidRPr="00E54845" w:rsidRDefault="00EE1C88" w:rsidP="0048748C">
      <w:pPr>
        <w:jc w:val="both"/>
        <w:rPr>
          <w:rFonts w:ascii="Times New Roman" w:hAnsi="Times New Roman" w:cs="Times New Roman"/>
          <w:sz w:val="28"/>
          <w:szCs w:val="28"/>
        </w:rPr>
      </w:pPr>
      <w:r w:rsidRPr="00E54845">
        <w:rPr>
          <w:rFonts w:ascii="Times New Roman" w:hAnsi="Times New Roman" w:cs="Times New Roman"/>
          <w:sz w:val="28"/>
          <w:szCs w:val="28"/>
        </w:rPr>
        <w:t xml:space="preserve">Very little </w:t>
      </w:r>
      <w:r w:rsidR="00441E30" w:rsidRPr="00E54845">
        <w:rPr>
          <w:rFonts w:ascii="Times New Roman" w:hAnsi="Times New Roman" w:cs="Times New Roman"/>
          <w:sz w:val="28"/>
          <w:szCs w:val="28"/>
        </w:rPr>
        <w:t xml:space="preserve">data </w:t>
      </w:r>
      <w:r w:rsidR="00D32D43" w:rsidRPr="00E54845">
        <w:rPr>
          <w:rFonts w:ascii="Times New Roman" w:hAnsi="Times New Roman" w:cs="Times New Roman"/>
          <w:sz w:val="28"/>
          <w:szCs w:val="28"/>
        </w:rPr>
        <w:t xml:space="preserve">(especially time series) </w:t>
      </w:r>
      <w:r w:rsidR="00441E30" w:rsidRPr="00E54845">
        <w:rPr>
          <w:rFonts w:ascii="Times New Roman" w:hAnsi="Times New Roman" w:cs="Times New Roman"/>
          <w:sz w:val="28"/>
          <w:szCs w:val="28"/>
        </w:rPr>
        <w:t xml:space="preserve">on teacher training enrolment trends is available. </w:t>
      </w:r>
      <w:r w:rsidRPr="00E54845">
        <w:rPr>
          <w:rFonts w:ascii="Times New Roman" w:hAnsi="Times New Roman" w:cs="Times New Roman"/>
          <w:sz w:val="28"/>
          <w:szCs w:val="28"/>
        </w:rPr>
        <w:t>UIS statistics indicate that education graduates from tertiary education institutions</w:t>
      </w:r>
      <w:r w:rsidR="00307FAE" w:rsidRPr="00E54845">
        <w:rPr>
          <w:rFonts w:ascii="Times New Roman" w:hAnsi="Times New Roman" w:cs="Times New Roman"/>
          <w:sz w:val="28"/>
          <w:szCs w:val="28"/>
        </w:rPr>
        <w:t xml:space="preserve"> (TEIs)</w:t>
      </w:r>
      <w:r w:rsidRPr="00E54845">
        <w:rPr>
          <w:rFonts w:ascii="Times New Roman" w:hAnsi="Times New Roman" w:cs="Times New Roman"/>
          <w:sz w:val="28"/>
          <w:szCs w:val="28"/>
        </w:rPr>
        <w:t xml:space="preserve"> accounted for over one-quarter of all graduates in half of the 22 countries for which some information is available during the last 10 years. </w:t>
      </w:r>
      <w:r w:rsidR="00011EE8" w:rsidRPr="00E54845">
        <w:rPr>
          <w:rFonts w:ascii="Times New Roman" w:hAnsi="Times New Roman" w:cs="Times New Roman"/>
          <w:sz w:val="28"/>
          <w:szCs w:val="28"/>
        </w:rPr>
        <w:t xml:space="preserve">Total </w:t>
      </w:r>
      <w:r w:rsidR="00AB23D4" w:rsidRPr="00E54845">
        <w:rPr>
          <w:rFonts w:ascii="Times New Roman" w:hAnsi="Times New Roman" w:cs="Times New Roman"/>
          <w:sz w:val="28"/>
          <w:szCs w:val="28"/>
        </w:rPr>
        <w:t xml:space="preserve">TEI enrolments have also expanded rapidly </w:t>
      </w:r>
      <w:r w:rsidR="00011EE8" w:rsidRPr="00E54845">
        <w:rPr>
          <w:rFonts w:ascii="Times New Roman" w:hAnsi="Times New Roman" w:cs="Times New Roman"/>
          <w:sz w:val="28"/>
          <w:szCs w:val="28"/>
        </w:rPr>
        <w:t>since the early 2000s</w:t>
      </w:r>
      <w:r w:rsidR="00AB23D4" w:rsidRPr="00E54845">
        <w:rPr>
          <w:rFonts w:ascii="Times New Roman" w:hAnsi="Times New Roman" w:cs="Times New Roman"/>
          <w:sz w:val="28"/>
          <w:szCs w:val="28"/>
        </w:rPr>
        <w:t xml:space="preserve"> especially with the emergence of private sector universities in many countries. As a consequence, the number of teacher graduates has increased very appreciably</w:t>
      </w:r>
      <w:r w:rsidR="00D32D43" w:rsidRPr="00E54845">
        <w:rPr>
          <w:rFonts w:ascii="Times New Roman" w:hAnsi="Times New Roman" w:cs="Times New Roman"/>
          <w:sz w:val="28"/>
          <w:szCs w:val="28"/>
        </w:rPr>
        <w:t xml:space="preserve"> in many countries. </w:t>
      </w:r>
      <w:r w:rsidR="006903CD" w:rsidRPr="00E54845">
        <w:rPr>
          <w:rFonts w:ascii="Times New Roman" w:hAnsi="Times New Roman" w:cs="Times New Roman"/>
          <w:sz w:val="28"/>
          <w:szCs w:val="28"/>
        </w:rPr>
        <w:t xml:space="preserve">The annual output of teacher graduates exceeds 200,000 in Ethiopia, Ghana, and South Africa.   </w:t>
      </w:r>
      <w:r w:rsidR="00D32D43" w:rsidRPr="00E54845">
        <w:rPr>
          <w:rFonts w:ascii="Times New Roman" w:hAnsi="Times New Roman" w:cs="Times New Roman"/>
          <w:sz w:val="28"/>
          <w:szCs w:val="28"/>
        </w:rPr>
        <w:t xml:space="preserve"> </w:t>
      </w:r>
    </w:p>
    <w:p w:rsidR="008A1369" w:rsidRPr="00E54845" w:rsidRDefault="00676CB3" w:rsidP="0048748C">
      <w:pPr>
        <w:jc w:val="both"/>
        <w:rPr>
          <w:rFonts w:ascii="Times New Roman" w:hAnsi="Times New Roman" w:cs="Times New Roman"/>
          <w:sz w:val="28"/>
          <w:szCs w:val="28"/>
        </w:rPr>
      </w:pPr>
      <w:r w:rsidRPr="00E54845">
        <w:rPr>
          <w:rFonts w:ascii="Times New Roman" w:hAnsi="Times New Roman" w:cs="Times New Roman"/>
          <w:sz w:val="28"/>
          <w:szCs w:val="28"/>
        </w:rPr>
        <w:lastRenderedPageBreak/>
        <w:t>Figure 6</w:t>
      </w:r>
      <w:r w:rsidR="00436E87" w:rsidRPr="00E54845">
        <w:rPr>
          <w:rFonts w:ascii="Times New Roman" w:hAnsi="Times New Roman" w:cs="Times New Roman"/>
          <w:sz w:val="28"/>
          <w:szCs w:val="28"/>
        </w:rPr>
        <w:t xml:space="preserve"> shows teacher tertiary education graduates as a percentage of the total number of primary and secondary school teachers in post for 2020 or the latest year available. The degree of over-supply is likely to be most marked where this percentage is</w:t>
      </w:r>
      <w:r w:rsidR="003D1D42" w:rsidRPr="00E54845">
        <w:rPr>
          <w:rFonts w:ascii="Times New Roman" w:hAnsi="Times New Roman" w:cs="Times New Roman"/>
          <w:sz w:val="28"/>
          <w:szCs w:val="28"/>
        </w:rPr>
        <w:t xml:space="preserve"> over 20%. Table 3 assesses actual teacher recruitment demand (additional posts plus attrition) in relation to teacher supply during the late 2010s. This shows that, among the 17 countries with the necessary data, teacher supply exceeded actual demand by over 50% in five countries and between 10-50% in another five countries.</w:t>
      </w:r>
    </w:p>
    <w:p w:rsidR="00AA3D26" w:rsidRPr="00E54845" w:rsidRDefault="00AA3D26" w:rsidP="008A1369">
      <w:pPr>
        <w:jc w:val="both"/>
        <w:rPr>
          <w:rFonts w:ascii="Times New Roman" w:hAnsi="Times New Roman" w:cs="Times New Roman"/>
          <w:sz w:val="28"/>
          <w:szCs w:val="28"/>
        </w:rPr>
      </w:pPr>
      <w:r w:rsidRPr="00E54845">
        <w:rPr>
          <w:rFonts w:ascii="Times New Roman" w:hAnsi="Times New Roman" w:cs="Times New Roman"/>
          <w:noProof/>
          <w:sz w:val="28"/>
          <w:szCs w:val="28"/>
          <w:lang w:eastAsia="en-GB"/>
        </w:rPr>
        <w:drawing>
          <wp:inline distT="0" distB="0" distL="0" distR="0" wp14:anchorId="0E67BA4E" wp14:editId="3C62FAD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1369" w:rsidRPr="00E54845" w:rsidRDefault="008A1369" w:rsidP="008A1369">
      <w:pPr>
        <w:jc w:val="both"/>
        <w:rPr>
          <w:rFonts w:ascii="Times New Roman" w:hAnsi="Times New Roman" w:cs="Times New Roman"/>
          <w:sz w:val="28"/>
          <w:szCs w:val="28"/>
        </w:rPr>
      </w:pPr>
      <w:r w:rsidRPr="00E54845">
        <w:rPr>
          <w:rFonts w:ascii="Times New Roman" w:hAnsi="Times New Roman" w:cs="Times New Roman"/>
          <w:sz w:val="28"/>
          <w:szCs w:val="28"/>
        </w:rPr>
        <w:t>The over-supply of teacher trainee enrolments is fundamentally a political issue since, given the acute shortage of ‘good’ jobs in the formal sector, governments seek to absorb growing numbers of secondary school leavers in tertiary education institutions. Teacher t</w:t>
      </w:r>
      <w:r w:rsidR="00164BC8" w:rsidRPr="00E54845">
        <w:rPr>
          <w:rFonts w:ascii="Times New Roman" w:hAnsi="Times New Roman" w:cs="Times New Roman"/>
          <w:sz w:val="28"/>
          <w:szCs w:val="28"/>
        </w:rPr>
        <w:t>raining offers one of the least-</w:t>
      </w:r>
      <w:r w:rsidRPr="00E54845">
        <w:rPr>
          <w:rFonts w:ascii="Times New Roman" w:hAnsi="Times New Roman" w:cs="Times New Roman"/>
          <w:sz w:val="28"/>
          <w:szCs w:val="28"/>
        </w:rPr>
        <w:t xml:space="preserve">cost options especially at </w:t>
      </w:r>
    </w:p>
    <w:tbl>
      <w:tblPr>
        <w:tblW w:w="8656" w:type="dxa"/>
        <w:tblLook w:val="04A0" w:firstRow="1" w:lastRow="0" w:firstColumn="1" w:lastColumn="0" w:noHBand="0" w:noVBand="1"/>
      </w:tblPr>
      <w:tblGrid>
        <w:gridCol w:w="2012"/>
        <w:gridCol w:w="2562"/>
        <w:gridCol w:w="2443"/>
        <w:gridCol w:w="1417"/>
        <w:gridCol w:w="222"/>
      </w:tblGrid>
      <w:tr w:rsidR="00374AAA" w:rsidRPr="00E54845" w:rsidTr="00AA3D26">
        <w:trPr>
          <w:trHeight w:val="288"/>
        </w:trPr>
        <w:tc>
          <w:tcPr>
            <w:tcW w:w="8656" w:type="dxa"/>
            <w:gridSpan w:val="5"/>
            <w:tcBorders>
              <w:top w:val="nil"/>
              <w:left w:val="nil"/>
              <w:bottom w:val="nil"/>
              <w:right w:val="nil"/>
            </w:tcBorders>
            <w:shd w:val="clear" w:color="auto" w:fill="auto"/>
            <w:noWrap/>
            <w:vAlign w:val="bottom"/>
            <w:hideMark/>
          </w:tcPr>
          <w:p w:rsidR="00AA3D26" w:rsidRPr="00E54845" w:rsidRDefault="003D1D42" w:rsidP="00374AAA">
            <w:pPr>
              <w:spacing w:after="0" w:line="240" w:lineRule="auto"/>
              <w:rPr>
                <w:rFonts w:ascii="Times New Roman" w:eastAsia="Times New Roman" w:hAnsi="Times New Roman" w:cs="Times New Roman"/>
                <w:color w:val="000000"/>
                <w:sz w:val="28"/>
                <w:szCs w:val="28"/>
                <w:lang w:eastAsia="en-GB"/>
              </w:rPr>
            </w:pPr>
            <w:r w:rsidRPr="00E54845">
              <w:rPr>
                <w:rFonts w:ascii="Times New Roman" w:hAnsi="Times New Roman" w:cs="Times New Roman"/>
                <w:sz w:val="28"/>
                <w:szCs w:val="28"/>
              </w:rPr>
              <w:t xml:space="preserve"> </w:t>
            </w:r>
            <w:r w:rsidR="00436E87" w:rsidRPr="00E54845">
              <w:rPr>
                <w:rFonts w:ascii="Times New Roman" w:hAnsi="Times New Roman" w:cs="Times New Roman"/>
                <w:sz w:val="28"/>
                <w:szCs w:val="28"/>
              </w:rPr>
              <w:t xml:space="preserve"> </w:t>
            </w:r>
          </w:p>
          <w:p w:rsidR="00374AAA" w:rsidRPr="00E54845" w:rsidRDefault="00374AAA" w:rsidP="00374AAA">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Table 3: Imputed teacher recruitment (replacements and new posts) and graduate teacher</w:t>
            </w:r>
          </w:p>
        </w:tc>
      </w:tr>
      <w:tr w:rsidR="00374AAA" w:rsidRPr="00E54845" w:rsidTr="00AA3D26">
        <w:trPr>
          <w:trHeight w:val="300"/>
        </w:trPr>
        <w:tc>
          <w:tcPr>
            <w:tcW w:w="8656" w:type="dxa"/>
            <w:gridSpan w:val="5"/>
            <w:tcBorders>
              <w:top w:val="nil"/>
              <w:left w:val="nil"/>
              <w:bottom w:val="nil"/>
              <w:right w:val="nil"/>
            </w:tcBorders>
            <w:shd w:val="clear" w:color="auto" w:fill="auto"/>
            <w:noWrap/>
            <w:vAlign w:val="bottom"/>
            <w:hideMark/>
          </w:tcPr>
          <w:p w:rsidR="00374AAA" w:rsidRPr="00E54845" w:rsidRDefault="00374AAA" w:rsidP="00374AAA">
            <w:pPr>
              <w:spacing w:after="0" w:line="240" w:lineRule="auto"/>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supply from tertiary education institutions, mid-late 2010s</w:t>
            </w:r>
          </w:p>
        </w:tc>
      </w:tr>
      <w:tr w:rsidR="00374AAA" w:rsidRPr="00E54845" w:rsidTr="00AA3D26">
        <w:trPr>
          <w:trHeight w:val="288"/>
        </w:trPr>
        <w:tc>
          <w:tcPr>
            <w:tcW w:w="2012" w:type="dxa"/>
            <w:tcBorders>
              <w:top w:val="single" w:sz="8" w:space="0" w:color="auto"/>
              <w:left w:val="single" w:sz="8" w:space="0" w:color="auto"/>
              <w:bottom w:val="nil"/>
              <w:right w:val="nil"/>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Demand&gt; supply</w:t>
            </w:r>
          </w:p>
        </w:tc>
        <w:tc>
          <w:tcPr>
            <w:tcW w:w="2562" w:type="dxa"/>
            <w:tcBorders>
              <w:top w:val="single" w:sz="8" w:space="0" w:color="auto"/>
              <w:left w:val="single" w:sz="4" w:space="0" w:color="auto"/>
              <w:bottom w:val="nil"/>
              <w:right w:val="single" w:sz="4" w:space="0" w:color="auto"/>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Demand=supply</w:t>
            </w:r>
          </w:p>
        </w:tc>
        <w:tc>
          <w:tcPr>
            <w:tcW w:w="3860" w:type="dxa"/>
            <w:gridSpan w:val="2"/>
            <w:tcBorders>
              <w:top w:val="single" w:sz="8" w:space="0" w:color="auto"/>
              <w:left w:val="nil"/>
              <w:bottom w:val="nil"/>
              <w:right w:val="single" w:sz="8" w:space="0" w:color="000000"/>
            </w:tcBorders>
            <w:shd w:val="clear" w:color="000000" w:fill="E7E6E6"/>
            <w:noWrap/>
            <w:vAlign w:val="bottom"/>
            <w:hideMark/>
          </w:tcPr>
          <w:p w:rsidR="00374AAA" w:rsidRPr="00E54845" w:rsidRDefault="00374AAA" w:rsidP="00374AAA">
            <w:pPr>
              <w:spacing w:after="0" w:line="240" w:lineRule="auto"/>
              <w:ind w:firstLineChars="600" w:firstLine="1680"/>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Supply&gt;demand</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ind w:firstLineChars="600" w:firstLine="1680"/>
              <w:rPr>
                <w:rFonts w:ascii="Times New Roman" w:eastAsia="Times New Roman" w:hAnsi="Times New Roman" w:cs="Times New Roman"/>
                <w:color w:val="000000"/>
                <w:sz w:val="28"/>
                <w:szCs w:val="28"/>
                <w:lang w:eastAsia="en-GB"/>
              </w:rPr>
            </w:pPr>
          </w:p>
        </w:tc>
      </w:tr>
      <w:tr w:rsidR="00374AAA" w:rsidRPr="00E54845" w:rsidTr="00AA3D26">
        <w:trPr>
          <w:trHeight w:val="288"/>
        </w:trPr>
        <w:tc>
          <w:tcPr>
            <w:tcW w:w="2012" w:type="dxa"/>
            <w:tcBorders>
              <w:top w:val="nil"/>
              <w:left w:val="single" w:sz="8" w:space="0" w:color="auto"/>
              <w:bottom w:val="nil"/>
              <w:right w:val="nil"/>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Shortage &gt;-10%</w:t>
            </w:r>
          </w:p>
        </w:tc>
        <w:tc>
          <w:tcPr>
            <w:tcW w:w="2562" w:type="dxa"/>
            <w:tcBorders>
              <w:top w:val="nil"/>
              <w:left w:val="single" w:sz="4" w:space="0" w:color="auto"/>
              <w:bottom w:val="nil"/>
              <w:right w:val="single" w:sz="4" w:space="0" w:color="auto"/>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Balanced -10%- +10%</w:t>
            </w:r>
          </w:p>
        </w:tc>
        <w:tc>
          <w:tcPr>
            <w:tcW w:w="2443" w:type="dxa"/>
            <w:tcBorders>
              <w:top w:val="nil"/>
              <w:left w:val="nil"/>
              <w:bottom w:val="nil"/>
              <w:right w:val="nil"/>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Surplus 10%-50%</w:t>
            </w:r>
          </w:p>
        </w:tc>
        <w:tc>
          <w:tcPr>
            <w:tcW w:w="1417" w:type="dxa"/>
            <w:tcBorders>
              <w:top w:val="nil"/>
              <w:left w:val="nil"/>
              <w:bottom w:val="nil"/>
              <w:right w:val="single" w:sz="8" w:space="0" w:color="auto"/>
            </w:tcBorders>
            <w:shd w:val="clear" w:color="000000" w:fill="E7E6E6"/>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&gt;50%</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r w:rsidR="00374AAA" w:rsidRPr="00E54845" w:rsidTr="00AA3D26">
        <w:trPr>
          <w:trHeight w:val="288"/>
        </w:trPr>
        <w:tc>
          <w:tcPr>
            <w:tcW w:w="2012" w:type="dxa"/>
            <w:tcBorders>
              <w:top w:val="single" w:sz="4" w:space="0" w:color="auto"/>
              <w:left w:val="single" w:sz="8" w:space="0" w:color="auto"/>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Malawi</w:t>
            </w:r>
          </w:p>
        </w:tc>
        <w:tc>
          <w:tcPr>
            <w:tcW w:w="2562" w:type="dxa"/>
            <w:tcBorders>
              <w:top w:val="single" w:sz="4" w:space="0" w:color="auto"/>
              <w:left w:val="single" w:sz="4" w:space="0" w:color="auto"/>
              <w:bottom w:val="nil"/>
              <w:right w:val="single" w:sz="4"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Cameroon</w:t>
            </w:r>
          </w:p>
        </w:tc>
        <w:tc>
          <w:tcPr>
            <w:tcW w:w="2443" w:type="dxa"/>
            <w:tcBorders>
              <w:top w:val="single" w:sz="4" w:space="0" w:color="auto"/>
              <w:left w:val="nil"/>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Ethiopia</w:t>
            </w:r>
          </w:p>
        </w:tc>
        <w:tc>
          <w:tcPr>
            <w:tcW w:w="1417" w:type="dxa"/>
            <w:tcBorders>
              <w:top w:val="single" w:sz="4" w:space="0" w:color="auto"/>
              <w:left w:val="nil"/>
              <w:bottom w:val="nil"/>
              <w:right w:val="single" w:sz="8"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Botswana</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r w:rsidR="00374AAA" w:rsidRPr="00E54845" w:rsidTr="00AA3D26">
        <w:trPr>
          <w:trHeight w:val="288"/>
        </w:trPr>
        <w:tc>
          <w:tcPr>
            <w:tcW w:w="2012" w:type="dxa"/>
            <w:tcBorders>
              <w:top w:val="nil"/>
              <w:left w:val="single" w:sz="8" w:space="0" w:color="auto"/>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Zimbabwe</w:t>
            </w:r>
          </w:p>
        </w:tc>
        <w:tc>
          <w:tcPr>
            <w:tcW w:w="2562" w:type="dxa"/>
            <w:tcBorders>
              <w:top w:val="nil"/>
              <w:left w:val="single" w:sz="4" w:space="0" w:color="auto"/>
              <w:bottom w:val="nil"/>
              <w:right w:val="single" w:sz="4"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Sierra Leone</w:t>
            </w:r>
          </w:p>
        </w:tc>
        <w:tc>
          <w:tcPr>
            <w:tcW w:w="2443" w:type="dxa"/>
            <w:tcBorders>
              <w:top w:val="nil"/>
              <w:left w:val="nil"/>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Ghana</w:t>
            </w:r>
          </w:p>
        </w:tc>
        <w:tc>
          <w:tcPr>
            <w:tcW w:w="1417" w:type="dxa"/>
            <w:tcBorders>
              <w:top w:val="nil"/>
              <w:left w:val="nil"/>
              <w:bottom w:val="nil"/>
              <w:right w:val="single" w:sz="8"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DRC</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r w:rsidR="00374AAA" w:rsidRPr="00E54845" w:rsidTr="00AA3D26">
        <w:trPr>
          <w:trHeight w:val="288"/>
        </w:trPr>
        <w:tc>
          <w:tcPr>
            <w:tcW w:w="2012" w:type="dxa"/>
            <w:tcBorders>
              <w:top w:val="nil"/>
              <w:left w:val="single" w:sz="8" w:space="0" w:color="auto"/>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 </w:t>
            </w:r>
          </w:p>
        </w:tc>
        <w:tc>
          <w:tcPr>
            <w:tcW w:w="2562" w:type="dxa"/>
            <w:tcBorders>
              <w:top w:val="nil"/>
              <w:left w:val="single" w:sz="4" w:space="0" w:color="auto"/>
              <w:bottom w:val="nil"/>
              <w:right w:val="single" w:sz="4"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South Africa</w:t>
            </w:r>
          </w:p>
        </w:tc>
        <w:tc>
          <w:tcPr>
            <w:tcW w:w="2443" w:type="dxa"/>
            <w:tcBorders>
              <w:top w:val="nil"/>
              <w:left w:val="nil"/>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Mozambique</w:t>
            </w:r>
          </w:p>
        </w:tc>
        <w:tc>
          <w:tcPr>
            <w:tcW w:w="1417" w:type="dxa"/>
            <w:tcBorders>
              <w:top w:val="nil"/>
              <w:left w:val="nil"/>
              <w:bottom w:val="nil"/>
              <w:right w:val="single" w:sz="8"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Eritrea</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r w:rsidR="00374AAA" w:rsidRPr="00E54845" w:rsidTr="00AA3D26">
        <w:trPr>
          <w:trHeight w:val="288"/>
        </w:trPr>
        <w:tc>
          <w:tcPr>
            <w:tcW w:w="2012" w:type="dxa"/>
            <w:tcBorders>
              <w:top w:val="nil"/>
              <w:left w:val="single" w:sz="8" w:space="0" w:color="auto"/>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 </w:t>
            </w:r>
          </w:p>
        </w:tc>
        <w:tc>
          <w:tcPr>
            <w:tcW w:w="2562" w:type="dxa"/>
            <w:tcBorders>
              <w:top w:val="nil"/>
              <w:left w:val="single" w:sz="4" w:space="0" w:color="auto"/>
              <w:bottom w:val="nil"/>
              <w:right w:val="single" w:sz="4"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Swaziland</w:t>
            </w:r>
          </w:p>
        </w:tc>
        <w:tc>
          <w:tcPr>
            <w:tcW w:w="2443" w:type="dxa"/>
            <w:tcBorders>
              <w:top w:val="nil"/>
              <w:left w:val="nil"/>
              <w:bottom w:val="nil"/>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Namibia</w:t>
            </w:r>
          </w:p>
        </w:tc>
        <w:tc>
          <w:tcPr>
            <w:tcW w:w="1417" w:type="dxa"/>
            <w:tcBorders>
              <w:top w:val="nil"/>
              <w:left w:val="nil"/>
              <w:bottom w:val="nil"/>
              <w:right w:val="single" w:sz="8"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Kenya</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r w:rsidR="00374AAA" w:rsidRPr="00E54845" w:rsidTr="00AA3D26">
        <w:trPr>
          <w:trHeight w:val="300"/>
        </w:trPr>
        <w:tc>
          <w:tcPr>
            <w:tcW w:w="2012" w:type="dxa"/>
            <w:tcBorders>
              <w:top w:val="nil"/>
              <w:left w:val="single" w:sz="8" w:space="0" w:color="auto"/>
              <w:bottom w:val="single" w:sz="8" w:space="0" w:color="auto"/>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 </w:t>
            </w:r>
          </w:p>
        </w:tc>
        <w:tc>
          <w:tcPr>
            <w:tcW w:w="2562" w:type="dxa"/>
            <w:tcBorders>
              <w:top w:val="nil"/>
              <w:left w:val="single" w:sz="4" w:space="0" w:color="auto"/>
              <w:bottom w:val="single" w:sz="8" w:space="0" w:color="auto"/>
              <w:right w:val="single" w:sz="4"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Tanzania</w:t>
            </w:r>
          </w:p>
        </w:tc>
        <w:tc>
          <w:tcPr>
            <w:tcW w:w="2443" w:type="dxa"/>
            <w:tcBorders>
              <w:top w:val="nil"/>
              <w:left w:val="nil"/>
              <w:bottom w:val="single" w:sz="8" w:space="0" w:color="auto"/>
              <w:right w:val="nil"/>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Nigeria</w:t>
            </w:r>
          </w:p>
        </w:tc>
        <w:tc>
          <w:tcPr>
            <w:tcW w:w="1417" w:type="dxa"/>
            <w:tcBorders>
              <w:top w:val="nil"/>
              <w:left w:val="nil"/>
              <w:bottom w:val="single" w:sz="8" w:space="0" w:color="auto"/>
              <w:right w:val="single" w:sz="8" w:space="0" w:color="auto"/>
            </w:tcBorders>
            <w:shd w:val="clear" w:color="000000" w:fill="DDEBF7"/>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r w:rsidRPr="00E54845">
              <w:rPr>
                <w:rFonts w:ascii="Times New Roman" w:eastAsia="Times New Roman" w:hAnsi="Times New Roman" w:cs="Times New Roman"/>
                <w:color w:val="000000"/>
                <w:sz w:val="28"/>
                <w:szCs w:val="28"/>
                <w:lang w:eastAsia="en-GB"/>
              </w:rPr>
              <w:t>Rwanda</w:t>
            </w:r>
          </w:p>
        </w:tc>
        <w:tc>
          <w:tcPr>
            <w:tcW w:w="222" w:type="dxa"/>
            <w:tcBorders>
              <w:top w:val="nil"/>
              <w:left w:val="nil"/>
              <w:bottom w:val="nil"/>
              <w:right w:val="nil"/>
            </w:tcBorders>
            <w:shd w:val="clear" w:color="auto" w:fill="auto"/>
            <w:noWrap/>
            <w:vAlign w:val="bottom"/>
            <w:hideMark/>
          </w:tcPr>
          <w:p w:rsidR="00374AAA" w:rsidRPr="00E54845" w:rsidRDefault="00374AAA" w:rsidP="00374AAA">
            <w:pPr>
              <w:spacing w:after="0" w:line="240" w:lineRule="auto"/>
              <w:jc w:val="center"/>
              <w:rPr>
                <w:rFonts w:ascii="Times New Roman" w:eastAsia="Times New Roman" w:hAnsi="Times New Roman" w:cs="Times New Roman"/>
                <w:color w:val="000000"/>
                <w:sz w:val="28"/>
                <w:szCs w:val="28"/>
                <w:lang w:eastAsia="en-GB"/>
              </w:rPr>
            </w:pPr>
          </w:p>
        </w:tc>
      </w:tr>
    </w:tbl>
    <w:p w:rsidR="00FF77D2" w:rsidRDefault="00FF77D2">
      <w:pPr>
        <w:rPr>
          <w:rFonts w:ascii="Times New Roman" w:hAnsi="Times New Roman" w:cs="Times New Roman"/>
          <w:sz w:val="28"/>
          <w:szCs w:val="28"/>
        </w:rPr>
      </w:pPr>
    </w:p>
    <w:p w:rsidR="008A1369" w:rsidRDefault="00FF77D2">
      <w:pPr>
        <w:rPr>
          <w:rFonts w:ascii="Times New Roman" w:hAnsi="Times New Roman" w:cs="Times New Roman"/>
          <w:sz w:val="28"/>
          <w:szCs w:val="28"/>
        </w:rPr>
      </w:pPr>
      <w:r w:rsidRPr="00E54845">
        <w:rPr>
          <w:rFonts w:ascii="Times New Roman" w:hAnsi="Times New Roman" w:cs="Times New Roman"/>
          <w:sz w:val="28"/>
          <w:szCs w:val="28"/>
        </w:rPr>
        <w:lastRenderedPageBreak/>
        <w:t xml:space="preserve">colleges of education.  Robust educational planning would ensure that teacher trainee enrolments do not seriously exceed the effective demand for teachers. However, given the political pressure to expand enrolments, this is rarely undertaken.      </w:t>
      </w:r>
    </w:p>
    <w:p w:rsidR="0048748C" w:rsidRPr="00E54845" w:rsidRDefault="00B428AF" w:rsidP="007425B2">
      <w:pPr>
        <w:jc w:val="both"/>
        <w:rPr>
          <w:rFonts w:ascii="Times New Roman" w:hAnsi="Times New Roman" w:cs="Times New Roman"/>
          <w:b/>
          <w:i/>
          <w:sz w:val="28"/>
          <w:szCs w:val="28"/>
        </w:rPr>
      </w:pPr>
      <w:r w:rsidRPr="00E54845">
        <w:rPr>
          <w:rFonts w:ascii="Times New Roman" w:hAnsi="Times New Roman" w:cs="Times New Roman"/>
          <w:b/>
          <w:i/>
          <w:sz w:val="28"/>
          <w:szCs w:val="28"/>
        </w:rPr>
        <w:t>6. The impact of attrition</w:t>
      </w:r>
    </w:p>
    <w:p w:rsidR="00B428AF" w:rsidRPr="00E54845" w:rsidRDefault="00FC0083" w:rsidP="007425B2">
      <w:pPr>
        <w:jc w:val="both"/>
        <w:rPr>
          <w:rFonts w:ascii="Times New Roman" w:hAnsi="Times New Roman" w:cs="Times New Roman"/>
          <w:sz w:val="28"/>
          <w:szCs w:val="28"/>
        </w:rPr>
      </w:pPr>
      <w:r w:rsidRPr="00E54845">
        <w:rPr>
          <w:rFonts w:ascii="Times New Roman" w:hAnsi="Times New Roman" w:cs="Times New Roman"/>
          <w:sz w:val="28"/>
          <w:szCs w:val="28"/>
        </w:rPr>
        <w:t xml:space="preserve">The main finding of this review is that </w:t>
      </w:r>
      <w:r w:rsidR="00307FAE" w:rsidRPr="00E54845">
        <w:rPr>
          <w:rFonts w:ascii="Times New Roman" w:hAnsi="Times New Roman" w:cs="Times New Roman"/>
          <w:sz w:val="28"/>
          <w:szCs w:val="28"/>
        </w:rPr>
        <w:t xml:space="preserve">annual </w:t>
      </w:r>
      <w:r w:rsidRPr="00E54845">
        <w:rPr>
          <w:rFonts w:ascii="Times New Roman" w:hAnsi="Times New Roman" w:cs="Times New Roman"/>
          <w:sz w:val="28"/>
          <w:szCs w:val="28"/>
        </w:rPr>
        <w:t>attrition rates among primary school teachers working in government schools in SSA are generally quite low and certainly much lower than is assumed by UNESCO and most academic research on this topic. The fact that much of this attrition is among beginning teachers who have barely joined the teaching profession also lessens the impact of teacher attrition.</w:t>
      </w:r>
    </w:p>
    <w:p w:rsidR="00FC0083" w:rsidRPr="00E54845" w:rsidRDefault="00FC0083" w:rsidP="007425B2">
      <w:pPr>
        <w:jc w:val="both"/>
        <w:rPr>
          <w:rFonts w:ascii="Times New Roman" w:hAnsi="Times New Roman" w:cs="Times New Roman"/>
          <w:sz w:val="28"/>
          <w:szCs w:val="28"/>
        </w:rPr>
      </w:pPr>
      <w:r w:rsidRPr="00E54845">
        <w:rPr>
          <w:rFonts w:ascii="Times New Roman" w:hAnsi="Times New Roman" w:cs="Times New Roman"/>
          <w:sz w:val="28"/>
          <w:szCs w:val="28"/>
        </w:rPr>
        <w:t xml:space="preserve">Low teacher attrition is </w:t>
      </w:r>
      <w:r w:rsidR="00AA3D26" w:rsidRPr="00E54845">
        <w:rPr>
          <w:rFonts w:ascii="Times New Roman" w:hAnsi="Times New Roman" w:cs="Times New Roman"/>
          <w:sz w:val="28"/>
          <w:szCs w:val="28"/>
        </w:rPr>
        <w:t>very</w:t>
      </w:r>
      <w:r w:rsidRPr="00E54845">
        <w:rPr>
          <w:rFonts w:ascii="Times New Roman" w:hAnsi="Times New Roman" w:cs="Times New Roman"/>
          <w:sz w:val="28"/>
          <w:szCs w:val="28"/>
        </w:rPr>
        <w:t xml:space="preserve"> important for the overall learning process in schools since staffing stability facilitates the development of a critical mass of teaching skills with teachers having sufficient time to gain the essential teaching competencies through on-the-job learning and more structured professional development activities. At the same time, however, low </w:t>
      </w:r>
      <w:r w:rsidR="00AA3D26" w:rsidRPr="00E54845">
        <w:rPr>
          <w:rFonts w:ascii="Times New Roman" w:hAnsi="Times New Roman" w:cs="Times New Roman"/>
          <w:sz w:val="28"/>
          <w:szCs w:val="28"/>
        </w:rPr>
        <w:t xml:space="preserve">teacher attrition can have </w:t>
      </w:r>
      <w:r w:rsidRPr="00E54845">
        <w:rPr>
          <w:rFonts w:ascii="Times New Roman" w:hAnsi="Times New Roman" w:cs="Times New Roman"/>
          <w:sz w:val="28"/>
          <w:szCs w:val="28"/>
        </w:rPr>
        <w:t>negative consequ</w:t>
      </w:r>
      <w:r w:rsidR="00A156A5" w:rsidRPr="00E54845">
        <w:rPr>
          <w:rFonts w:ascii="Times New Roman" w:hAnsi="Times New Roman" w:cs="Times New Roman"/>
          <w:sz w:val="28"/>
          <w:szCs w:val="28"/>
        </w:rPr>
        <w:t xml:space="preserve">ences when high proportions of teachers are dissatisfied with their jobs as a result of challenging working and living conditions. Being unable to resign and move onto ‘greener pastures’ can </w:t>
      </w:r>
      <w:r w:rsidR="00AA3D26" w:rsidRPr="00E54845">
        <w:rPr>
          <w:rFonts w:ascii="Times New Roman" w:hAnsi="Times New Roman" w:cs="Times New Roman"/>
          <w:sz w:val="28"/>
          <w:szCs w:val="28"/>
        </w:rPr>
        <w:t xml:space="preserve">further </w:t>
      </w:r>
      <w:r w:rsidR="00A156A5" w:rsidRPr="00E54845">
        <w:rPr>
          <w:rFonts w:ascii="Times New Roman" w:hAnsi="Times New Roman" w:cs="Times New Roman"/>
          <w:sz w:val="28"/>
          <w:szCs w:val="28"/>
        </w:rPr>
        <w:t>exacerbate teacher dissatisfaction and ultimately l</w:t>
      </w:r>
      <w:r w:rsidR="00AA3D26" w:rsidRPr="00E54845">
        <w:rPr>
          <w:rFonts w:ascii="Times New Roman" w:hAnsi="Times New Roman" w:cs="Times New Roman"/>
          <w:sz w:val="28"/>
          <w:szCs w:val="28"/>
        </w:rPr>
        <w:t>ead to demoralisation and even burnout</w:t>
      </w:r>
      <w:r w:rsidR="00A156A5" w:rsidRPr="00E54845">
        <w:rPr>
          <w:rFonts w:ascii="Times New Roman" w:hAnsi="Times New Roman" w:cs="Times New Roman"/>
          <w:sz w:val="28"/>
          <w:szCs w:val="28"/>
        </w:rPr>
        <w:t>. It is also a major reason why teacher transfer rates (school-level attrition) are so high in many countries in SSA. In Anglophone, teacher transfer rates (certainly until recently)</w:t>
      </w:r>
      <w:r w:rsidR="00A156A5" w:rsidRPr="00E54845">
        <w:rPr>
          <w:rStyle w:val="FootnoteReference"/>
          <w:rFonts w:ascii="Times New Roman" w:hAnsi="Times New Roman" w:cs="Times New Roman"/>
          <w:sz w:val="28"/>
          <w:szCs w:val="28"/>
        </w:rPr>
        <w:footnoteReference w:id="7"/>
      </w:r>
      <w:r w:rsidR="00A156A5" w:rsidRPr="00E54845">
        <w:rPr>
          <w:rFonts w:ascii="Times New Roman" w:hAnsi="Times New Roman" w:cs="Times New Roman"/>
          <w:sz w:val="28"/>
          <w:szCs w:val="28"/>
        </w:rPr>
        <w:t xml:space="preserve">, are typically two-four times higher than teacher attrition rates, particularly in rural areas where working and living conditions are </w:t>
      </w:r>
      <w:r w:rsidR="00AA3D26" w:rsidRPr="00E54845">
        <w:rPr>
          <w:rFonts w:ascii="Times New Roman" w:hAnsi="Times New Roman" w:cs="Times New Roman"/>
          <w:sz w:val="28"/>
          <w:szCs w:val="28"/>
        </w:rPr>
        <w:t xml:space="preserve">particularly </w:t>
      </w:r>
      <w:r w:rsidR="00A156A5" w:rsidRPr="00E54845">
        <w:rPr>
          <w:rFonts w:ascii="Times New Roman" w:hAnsi="Times New Roman" w:cs="Times New Roman"/>
          <w:sz w:val="28"/>
          <w:szCs w:val="28"/>
        </w:rPr>
        <w:t xml:space="preserve">difficult. With up to one-quarter of teacher leaving their schools each year, </w:t>
      </w:r>
      <w:r w:rsidR="0086329E" w:rsidRPr="00E54845">
        <w:rPr>
          <w:rFonts w:ascii="Times New Roman" w:hAnsi="Times New Roman" w:cs="Times New Roman"/>
          <w:sz w:val="28"/>
          <w:szCs w:val="28"/>
        </w:rPr>
        <w:t xml:space="preserve">teaching and learning </w:t>
      </w:r>
      <w:r w:rsidR="00AA3D26" w:rsidRPr="00E54845">
        <w:rPr>
          <w:rFonts w:ascii="Times New Roman" w:hAnsi="Times New Roman" w:cs="Times New Roman"/>
          <w:sz w:val="28"/>
          <w:szCs w:val="28"/>
        </w:rPr>
        <w:t>become seriously co</w:t>
      </w:r>
      <w:r w:rsidR="0086329E" w:rsidRPr="00E54845">
        <w:rPr>
          <w:rFonts w:ascii="Times New Roman" w:hAnsi="Times New Roman" w:cs="Times New Roman"/>
          <w:sz w:val="28"/>
          <w:szCs w:val="28"/>
        </w:rPr>
        <w:t>mpromised.</w:t>
      </w:r>
    </w:p>
    <w:p w:rsidR="001406DC" w:rsidRPr="00E54845" w:rsidRDefault="00FF77D2" w:rsidP="007425B2">
      <w:pPr>
        <w:jc w:val="both"/>
        <w:rPr>
          <w:rFonts w:ascii="Times New Roman" w:hAnsi="Times New Roman" w:cs="Times New Roman"/>
          <w:i/>
          <w:sz w:val="28"/>
          <w:szCs w:val="28"/>
        </w:rPr>
      </w:pPr>
      <w:r>
        <w:rPr>
          <w:rFonts w:ascii="Times New Roman" w:hAnsi="Times New Roman" w:cs="Times New Roman"/>
          <w:i/>
          <w:sz w:val="28"/>
          <w:szCs w:val="28"/>
        </w:rPr>
        <w:t xml:space="preserve">6.1 </w:t>
      </w:r>
      <w:r w:rsidR="001406DC" w:rsidRPr="00E54845">
        <w:rPr>
          <w:rFonts w:ascii="Times New Roman" w:hAnsi="Times New Roman" w:cs="Times New Roman"/>
          <w:i/>
          <w:sz w:val="28"/>
          <w:szCs w:val="28"/>
        </w:rPr>
        <w:t>Cumulative attrition, vacancies and recruitment</w:t>
      </w:r>
    </w:p>
    <w:p w:rsidR="001406DC" w:rsidRPr="00E54845" w:rsidRDefault="001406DC" w:rsidP="007425B2">
      <w:pPr>
        <w:jc w:val="both"/>
        <w:rPr>
          <w:rFonts w:ascii="Times New Roman" w:hAnsi="Times New Roman" w:cs="Times New Roman"/>
          <w:sz w:val="28"/>
          <w:szCs w:val="28"/>
        </w:rPr>
      </w:pPr>
      <w:r w:rsidRPr="00E54845">
        <w:rPr>
          <w:rFonts w:ascii="Times New Roman" w:hAnsi="Times New Roman" w:cs="Times New Roman"/>
          <w:sz w:val="28"/>
          <w:szCs w:val="28"/>
        </w:rPr>
        <w:t>One of the main r</w:t>
      </w:r>
      <w:r w:rsidR="00111DF8" w:rsidRPr="00E54845">
        <w:rPr>
          <w:rFonts w:ascii="Times New Roman" w:hAnsi="Times New Roman" w:cs="Times New Roman"/>
          <w:sz w:val="28"/>
          <w:szCs w:val="28"/>
        </w:rPr>
        <w:t xml:space="preserve">easons why teacher attrition </w:t>
      </w:r>
      <w:r w:rsidRPr="00E54845">
        <w:rPr>
          <w:rFonts w:ascii="Times New Roman" w:hAnsi="Times New Roman" w:cs="Times New Roman"/>
          <w:sz w:val="28"/>
          <w:szCs w:val="28"/>
        </w:rPr>
        <w:t xml:space="preserve">appears to be so high </w:t>
      </w:r>
      <w:r w:rsidR="00111DF8" w:rsidRPr="00E54845">
        <w:rPr>
          <w:rFonts w:ascii="Times New Roman" w:hAnsi="Times New Roman" w:cs="Times New Roman"/>
          <w:sz w:val="28"/>
          <w:szCs w:val="28"/>
        </w:rPr>
        <w:t xml:space="preserve">in SSA </w:t>
      </w:r>
      <w:r w:rsidRPr="00E54845">
        <w:rPr>
          <w:rFonts w:ascii="Times New Roman" w:hAnsi="Times New Roman" w:cs="Times New Roman"/>
          <w:sz w:val="28"/>
          <w:szCs w:val="28"/>
        </w:rPr>
        <w:t xml:space="preserve">is because, unlike in Europe and other high-income countries, it can take years for </w:t>
      </w:r>
      <w:r w:rsidR="00D274B8" w:rsidRPr="00E54845">
        <w:rPr>
          <w:rFonts w:ascii="Times New Roman" w:hAnsi="Times New Roman" w:cs="Times New Roman"/>
          <w:sz w:val="28"/>
          <w:szCs w:val="28"/>
        </w:rPr>
        <w:t xml:space="preserve">all </w:t>
      </w:r>
      <w:r w:rsidRPr="00E54845">
        <w:rPr>
          <w:rFonts w:ascii="Times New Roman" w:hAnsi="Times New Roman" w:cs="Times New Roman"/>
          <w:sz w:val="28"/>
          <w:szCs w:val="28"/>
        </w:rPr>
        <w:t>departing teachers to be replaced with the result that</w:t>
      </w:r>
      <w:r w:rsidR="00D274B8" w:rsidRPr="00E54845">
        <w:rPr>
          <w:rFonts w:ascii="Times New Roman" w:hAnsi="Times New Roman" w:cs="Times New Roman"/>
          <w:sz w:val="28"/>
          <w:szCs w:val="28"/>
        </w:rPr>
        <w:t xml:space="preserve"> </w:t>
      </w:r>
      <w:r w:rsidRPr="00E54845">
        <w:rPr>
          <w:rFonts w:ascii="Times New Roman" w:hAnsi="Times New Roman" w:cs="Times New Roman"/>
          <w:sz w:val="28"/>
          <w:szCs w:val="28"/>
        </w:rPr>
        <w:t xml:space="preserve">overall vacancy rates are </w:t>
      </w:r>
      <w:r w:rsidR="00D274B8" w:rsidRPr="00E54845">
        <w:rPr>
          <w:rFonts w:ascii="Times New Roman" w:hAnsi="Times New Roman" w:cs="Times New Roman"/>
          <w:sz w:val="28"/>
          <w:szCs w:val="28"/>
        </w:rPr>
        <w:t xml:space="preserve">persistently </w:t>
      </w:r>
      <w:r w:rsidRPr="00E54845">
        <w:rPr>
          <w:rFonts w:ascii="Times New Roman" w:hAnsi="Times New Roman" w:cs="Times New Roman"/>
          <w:sz w:val="28"/>
          <w:szCs w:val="28"/>
        </w:rPr>
        <w:t xml:space="preserve">high. </w:t>
      </w:r>
      <w:r w:rsidR="008421A3" w:rsidRPr="00E54845">
        <w:rPr>
          <w:rFonts w:ascii="Times New Roman" w:hAnsi="Times New Roman" w:cs="Times New Roman"/>
          <w:sz w:val="28"/>
          <w:szCs w:val="28"/>
        </w:rPr>
        <w:t xml:space="preserve">It is the case, therefore, that cumulative teacher attrition does result in serious teacher shortages. </w:t>
      </w:r>
      <w:r w:rsidRPr="00E54845">
        <w:rPr>
          <w:rFonts w:ascii="Times New Roman" w:hAnsi="Times New Roman" w:cs="Times New Roman"/>
          <w:sz w:val="28"/>
          <w:szCs w:val="28"/>
        </w:rPr>
        <w:t>There are both economic and political reasons for this dysfunctional recruitment process. The on-going acute lack of public resources</w:t>
      </w:r>
      <w:r w:rsidR="00164BC8" w:rsidRPr="00E54845">
        <w:rPr>
          <w:rFonts w:ascii="Times New Roman" w:hAnsi="Times New Roman" w:cs="Times New Roman"/>
          <w:sz w:val="28"/>
          <w:szCs w:val="28"/>
        </w:rPr>
        <w:t xml:space="preserve"> to replace teachers is </w:t>
      </w:r>
      <w:r w:rsidRPr="00E54845">
        <w:rPr>
          <w:rFonts w:ascii="Times New Roman" w:hAnsi="Times New Roman" w:cs="Times New Roman"/>
          <w:sz w:val="28"/>
          <w:szCs w:val="28"/>
        </w:rPr>
        <w:t xml:space="preserve">a major constraint. </w:t>
      </w:r>
      <w:r w:rsidR="00111DF8" w:rsidRPr="00E54845">
        <w:rPr>
          <w:rFonts w:ascii="Times New Roman" w:hAnsi="Times New Roman" w:cs="Times New Roman"/>
          <w:sz w:val="28"/>
          <w:szCs w:val="28"/>
        </w:rPr>
        <w:t xml:space="preserve">With the general reduction in the levels of general budget support by aid donors during the last decade, these </w:t>
      </w:r>
      <w:r w:rsidR="00111DF8" w:rsidRPr="00E54845">
        <w:rPr>
          <w:rFonts w:ascii="Times New Roman" w:hAnsi="Times New Roman" w:cs="Times New Roman"/>
          <w:sz w:val="28"/>
          <w:szCs w:val="28"/>
        </w:rPr>
        <w:lastRenderedPageBreak/>
        <w:t>financial constraints have become even more acute in some countries with governments having to rely main</w:t>
      </w:r>
      <w:r w:rsidR="007037E9" w:rsidRPr="00E54845">
        <w:rPr>
          <w:rFonts w:ascii="Times New Roman" w:hAnsi="Times New Roman" w:cs="Times New Roman"/>
          <w:sz w:val="28"/>
          <w:szCs w:val="28"/>
        </w:rPr>
        <w:t>ly</w:t>
      </w:r>
      <w:r w:rsidR="00111DF8" w:rsidRPr="00E54845">
        <w:rPr>
          <w:rFonts w:ascii="Times New Roman" w:hAnsi="Times New Roman" w:cs="Times New Roman"/>
          <w:sz w:val="28"/>
          <w:szCs w:val="28"/>
        </w:rPr>
        <w:t xml:space="preserve"> on domestic resources to fund teacher recruitment. </w:t>
      </w:r>
      <w:r w:rsidRPr="00E54845">
        <w:rPr>
          <w:rFonts w:ascii="Times New Roman" w:hAnsi="Times New Roman" w:cs="Times New Roman"/>
          <w:sz w:val="28"/>
          <w:szCs w:val="28"/>
        </w:rPr>
        <w:t>In addition, however, the recruitment process</w:t>
      </w:r>
      <w:r w:rsidR="00111DF8" w:rsidRPr="00E54845">
        <w:rPr>
          <w:rFonts w:ascii="Times New Roman" w:hAnsi="Times New Roman" w:cs="Times New Roman"/>
          <w:sz w:val="28"/>
          <w:szCs w:val="28"/>
        </w:rPr>
        <w:t xml:space="preserve"> for teachers has become </w:t>
      </w:r>
      <w:r w:rsidRPr="00E54845">
        <w:rPr>
          <w:rFonts w:ascii="Times New Roman" w:hAnsi="Times New Roman" w:cs="Times New Roman"/>
          <w:sz w:val="28"/>
          <w:szCs w:val="28"/>
        </w:rPr>
        <w:t>politicised in some cou</w:t>
      </w:r>
      <w:r w:rsidR="00307FAE" w:rsidRPr="00E54845">
        <w:rPr>
          <w:rFonts w:ascii="Times New Roman" w:hAnsi="Times New Roman" w:cs="Times New Roman"/>
          <w:sz w:val="28"/>
          <w:szCs w:val="28"/>
        </w:rPr>
        <w:t xml:space="preserve">ntries with the result that a disproportionate amount of </w:t>
      </w:r>
      <w:r w:rsidRPr="00E54845">
        <w:rPr>
          <w:rFonts w:ascii="Times New Roman" w:hAnsi="Times New Roman" w:cs="Times New Roman"/>
          <w:sz w:val="28"/>
          <w:szCs w:val="28"/>
        </w:rPr>
        <w:t xml:space="preserve">teacher recruitment </w:t>
      </w:r>
      <w:r w:rsidR="00111DF8" w:rsidRPr="00E54845">
        <w:rPr>
          <w:rFonts w:ascii="Times New Roman" w:hAnsi="Times New Roman" w:cs="Times New Roman"/>
          <w:sz w:val="28"/>
          <w:szCs w:val="28"/>
        </w:rPr>
        <w:t xml:space="preserve">frequently </w:t>
      </w:r>
      <w:r w:rsidRPr="00E54845">
        <w:rPr>
          <w:rFonts w:ascii="Times New Roman" w:hAnsi="Times New Roman" w:cs="Times New Roman"/>
          <w:sz w:val="28"/>
          <w:szCs w:val="28"/>
        </w:rPr>
        <w:t>occurs immediately before and</w:t>
      </w:r>
      <w:r w:rsidR="00307FAE" w:rsidRPr="00E54845">
        <w:rPr>
          <w:rFonts w:ascii="Times New Roman" w:hAnsi="Times New Roman" w:cs="Times New Roman"/>
          <w:sz w:val="28"/>
          <w:szCs w:val="28"/>
        </w:rPr>
        <w:t>/or</w:t>
      </w:r>
      <w:r w:rsidRPr="00E54845">
        <w:rPr>
          <w:rFonts w:ascii="Times New Roman" w:hAnsi="Times New Roman" w:cs="Times New Roman"/>
          <w:sz w:val="28"/>
          <w:szCs w:val="28"/>
        </w:rPr>
        <w:t xml:space="preserve"> after national elections as incumbent ruling parties seek to garner enough support </w:t>
      </w:r>
      <w:r w:rsidR="00AA3D26" w:rsidRPr="00E54845">
        <w:rPr>
          <w:rFonts w:ascii="Times New Roman" w:hAnsi="Times New Roman" w:cs="Times New Roman"/>
          <w:sz w:val="28"/>
          <w:szCs w:val="28"/>
        </w:rPr>
        <w:t xml:space="preserve">in order </w:t>
      </w:r>
      <w:r w:rsidRPr="00E54845">
        <w:rPr>
          <w:rFonts w:ascii="Times New Roman" w:hAnsi="Times New Roman" w:cs="Times New Roman"/>
          <w:sz w:val="28"/>
          <w:szCs w:val="28"/>
        </w:rPr>
        <w:t>to be re-elected</w:t>
      </w:r>
      <w:r w:rsidR="00307FAE" w:rsidRPr="00E54845">
        <w:rPr>
          <w:rFonts w:ascii="Times New Roman" w:hAnsi="Times New Roman" w:cs="Times New Roman"/>
          <w:sz w:val="28"/>
          <w:szCs w:val="28"/>
        </w:rPr>
        <w:t xml:space="preserve"> and </w:t>
      </w:r>
      <w:r w:rsidR="00AA3D26" w:rsidRPr="00E54845">
        <w:rPr>
          <w:rFonts w:ascii="Times New Roman" w:hAnsi="Times New Roman" w:cs="Times New Roman"/>
          <w:sz w:val="28"/>
          <w:szCs w:val="28"/>
        </w:rPr>
        <w:t xml:space="preserve">then come under pressure to </w:t>
      </w:r>
      <w:r w:rsidR="00307FAE" w:rsidRPr="00E54845">
        <w:rPr>
          <w:rFonts w:ascii="Times New Roman" w:hAnsi="Times New Roman" w:cs="Times New Roman"/>
          <w:sz w:val="28"/>
          <w:szCs w:val="28"/>
        </w:rPr>
        <w:t>implement election promises</w:t>
      </w:r>
      <w:r w:rsidR="00AA3D26" w:rsidRPr="00E54845">
        <w:rPr>
          <w:rFonts w:ascii="Times New Roman" w:hAnsi="Times New Roman" w:cs="Times New Roman"/>
          <w:sz w:val="28"/>
          <w:szCs w:val="28"/>
        </w:rPr>
        <w:t xml:space="preserve"> once in office</w:t>
      </w:r>
      <w:r w:rsidRPr="00E54845">
        <w:rPr>
          <w:rFonts w:ascii="Times New Roman" w:hAnsi="Times New Roman" w:cs="Times New Roman"/>
          <w:sz w:val="28"/>
          <w:szCs w:val="28"/>
        </w:rPr>
        <w:t>.</w:t>
      </w:r>
      <w:r w:rsidR="00111DF8" w:rsidRPr="00E54845">
        <w:rPr>
          <w:rFonts w:ascii="Times New Roman" w:hAnsi="Times New Roman" w:cs="Times New Roman"/>
          <w:sz w:val="28"/>
          <w:szCs w:val="28"/>
        </w:rPr>
        <w:t xml:space="preserve">   </w:t>
      </w:r>
      <w:r w:rsidRPr="00E54845">
        <w:rPr>
          <w:rFonts w:ascii="Times New Roman" w:hAnsi="Times New Roman" w:cs="Times New Roman"/>
          <w:sz w:val="28"/>
          <w:szCs w:val="28"/>
        </w:rPr>
        <w:t xml:space="preserve"> </w:t>
      </w:r>
    </w:p>
    <w:p w:rsidR="00D76810" w:rsidRPr="00E54845" w:rsidRDefault="00CC6072" w:rsidP="00646CA0">
      <w:pPr>
        <w:jc w:val="both"/>
        <w:rPr>
          <w:rFonts w:ascii="Times New Roman" w:hAnsi="Times New Roman" w:cs="Times New Roman"/>
          <w:b/>
          <w:i/>
          <w:sz w:val="28"/>
          <w:szCs w:val="28"/>
        </w:rPr>
      </w:pPr>
      <w:r w:rsidRPr="00E54845">
        <w:rPr>
          <w:rFonts w:ascii="Times New Roman" w:hAnsi="Times New Roman" w:cs="Times New Roman"/>
          <w:b/>
          <w:i/>
          <w:sz w:val="28"/>
          <w:szCs w:val="28"/>
        </w:rPr>
        <w:t xml:space="preserve">7. </w:t>
      </w:r>
      <w:r w:rsidR="00D76810" w:rsidRPr="00E54845">
        <w:rPr>
          <w:rFonts w:ascii="Times New Roman" w:hAnsi="Times New Roman" w:cs="Times New Roman"/>
          <w:b/>
          <w:i/>
          <w:sz w:val="28"/>
          <w:szCs w:val="28"/>
        </w:rPr>
        <w:t>Conclusion</w:t>
      </w:r>
    </w:p>
    <w:p w:rsidR="0048433A" w:rsidRPr="00E54845" w:rsidRDefault="0052270B"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Two main conclusions can be drawn from this study. Firstly, the main reason for pervasive shortages of teachers in the majority of countries in SSA is not high </w:t>
      </w:r>
      <w:r w:rsidR="00307FAE" w:rsidRPr="00E54845">
        <w:rPr>
          <w:rFonts w:ascii="Times New Roman" w:hAnsi="Times New Roman" w:cs="Times New Roman"/>
          <w:sz w:val="28"/>
          <w:szCs w:val="28"/>
        </w:rPr>
        <w:t xml:space="preserve">annual </w:t>
      </w:r>
      <w:r w:rsidRPr="00E54845">
        <w:rPr>
          <w:rFonts w:ascii="Times New Roman" w:hAnsi="Times New Roman" w:cs="Times New Roman"/>
          <w:sz w:val="28"/>
          <w:szCs w:val="28"/>
        </w:rPr>
        <w:t>teacher attrition per se but rather the lack of public funding and political commitment in order to ensure that departing teachers are replaced in a timely manner and additional funding is forthcoming (from both domestic and</w:t>
      </w:r>
      <w:r w:rsidR="00AA3D26" w:rsidRPr="00E54845">
        <w:rPr>
          <w:rFonts w:ascii="Times New Roman" w:hAnsi="Times New Roman" w:cs="Times New Roman"/>
          <w:sz w:val="28"/>
          <w:szCs w:val="28"/>
        </w:rPr>
        <w:t xml:space="preserve"> external sources) to fund the n</w:t>
      </w:r>
      <w:r w:rsidRPr="00E54845">
        <w:rPr>
          <w:rFonts w:ascii="Times New Roman" w:hAnsi="Times New Roman" w:cs="Times New Roman"/>
          <w:sz w:val="28"/>
          <w:szCs w:val="28"/>
        </w:rPr>
        <w:t xml:space="preserve">ew teaching posts that are needed to meet national and international educational goals. And secondly, low teacher attrition </w:t>
      </w:r>
      <w:r w:rsidR="003424BE" w:rsidRPr="00E54845">
        <w:rPr>
          <w:rFonts w:ascii="Times New Roman" w:hAnsi="Times New Roman" w:cs="Times New Roman"/>
          <w:sz w:val="28"/>
          <w:szCs w:val="28"/>
        </w:rPr>
        <w:t xml:space="preserve">can </w:t>
      </w:r>
      <w:r w:rsidRPr="00E54845">
        <w:rPr>
          <w:rFonts w:ascii="Times New Roman" w:hAnsi="Times New Roman" w:cs="Times New Roman"/>
          <w:sz w:val="28"/>
          <w:szCs w:val="28"/>
        </w:rPr>
        <w:t xml:space="preserve">serious consequences when demotivated and demoralised teachers feel ‘trapped’ in their jobs. Once again, this highlights the urgent need to address squarely the poor pay and other working and living conditions </w:t>
      </w:r>
      <w:r w:rsidR="00307FAE" w:rsidRPr="00E54845">
        <w:rPr>
          <w:rFonts w:ascii="Times New Roman" w:hAnsi="Times New Roman" w:cs="Times New Roman"/>
          <w:sz w:val="28"/>
          <w:szCs w:val="28"/>
        </w:rPr>
        <w:t>which the large majority of teachers in SSA have to endure</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w:t>
      </w:r>
    </w:p>
    <w:p w:rsidR="0048433A" w:rsidRPr="00E54845" w:rsidRDefault="00FF77D2" w:rsidP="00646CA0">
      <w:pPr>
        <w:jc w:val="both"/>
        <w:rPr>
          <w:rFonts w:ascii="Times New Roman" w:hAnsi="Times New Roman" w:cs="Times New Roman"/>
          <w:i/>
          <w:sz w:val="28"/>
          <w:szCs w:val="28"/>
        </w:rPr>
      </w:pPr>
      <w:r>
        <w:rPr>
          <w:rFonts w:ascii="Times New Roman" w:hAnsi="Times New Roman" w:cs="Times New Roman"/>
          <w:i/>
          <w:sz w:val="28"/>
          <w:szCs w:val="28"/>
        </w:rPr>
        <w:t xml:space="preserve">7.1 </w:t>
      </w:r>
      <w:r w:rsidR="0048433A" w:rsidRPr="00E54845">
        <w:rPr>
          <w:rFonts w:ascii="Times New Roman" w:hAnsi="Times New Roman" w:cs="Times New Roman"/>
          <w:i/>
          <w:sz w:val="28"/>
          <w:szCs w:val="28"/>
        </w:rPr>
        <w:t>Future research</w:t>
      </w:r>
    </w:p>
    <w:p w:rsidR="0048433A" w:rsidRPr="00E54845" w:rsidRDefault="0048433A" w:rsidP="00646CA0">
      <w:pPr>
        <w:jc w:val="both"/>
        <w:rPr>
          <w:rFonts w:ascii="Times New Roman" w:hAnsi="Times New Roman" w:cs="Times New Roman"/>
          <w:sz w:val="28"/>
          <w:szCs w:val="28"/>
        </w:rPr>
      </w:pPr>
      <w:r w:rsidRPr="00E54845">
        <w:rPr>
          <w:rFonts w:ascii="Times New Roman" w:hAnsi="Times New Roman" w:cs="Times New Roman"/>
          <w:sz w:val="28"/>
          <w:szCs w:val="28"/>
        </w:rPr>
        <w:t>The overall research effort on teachers and teaching in SSA needs to be intensified. As part of this research effort, detailed studies should be undertaken on the levels, patterns, causes and consequences of teacher attrition in every country which will provide essential information for robust teacher requirement projections, both nationally and for the region as a whole.</w:t>
      </w:r>
      <w:r w:rsidR="004F340C" w:rsidRPr="00E54845">
        <w:rPr>
          <w:rFonts w:ascii="Times New Roman" w:hAnsi="Times New Roman" w:cs="Times New Roman"/>
          <w:sz w:val="28"/>
          <w:szCs w:val="28"/>
        </w:rPr>
        <w:t xml:space="preserve"> As noted earlier, a very substantial amount of detailed, high quality research has been undertaken on teacher attrition in high-income countries which can be drawn upon in the design and implementation of these national studies in SSA.</w:t>
      </w:r>
    </w:p>
    <w:p w:rsidR="00D76810" w:rsidRPr="00E54845" w:rsidRDefault="0052270B"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 </w:t>
      </w:r>
    </w:p>
    <w:p w:rsidR="00D76810" w:rsidRPr="00E54845" w:rsidRDefault="00D76810" w:rsidP="00646CA0">
      <w:pPr>
        <w:jc w:val="both"/>
        <w:rPr>
          <w:rFonts w:ascii="Times New Roman" w:hAnsi="Times New Roman" w:cs="Times New Roman"/>
          <w:sz w:val="28"/>
          <w:szCs w:val="28"/>
        </w:rPr>
      </w:pPr>
    </w:p>
    <w:p w:rsidR="00D76810" w:rsidRPr="00E54845" w:rsidRDefault="00D76810" w:rsidP="00646CA0">
      <w:pPr>
        <w:jc w:val="both"/>
        <w:rPr>
          <w:rFonts w:ascii="Times New Roman" w:hAnsi="Times New Roman" w:cs="Times New Roman"/>
          <w:sz w:val="28"/>
          <w:szCs w:val="28"/>
        </w:rPr>
      </w:pPr>
    </w:p>
    <w:p w:rsidR="00676CB3" w:rsidRPr="00E54845" w:rsidRDefault="00676CB3">
      <w:pPr>
        <w:rPr>
          <w:rFonts w:ascii="Times New Roman" w:hAnsi="Times New Roman" w:cs="Times New Roman"/>
          <w:sz w:val="28"/>
          <w:szCs w:val="28"/>
        </w:rPr>
      </w:pPr>
      <w:r w:rsidRPr="00E54845">
        <w:rPr>
          <w:rFonts w:ascii="Times New Roman" w:hAnsi="Times New Roman" w:cs="Times New Roman"/>
          <w:sz w:val="28"/>
          <w:szCs w:val="28"/>
        </w:rPr>
        <w:br w:type="page"/>
      </w:r>
    </w:p>
    <w:p w:rsidR="007D573E" w:rsidRPr="00E54845" w:rsidRDefault="007D573E" w:rsidP="00676CB3">
      <w:pPr>
        <w:jc w:val="center"/>
        <w:rPr>
          <w:rFonts w:ascii="Times New Roman" w:hAnsi="Times New Roman" w:cs="Times New Roman"/>
          <w:sz w:val="28"/>
          <w:szCs w:val="28"/>
        </w:rPr>
      </w:pPr>
      <w:r w:rsidRPr="00E54845">
        <w:rPr>
          <w:rFonts w:ascii="Times New Roman" w:hAnsi="Times New Roman" w:cs="Times New Roman"/>
          <w:sz w:val="28"/>
          <w:szCs w:val="28"/>
        </w:rPr>
        <w:lastRenderedPageBreak/>
        <w:t>REFERENCES</w:t>
      </w:r>
    </w:p>
    <w:p w:rsidR="00AC26FF" w:rsidRPr="00E54845" w:rsidRDefault="00AC26FF" w:rsidP="00AC26FF">
      <w:pPr>
        <w:jc w:val="both"/>
        <w:rPr>
          <w:rFonts w:ascii="Times New Roman" w:hAnsi="Times New Roman" w:cs="Times New Roman"/>
          <w:sz w:val="28"/>
          <w:szCs w:val="28"/>
        </w:rPr>
      </w:pPr>
      <w:r w:rsidRPr="00E54845">
        <w:rPr>
          <w:rFonts w:ascii="Times New Roman" w:hAnsi="Times New Roman" w:cs="Times New Roman"/>
          <w:sz w:val="28"/>
          <w:szCs w:val="28"/>
        </w:rPr>
        <w:t xml:space="preserve">Adekoye, P.M.R.A. 2019.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 unemployment in Mugabe’s Zimbabwe: a lesson for the future.</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Journal of Gender, Information and Development in Africa. Online  </w:t>
      </w:r>
    </w:p>
    <w:p w:rsidR="00B61E37" w:rsidRPr="00E54845" w:rsidRDefault="00B61E37"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Aden, A., Brazeley, B. 2019.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 shortage in Kenya: Trends and policy implications.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Online International Interdisciplinary Research Journal, 9, 5, 128-37.</w:t>
      </w:r>
    </w:p>
    <w:p w:rsidR="00B61E37" w:rsidRPr="00E54845" w:rsidRDefault="00B61E37"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Agezo, C. 2010.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Why teachers are leaving teaching: The case of pre-tertiary institutions in Ghana.</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International Journal of Educational Reform, 19, 1, 51-69.</w:t>
      </w:r>
    </w:p>
    <w:p w:rsidR="007D573E" w:rsidRPr="00E54845" w:rsidRDefault="00232E68" w:rsidP="00646CA0">
      <w:pPr>
        <w:jc w:val="both"/>
        <w:rPr>
          <w:rFonts w:ascii="Times New Roman" w:hAnsi="Times New Roman" w:cs="Times New Roman"/>
          <w:sz w:val="28"/>
          <w:szCs w:val="28"/>
        </w:rPr>
      </w:pPr>
      <w:r w:rsidRPr="00E54845">
        <w:rPr>
          <w:rFonts w:ascii="Times New Roman" w:hAnsi="Times New Roman" w:cs="Times New Roman"/>
          <w:sz w:val="28"/>
          <w:szCs w:val="28"/>
        </w:rPr>
        <w:t>Boateng, S.S</w:t>
      </w:r>
      <w:r w:rsidR="007D573E" w:rsidRPr="00E54845">
        <w:rPr>
          <w:rFonts w:ascii="Times New Roman" w:hAnsi="Times New Roman" w:cs="Times New Roman"/>
          <w:sz w:val="28"/>
          <w:szCs w:val="28"/>
        </w:rPr>
        <w:t>.</w:t>
      </w:r>
      <w:r w:rsidRPr="00E54845">
        <w:rPr>
          <w:rFonts w:ascii="Times New Roman" w:hAnsi="Times New Roman" w:cs="Times New Roman"/>
          <w:sz w:val="28"/>
          <w:szCs w:val="28"/>
        </w:rPr>
        <w:t xml:space="preserve"> 2019.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Teachers’ attrition at pre-tertiary level in Ghana: A qualitative</w:t>
      </w:r>
      <w:r w:rsidR="00574AB6" w:rsidRPr="00E54845">
        <w:rPr>
          <w:rFonts w:ascii="Times New Roman" w:hAnsi="Times New Roman" w:cs="Times New Roman"/>
          <w:sz w:val="28"/>
          <w:szCs w:val="28"/>
        </w:rPr>
        <w:t xml:space="preserve"> </w:t>
      </w:r>
      <w:r w:rsidRPr="00E54845">
        <w:rPr>
          <w:rFonts w:ascii="Times New Roman" w:hAnsi="Times New Roman" w:cs="Times New Roman"/>
          <w:sz w:val="28"/>
          <w:szCs w:val="28"/>
        </w:rPr>
        <w:t>investigation into its causes and suggestions.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Journal of Education and Practice, 10, 14, 139-148.</w:t>
      </w:r>
    </w:p>
    <w:p w:rsidR="004E74A3" w:rsidRPr="00E54845" w:rsidRDefault="004E74A3"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Carver-Thomas, D., Darling-Hammond, L. 2019.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The trouble with teacher turnover: How teacher attrition affects students and schools.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Education Policy Analysis Archives, 27, 36.</w:t>
      </w:r>
    </w:p>
    <w:p w:rsidR="00232E68" w:rsidRPr="00E54845" w:rsidRDefault="00232E68"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Cobbold, C., Asamani, L. 2015.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Ghanaian teachers’ career orientations and their turnover intentions.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Research on Humanities and Social Sciences, 5, 6, 112-119. </w:t>
      </w:r>
    </w:p>
    <w:p w:rsidR="004E74A3" w:rsidRPr="00E54845" w:rsidRDefault="004E74A3"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Craig, C.J. 2017.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International teacher attrition: multi-perspective views.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Teachers and Teaching: Theory and Practice. November, 859-862. </w:t>
      </w:r>
    </w:p>
    <w:p w:rsidR="008E028E" w:rsidRPr="00E54845" w:rsidRDefault="008E028E"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Emoja, M.M. 2016.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Job satisfaction and teacher turnover intention in secondary schools in Kakameg</w:t>
      </w:r>
      <w:r w:rsidR="00574AB6" w:rsidRPr="00E54845">
        <w:rPr>
          <w:rFonts w:ascii="Times New Roman" w:hAnsi="Times New Roman" w:cs="Times New Roman"/>
          <w:sz w:val="28"/>
          <w:szCs w:val="28"/>
        </w:rPr>
        <w:t>a</w:t>
      </w:r>
      <w:r w:rsidRPr="00E54845">
        <w:rPr>
          <w:rFonts w:ascii="Times New Roman" w:hAnsi="Times New Roman" w:cs="Times New Roman"/>
          <w:sz w:val="28"/>
          <w:szCs w:val="28"/>
        </w:rPr>
        <w:t>, Central District, Kenya.</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International Journal of Education and Research, 4, 3, 85-96.</w:t>
      </w:r>
    </w:p>
    <w:p w:rsidR="00646CA0" w:rsidRPr="00E54845" w:rsidRDefault="00646CA0"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Kayuni, H., Tambulasi, R. 2007.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 turnover in Malawi’s Ministry of Education: Reality and challenges’. International Education Journal, 8, 1, 89-99.</w:t>
      </w:r>
    </w:p>
    <w:p w:rsidR="00756968" w:rsidRPr="00E54845" w:rsidRDefault="00646CA0" w:rsidP="00646CA0">
      <w:pPr>
        <w:jc w:val="both"/>
        <w:rPr>
          <w:rFonts w:ascii="Times New Roman" w:hAnsi="Times New Roman" w:cs="Times New Roman"/>
          <w:sz w:val="28"/>
          <w:szCs w:val="28"/>
        </w:rPr>
      </w:pPr>
      <w:r w:rsidRPr="00E54845">
        <w:rPr>
          <w:rFonts w:ascii="Times New Roman" w:hAnsi="Times New Roman" w:cs="Times New Roman"/>
          <w:sz w:val="28"/>
          <w:szCs w:val="28"/>
        </w:rPr>
        <w:t>Macdonald</w:t>
      </w:r>
      <w:r w:rsidR="00756968" w:rsidRPr="00E54845">
        <w:rPr>
          <w:rFonts w:ascii="Times New Roman" w:hAnsi="Times New Roman" w:cs="Times New Roman"/>
          <w:sz w:val="28"/>
          <w:szCs w:val="28"/>
        </w:rPr>
        <w:t xml:space="preserve">, D. 1999. </w:t>
      </w:r>
      <w:r w:rsidR="00574AB6" w:rsidRPr="00E54845">
        <w:rPr>
          <w:rFonts w:ascii="Times New Roman" w:hAnsi="Times New Roman" w:cs="Times New Roman"/>
          <w:sz w:val="28"/>
          <w:szCs w:val="28"/>
        </w:rPr>
        <w:t>‘</w:t>
      </w:r>
      <w:r w:rsidR="00756968" w:rsidRPr="00E54845">
        <w:rPr>
          <w:rFonts w:ascii="Times New Roman" w:hAnsi="Times New Roman" w:cs="Times New Roman"/>
          <w:sz w:val="28"/>
          <w:szCs w:val="28"/>
        </w:rPr>
        <w:t>Teacher attrition: a review of literature.</w:t>
      </w:r>
      <w:r w:rsidR="00574AB6" w:rsidRPr="00E54845">
        <w:rPr>
          <w:rFonts w:ascii="Times New Roman" w:hAnsi="Times New Roman" w:cs="Times New Roman"/>
          <w:sz w:val="28"/>
          <w:szCs w:val="28"/>
        </w:rPr>
        <w:t>’</w:t>
      </w:r>
      <w:r w:rsidR="00756968" w:rsidRPr="00E54845">
        <w:rPr>
          <w:rFonts w:ascii="Times New Roman" w:hAnsi="Times New Roman" w:cs="Times New Roman"/>
          <w:sz w:val="28"/>
          <w:szCs w:val="28"/>
        </w:rPr>
        <w:t xml:space="preserve"> Teaching and Teacher Education, 15, 835-848.</w:t>
      </w:r>
    </w:p>
    <w:p w:rsidR="006E5A9F" w:rsidRPr="00E54845" w:rsidRDefault="006E5A9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Mafora, P. 2013.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Managing teacher retention in rural school districts in South Africa.</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The Australian Society for Research in Education, 40, 2 227-240.</w:t>
      </w:r>
    </w:p>
    <w:p w:rsidR="00AC26FF" w:rsidRPr="00E54845" w:rsidRDefault="00EC4D45"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Mampane, P.M. 2012.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The teacher turnover crisis. Evidence from South Africa.</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Business Education and Accreditation, 4, 2, 73-83.</w:t>
      </w:r>
    </w:p>
    <w:p w:rsidR="002728D1" w:rsidRPr="00E54845" w:rsidRDefault="002728D1"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Mulkeen, A., Chapman, D.W., DeJaeghere, J.G., Leu, E. 2007. Recruiting, retaining, and retraining secondary school teachers and principals in Sub-Saharan Africa. Washington D.C., World Bank Working Paper No. 99, World Bank. </w:t>
      </w:r>
    </w:p>
    <w:p w:rsidR="00646CA0" w:rsidRPr="00E54845" w:rsidRDefault="00646CA0" w:rsidP="00646CA0">
      <w:pPr>
        <w:jc w:val="both"/>
        <w:rPr>
          <w:rFonts w:ascii="Times New Roman" w:hAnsi="Times New Roman" w:cs="Times New Roman"/>
          <w:sz w:val="28"/>
          <w:szCs w:val="28"/>
        </w:rPr>
      </w:pPr>
      <w:r w:rsidRPr="00E54845">
        <w:rPr>
          <w:rFonts w:ascii="Times New Roman" w:hAnsi="Times New Roman" w:cs="Times New Roman"/>
          <w:sz w:val="28"/>
          <w:szCs w:val="28"/>
        </w:rPr>
        <w:lastRenderedPageBreak/>
        <w:t xml:space="preserve">Pitsoe, V.J., Machaisa, P.R. 2012.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 attrition catastrophe in Sub-Saharan Africa: A</w:t>
      </w:r>
      <w:r w:rsidR="00676CB3" w:rsidRPr="00E54845">
        <w:rPr>
          <w:rFonts w:ascii="Times New Roman" w:hAnsi="Times New Roman" w:cs="Times New Roman"/>
          <w:sz w:val="28"/>
          <w:szCs w:val="28"/>
        </w:rPr>
        <w:t xml:space="preserve"> </w:t>
      </w:r>
      <w:r w:rsidRPr="00E54845">
        <w:rPr>
          <w:rFonts w:ascii="Times New Roman" w:hAnsi="Times New Roman" w:cs="Times New Roman"/>
          <w:sz w:val="28"/>
          <w:szCs w:val="28"/>
        </w:rPr>
        <w:t>hurdle in the achievement of UPE, EFA policy goals and MDGs.</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Science Journal of Sociology and Anthropology.</w:t>
      </w:r>
    </w:p>
    <w:p w:rsidR="006E5A9F" w:rsidRPr="00E54845" w:rsidRDefault="006E5A9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Sone, C.N. 2020.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An exploration of teacher attrition and retention in private secondary schools in Cameroon.</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D.Phil. thesis. Cardiff Metropolitan University.</w:t>
      </w:r>
    </w:p>
    <w:p w:rsidR="001B25D1" w:rsidRPr="00E54845" w:rsidRDefault="00676CB3" w:rsidP="00646CA0">
      <w:pPr>
        <w:jc w:val="both"/>
        <w:rPr>
          <w:rFonts w:ascii="Times New Roman" w:hAnsi="Times New Roman" w:cs="Times New Roman"/>
          <w:sz w:val="28"/>
          <w:szCs w:val="28"/>
        </w:rPr>
      </w:pPr>
      <w:r w:rsidRPr="00E54845">
        <w:rPr>
          <w:rFonts w:ascii="Times New Roman" w:hAnsi="Times New Roman" w:cs="Times New Roman"/>
          <w:sz w:val="28"/>
          <w:szCs w:val="28"/>
        </w:rPr>
        <w:t>UNESCO. 2021.</w:t>
      </w:r>
      <w:r w:rsidR="001B25D1" w:rsidRPr="00E54845">
        <w:rPr>
          <w:rFonts w:ascii="Times New Roman" w:hAnsi="Times New Roman" w:cs="Times New Roman"/>
          <w:sz w:val="28"/>
          <w:szCs w:val="28"/>
        </w:rPr>
        <w:t xml:space="preserve"> Teachers at the heart of education recovery: What does the latest data tell us about the state of the world’s teachers? Paris, International Task Force on Teachers for Education 2030</w:t>
      </w:r>
    </w:p>
    <w:p w:rsidR="007D573E" w:rsidRPr="00E54845" w:rsidRDefault="007B243A"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UNESCO. </w:t>
      </w:r>
      <w:r w:rsidR="00676CB3" w:rsidRPr="00E54845">
        <w:rPr>
          <w:rFonts w:ascii="Times New Roman" w:hAnsi="Times New Roman" w:cs="Times New Roman"/>
          <w:sz w:val="28"/>
          <w:szCs w:val="28"/>
        </w:rPr>
        <w:t>2019.</w:t>
      </w:r>
      <w:r w:rsidR="009B2083" w:rsidRPr="00E54845">
        <w:rPr>
          <w:rFonts w:ascii="Times New Roman" w:hAnsi="Times New Roman" w:cs="Times New Roman"/>
          <w:sz w:val="28"/>
          <w:szCs w:val="28"/>
        </w:rPr>
        <w:t xml:space="preserve"> </w:t>
      </w:r>
      <w:r w:rsidRPr="00E54845">
        <w:rPr>
          <w:rFonts w:ascii="Times New Roman" w:hAnsi="Times New Roman" w:cs="Times New Roman"/>
          <w:sz w:val="28"/>
          <w:szCs w:val="28"/>
        </w:rPr>
        <w:t>Closing the gap: Ensuring there are enough qualified and supported teachers in sub-Saharan Africa. International Task Force on Teachers for Education 2030.</w:t>
      </w:r>
    </w:p>
    <w:p w:rsidR="009B2083" w:rsidRPr="00E54845" w:rsidRDefault="009B2083" w:rsidP="00646CA0">
      <w:pPr>
        <w:jc w:val="both"/>
        <w:rPr>
          <w:rFonts w:ascii="Times New Roman" w:hAnsi="Times New Roman" w:cs="Times New Roman"/>
          <w:sz w:val="28"/>
          <w:szCs w:val="28"/>
        </w:rPr>
      </w:pPr>
      <w:r w:rsidRPr="00E54845">
        <w:rPr>
          <w:rFonts w:ascii="Times New Roman" w:hAnsi="Times New Roman" w:cs="Times New Roman"/>
          <w:sz w:val="28"/>
          <w:szCs w:val="28"/>
        </w:rPr>
        <w:t>UNESCO. 2010 Teacher attrition in sub-Saharan Africa: The neglected dimension of the teacher supply challenge.  International Task Force on Teachers for Education 2030.</w:t>
      </w:r>
    </w:p>
    <w:p w:rsidR="009B2083" w:rsidRPr="00E54845" w:rsidRDefault="006E5A9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UNESCO. 2006. Teachers and educational quality: Monitoring needs for 2015. Montreal: </w:t>
      </w:r>
      <w:r w:rsidR="00574AB6" w:rsidRPr="00E54845">
        <w:rPr>
          <w:rFonts w:ascii="Times New Roman" w:hAnsi="Times New Roman" w:cs="Times New Roman"/>
          <w:sz w:val="28"/>
          <w:szCs w:val="28"/>
        </w:rPr>
        <w:t>UNESCO</w:t>
      </w:r>
      <w:r w:rsidRPr="00E54845">
        <w:rPr>
          <w:rFonts w:ascii="Times New Roman" w:hAnsi="Times New Roman" w:cs="Times New Roman"/>
          <w:sz w:val="28"/>
          <w:szCs w:val="28"/>
        </w:rPr>
        <w:t xml:space="preserve"> Institute of Statistics.</w:t>
      </w:r>
    </w:p>
    <w:p w:rsidR="009B2083" w:rsidRPr="00E54845" w:rsidRDefault="00B8563F"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Xaba, M.I. 2003.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Managing teacher turnover.</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South African Journal of Education, 23, 4, 287-291.</w:t>
      </w:r>
    </w:p>
    <w:p w:rsidR="002C7659" w:rsidRPr="00E54845" w:rsidRDefault="002C7659" w:rsidP="00646CA0">
      <w:pPr>
        <w:jc w:val="both"/>
        <w:rPr>
          <w:rFonts w:ascii="Times New Roman" w:hAnsi="Times New Roman" w:cs="Times New Roman"/>
          <w:sz w:val="28"/>
          <w:szCs w:val="28"/>
        </w:rPr>
      </w:pPr>
      <w:r w:rsidRPr="00E54845">
        <w:rPr>
          <w:rFonts w:ascii="Times New Roman" w:hAnsi="Times New Roman" w:cs="Times New Roman"/>
          <w:sz w:val="28"/>
          <w:szCs w:val="28"/>
        </w:rPr>
        <w:t xml:space="preserve">Zeitlin, A. 2020. </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Teacher turnover in Rwanda.</w:t>
      </w:r>
      <w:r w:rsidR="00574AB6" w:rsidRPr="00E54845">
        <w:rPr>
          <w:rFonts w:ascii="Times New Roman" w:hAnsi="Times New Roman" w:cs="Times New Roman"/>
          <w:sz w:val="28"/>
          <w:szCs w:val="28"/>
        </w:rPr>
        <w:t>’</w:t>
      </w:r>
      <w:r w:rsidRPr="00E54845">
        <w:rPr>
          <w:rFonts w:ascii="Times New Roman" w:hAnsi="Times New Roman" w:cs="Times New Roman"/>
          <w:sz w:val="28"/>
          <w:szCs w:val="28"/>
        </w:rPr>
        <w:t xml:space="preserve"> </w:t>
      </w:r>
      <w:r w:rsidR="00574AB6" w:rsidRPr="00E54845">
        <w:rPr>
          <w:rFonts w:ascii="Times New Roman" w:hAnsi="Times New Roman" w:cs="Times New Roman"/>
          <w:sz w:val="28"/>
          <w:szCs w:val="28"/>
        </w:rPr>
        <w:t>Mimeo online.</w:t>
      </w:r>
    </w:p>
    <w:p w:rsidR="009C01AD" w:rsidRPr="00E54845" w:rsidRDefault="009C01AD" w:rsidP="00646CA0">
      <w:pPr>
        <w:jc w:val="both"/>
        <w:rPr>
          <w:rFonts w:ascii="Times New Roman" w:hAnsi="Times New Roman" w:cs="Times New Roman"/>
          <w:sz w:val="28"/>
          <w:szCs w:val="28"/>
        </w:rPr>
      </w:pPr>
      <w:r w:rsidRPr="00E54845">
        <w:rPr>
          <w:rFonts w:ascii="Times New Roman" w:hAnsi="Times New Roman" w:cs="Times New Roman"/>
          <w:sz w:val="28"/>
          <w:szCs w:val="28"/>
        </w:rPr>
        <w:br w:type="page"/>
      </w:r>
    </w:p>
    <w:p w:rsidR="007D573E" w:rsidRPr="00E54845" w:rsidRDefault="007D573E" w:rsidP="00646CA0">
      <w:pPr>
        <w:jc w:val="both"/>
        <w:rPr>
          <w:rFonts w:ascii="Times New Roman" w:hAnsi="Times New Roman" w:cs="Times New Roman"/>
          <w:sz w:val="28"/>
          <w:szCs w:val="28"/>
        </w:rPr>
      </w:pPr>
    </w:p>
    <w:sectPr w:rsidR="007D573E" w:rsidRPr="00E5484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4D" w:rsidRDefault="000A604D" w:rsidP="00366884">
      <w:pPr>
        <w:spacing w:after="0" w:line="240" w:lineRule="auto"/>
      </w:pPr>
      <w:r>
        <w:separator/>
      </w:r>
    </w:p>
  </w:endnote>
  <w:endnote w:type="continuationSeparator" w:id="0">
    <w:p w:rsidR="000A604D" w:rsidRDefault="000A604D" w:rsidP="0036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80265"/>
      <w:docPartObj>
        <w:docPartGallery w:val="Page Numbers (Bottom of Page)"/>
        <w:docPartUnique/>
      </w:docPartObj>
    </w:sdtPr>
    <w:sdtEndPr>
      <w:rPr>
        <w:noProof/>
      </w:rPr>
    </w:sdtEndPr>
    <w:sdtContent>
      <w:p w:rsidR="00676CB3" w:rsidRDefault="00676CB3">
        <w:pPr>
          <w:pStyle w:val="Footer"/>
          <w:jc w:val="center"/>
        </w:pPr>
        <w:r>
          <w:fldChar w:fldCharType="begin"/>
        </w:r>
        <w:r>
          <w:instrText xml:space="preserve"> PAGE   \* MERGEFORMAT </w:instrText>
        </w:r>
        <w:r>
          <w:fldChar w:fldCharType="separate"/>
        </w:r>
        <w:r w:rsidR="00E17731">
          <w:rPr>
            <w:noProof/>
          </w:rPr>
          <w:t>1</w:t>
        </w:r>
        <w:r>
          <w:rPr>
            <w:noProof/>
          </w:rPr>
          <w:fldChar w:fldCharType="end"/>
        </w:r>
      </w:p>
    </w:sdtContent>
  </w:sdt>
  <w:p w:rsidR="00676CB3" w:rsidRDefault="0067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4D" w:rsidRDefault="000A604D" w:rsidP="00366884">
      <w:pPr>
        <w:spacing w:after="0" w:line="240" w:lineRule="auto"/>
      </w:pPr>
      <w:r>
        <w:separator/>
      </w:r>
    </w:p>
  </w:footnote>
  <w:footnote w:type="continuationSeparator" w:id="0">
    <w:p w:rsidR="000A604D" w:rsidRDefault="000A604D" w:rsidP="00366884">
      <w:pPr>
        <w:spacing w:after="0" w:line="240" w:lineRule="auto"/>
      </w:pPr>
      <w:r>
        <w:continuationSeparator/>
      </w:r>
    </w:p>
  </w:footnote>
  <w:footnote w:id="1">
    <w:p w:rsidR="00A156A5" w:rsidRPr="00366884" w:rsidRDefault="00A156A5">
      <w:pPr>
        <w:pStyle w:val="FootnoteText"/>
        <w:rPr>
          <w:rFonts w:ascii="Times New Roman" w:hAnsi="Times New Roman" w:cs="Times New Roman"/>
        </w:rPr>
      </w:pPr>
      <w:r w:rsidRPr="00366884">
        <w:rPr>
          <w:rStyle w:val="FootnoteReference"/>
          <w:rFonts w:ascii="Times New Roman" w:hAnsi="Times New Roman" w:cs="Times New Roman"/>
        </w:rPr>
        <w:footnoteRef/>
      </w:r>
      <w:r w:rsidRPr="00366884">
        <w:rPr>
          <w:rFonts w:ascii="Times New Roman" w:hAnsi="Times New Roman" w:cs="Times New Roman"/>
        </w:rPr>
        <w:t xml:space="preserve"> Eritrea, Gambia, Lesotho, Liberia, Malawi, Namibia and Zambia. Tanzania </w:t>
      </w:r>
      <w:r>
        <w:rPr>
          <w:rFonts w:ascii="Times New Roman" w:hAnsi="Times New Roman" w:cs="Times New Roman"/>
        </w:rPr>
        <w:t>and Uganda are</w:t>
      </w:r>
      <w:r w:rsidRPr="00366884">
        <w:rPr>
          <w:rFonts w:ascii="Times New Roman" w:hAnsi="Times New Roman" w:cs="Times New Roman"/>
        </w:rPr>
        <w:t xml:space="preserve"> the only </w:t>
      </w:r>
      <w:r>
        <w:rPr>
          <w:rFonts w:ascii="Times New Roman" w:hAnsi="Times New Roman" w:cs="Times New Roman"/>
        </w:rPr>
        <w:t>countries</w:t>
      </w:r>
      <w:r w:rsidRPr="00366884">
        <w:rPr>
          <w:rFonts w:ascii="Times New Roman" w:hAnsi="Times New Roman" w:cs="Times New Roman"/>
        </w:rPr>
        <w:t xml:space="preserve"> with population</w:t>
      </w:r>
      <w:r>
        <w:rPr>
          <w:rFonts w:ascii="Times New Roman" w:hAnsi="Times New Roman" w:cs="Times New Roman"/>
        </w:rPr>
        <w:t>s</w:t>
      </w:r>
      <w:r w:rsidRPr="00366884">
        <w:rPr>
          <w:rFonts w:ascii="Times New Roman" w:hAnsi="Times New Roman" w:cs="Times New Roman"/>
        </w:rPr>
        <w:t xml:space="preserve"> </w:t>
      </w:r>
      <w:r>
        <w:rPr>
          <w:rFonts w:ascii="Times New Roman" w:hAnsi="Times New Roman" w:cs="Times New Roman"/>
        </w:rPr>
        <w:t>of more than 15</w:t>
      </w:r>
      <w:r w:rsidRPr="00366884">
        <w:rPr>
          <w:rFonts w:ascii="Times New Roman" w:hAnsi="Times New Roman" w:cs="Times New Roman"/>
        </w:rPr>
        <w:t xml:space="preserve"> million.  </w:t>
      </w:r>
    </w:p>
  </w:footnote>
  <w:footnote w:id="2">
    <w:p w:rsidR="00A156A5" w:rsidRPr="004E7552" w:rsidRDefault="00A156A5">
      <w:pPr>
        <w:pStyle w:val="FootnoteText"/>
        <w:rPr>
          <w:rFonts w:ascii="Times New Roman" w:hAnsi="Times New Roman" w:cs="Times New Roman"/>
        </w:rPr>
      </w:pPr>
      <w:r w:rsidRPr="004E7552">
        <w:rPr>
          <w:rStyle w:val="FootnoteReference"/>
          <w:rFonts w:ascii="Times New Roman" w:hAnsi="Times New Roman" w:cs="Times New Roman"/>
        </w:rPr>
        <w:footnoteRef/>
      </w:r>
      <w:r w:rsidRPr="004E7552">
        <w:rPr>
          <w:rFonts w:ascii="Times New Roman" w:hAnsi="Times New Roman" w:cs="Times New Roman"/>
        </w:rPr>
        <w:t xml:space="preserve"> The exceptions are Malawi, Tanzania, and Sierra Leone.  </w:t>
      </w:r>
    </w:p>
  </w:footnote>
  <w:footnote w:id="3">
    <w:p w:rsidR="00A156A5" w:rsidRPr="004E7552" w:rsidRDefault="00A156A5">
      <w:pPr>
        <w:pStyle w:val="FootnoteText"/>
        <w:rPr>
          <w:rFonts w:ascii="Times New Roman" w:hAnsi="Times New Roman" w:cs="Times New Roman"/>
        </w:rPr>
      </w:pPr>
      <w:r w:rsidRPr="004E7552">
        <w:rPr>
          <w:rStyle w:val="FootnoteReference"/>
          <w:rFonts w:ascii="Times New Roman" w:hAnsi="Times New Roman" w:cs="Times New Roman"/>
        </w:rPr>
        <w:footnoteRef/>
      </w:r>
      <w:r w:rsidRPr="004E7552">
        <w:rPr>
          <w:rFonts w:ascii="Times New Roman" w:hAnsi="Times New Roman" w:cs="Times New Roman"/>
        </w:rPr>
        <w:t xml:space="preserve"> The lower quartile value is 2.4 (Cameroon) and the upper quartile value is 5.0 (South Africa)</w:t>
      </w:r>
      <w:r w:rsidR="004E7552">
        <w:rPr>
          <w:rFonts w:ascii="Times New Roman" w:hAnsi="Times New Roman" w:cs="Times New Roman"/>
        </w:rPr>
        <w:t>.</w:t>
      </w:r>
    </w:p>
  </w:footnote>
  <w:footnote w:id="4">
    <w:p w:rsidR="00A156A5" w:rsidRPr="004E7552" w:rsidRDefault="00A156A5" w:rsidP="004E7552">
      <w:pPr>
        <w:pStyle w:val="FootnoteText"/>
        <w:jc w:val="both"/>
      </w:pPr>
      <w:r>
        <w:rPr>
          <w:rStyle w:val="FootnoteReference"/>
        </w:rPr>
        <w:footnoteRef/>
      </w:r>
      <w:r>
        <w:t xml:space="preserve"> </w:t>
      </w:r>
      <w:r w:rsidRPr="004E7552">
        <w:rPr>
          <w:rFonts w:ascii="Times New Roman" w:hAnsi="Times New Roman" w:cs="Times New Roman"/>
        </w:rPr>
        <w:t>The two countries with much higher resignation rates, Namibia are South Africa, have sizeable proportions of temporary teachers which my well result in over-inflated estimates.</w:t>
      </w:r>
    </w:p>
  </w:footnote>
  <w:footnote w:id="5">
    <w:p w:rsidR="0019460C" w:rsidRPr="004E7552" w:rsidRDefault="0019460C" w:rsidP="004E7552">
      <w:pPr>
        <w:pStyle w:val="FootnoteText"/>
        <w:jc w:val="both"/>
        <w:rPr>
          <w:rFonts w:ascii="Times New Roman" w:hAnsi="Times New Roman" w:cs="Times New Roman"/>
          <w:sz w:val="22"/>
          <w:szCs w:val="22"/>
        </w:rPr>
      </w:pPr>
      <w:r w:rsidRPr="004E7552">
        <w:rPr>
          <w:rStyle w:val="FootnoteReference"/>
          <w:rFonts w:ascii="Times New Roman" w:hAnsi="Times New Roman" w:cs="Times New Roman"/>
        </w:rPr>
        <w:footnoteRef/>
      </w:r>
      <w:r w:rsidRPr="004E7552">
        <w:rPr>
          <w:rFonts w:ascii="Times New Roman" w:hAnsi="Times New Roman" w:cs="Times New Roman"/>
        </w:rPr>
        <w:t xml:space="preserve"> The R-squared coefficient is 0.46</w:t>
      </w:r>
    </w:p>
  </w:footnote>
  <w:footnote w:id="6">
    <w:p w:rsidR="00A156A5" w:rsidRPr="00307FAE" w:rsidRDefault="00A156A5" w:rsidP="00307FAE">
      <w:pPr>
        <w:pStyle w:val="FootnoteText"/>
        <w:jc w:val="both"/>
        <w:rPr>
          <w:rFonts w:ascii="Times New Roman" w:hAnsi="Times New Roman" w:cs="Times New Roman"/>
        </w:rPr>
      </w:pPr>
      <w:r w:rsidRPr="00661961">
        <w:rPr>
          <w:rStyle w:val="FootnoteReference"/>
          <w:rFonts w:ascii="Times New Roman" w:hAnsi="Times New Roman" w:cs="Times New Roman"/>
          <w:sz w:val="22"/>
          <w:szCs w:val="22"/>
        </w:rPr>
        <w:footnoteRef/>
      </w:r>
      <w:r w:rsidRPr="00661961">
        <w:rPr>
          <w:rFonts w:ascii="Times New Roman" w:hAnsi="Times New Roman" w:cs="Times New Roman"/>
          <w:sz w:val="22"/>
          <w:szCs w:val="22"/>
        </w:rPr>
        <w:t xml:space="preserve"> </w:t>
      </w:r>
      <w:r w:rsidRPr="00307FAE">
        <w:rPr>
          <w:rFonts w:ascii="Times New Roman" w:hAnsi="Times New Roman" w:cs="Times New Roman"/>
        </w:rPr>
        <w:t>TAR estimates for other OECD countries are not available with the exception of three countries in South America (Brazil 9.0%, Chile 8.2% and Colombia 1.5%).</w:t>
      </w:r>
    </w:p>
  </w:footnote>
  <w:footnote w:id="7">
    <w:p w:rsidR="00A156A5" w:rsidRPr="00574AB6" w:rsidRDefault="00A156A5" w:rsidP="00574AB6">
      <w:pPr>
        <w:pStyle w:val="FootnoteText"/>
        <w:jc w:val="both"/>
        <w:rPr>
          <w:rFonts w:ascii="Times New Roman" w:hAnsi="Times New Roman" w:cs="Times New Roman"/>
        </w:rPr>
      </w:pPr>
      <w:r w:rsidRPr="00574AB6">
        <w:rPr>
          <w:rStyle w:val="FootnoteReference"/>
          <w:rFonts w:ascii="Times New Roman" w:hAnsi="Times New Roman" w:cs="Times New Roman"/>
        </w:rPr>
        <w:footnoteRef/>
      </w:r>
      <w:r w:rsidRPr="00574AB6">
        <w:rPr>
          <w:rFonts w:ascii="Times New Roman" w:hAnsi="Times New Roman" w:cs="Times New Roman"/>
        </w:rPr>
        <w:t xml:space="preserve"> Decentralisation with localised </w:t>
      </w:r>
      <w:r w:rsidR="00574AB6" w:rsidRPr="00574AB6">
        <w:rPr>
          <w:rFonts w:ascii="Times New Roman" w:hAnsi="Times New Roman" w:cs="Times New Roman"/>
        </w:rPr>
        <w:t xml:space="preserve">teacher </w:t>
      </w:r>
      <w:r w:rsidRPr="00574AB6">
        <w:rPr>
          <w:rFonts w:ascii="Times New Roman" w:hAnsi="Times New Roman" w:cs="Times New Roman"/>
        </w:rPr>
        <w:t xml:space="preserve">recruitment </w:t>
      </w:r>
      <w:r w:rsidR="00574AB6" w:rsidRPr="00574AB6">
        <w:rPr>
          <w:rFonts w:ascii="Times New Roman" w:hAnsi="Times New Roman" w:cs="Times New Roman"/>
        </w:rPr>
        <w:t xml:space="preserve">has </w:t>
      </w:r>
      <w:r w:rsidRPr="00574AB6">
        <w:rPr>
          <w:rFonts w:ascii="Times New Roman" w:hAnsi="Times New Roman" w:cs="Times New Roman"/>
        </w:rPr>
        <w:t>significantly</w:t>
      </w:r>
      <w:r w:rsidR="00574AB6" w:rsidRPr="00574AB6">
        <w:rPr>
          <w:rFonts w:ascii="Times New Roman" w:hAnsi="Times New Roman" w:cs="Times New Roman"/>
        </w:rPr>
        <w:t xml:space="preserve"> reduced</w:t>
      </w:r>
      <w:r w:rsidRPr="00574AB6">
        <w:rPr>
          <w:rFonts w:ascii="Times New Roman" w:hAnsi="Times New Roman" w:cs="Times New Roman"/>
        </w:rPr>
        <w:t xml:space="preserve"> the level of teacher transfers both within and between districts.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3E"/>
    <w:rsid w:val="00010B8B"/>
    <w:rsid w:val="00011EE8"/>
    <w:rsid w:val="00021FE1"/>
    <w:rsid w:val="00024D79"/>
    <w:rsid w:val="000311E8"/>
    <w:rsid w:val="000368D9"/>
    <w:rsid w:val="00067259"/>
    <w:rsid w:val="000A23E8"/>
    <w:rsid w:val="000A604D"/>
    <w:rsid w:val="000E1F78"/>
    <w:rsid w:val="000E5481"/>
    <w:rsid w:val="001013A2"/>
    <w:rsid w:val="00111DF8"/>
    <w:rsid w:val="001137F6"/>
    <w:rsid w:val="001252A1"/>
    <w:rsid w:val="00135222"/>
    <w:rsid w:val="001403AA"/>
    <w:rsid w:val="001406DC"/>
    <w:rsid w:val="00143DC7"/>
    <w:rsid w:val="00145BBC"/>
    <w:rsid w:val="00153395"/>
    <w:rsid w:val="00164BC8"/>
    <w:rsid w:val="00170EC7"/>
    <w:rsid w:val="0019460C"/>
    <w:rsid w:val="001B25D1"/>
    <w:rsid w:val="001E4773"/>
    <w:rsid w:val="001F182A"/>
    <w:rsid w:val="002156DB"/>
    <w:rsid w:val="002266DE"/>
    <w:rsid w:val="00232629"/>
    <w:rsid w:val="00232E68"/>
    <w:rsid w:val="00251FC1"/>
    <w:rsid w:val="00270904"/>
    <w:rsid w:val="00270C41"/>
    <w:rsid w:val="002728D1"/>
    <w:rsid w:val="002B1F07"/>
    <w:rsid w:val="002C7659"/>
    <w:rsid w:val="002E04E6"/>
    <w:rsid w:val="002E51A6"/>
    <w:rsid w:val="002F3785"/>
    <w:rsid w:val="002F7186"/>
    <w:rsid w:val="003027B3"/>
    <w:rsid w:val="003055CE"/>
    <w:rsid w:val="00305AFC"/>
    <w:rsid w:val="00305B7E"/>
    <w:rsid w:val="00307FAE"/>
    <w:rsid w:val="00315BEB"/>
    <w:rsid w:val="00326265"/>
    <w:rsid w:val="00335859"/>
    <w:rsid w:val="003424BE"/>
    <w:rsid w:val="003658AC"/>
    <w:rsid w:val="00366884"/>
    <w:rsid w:val="00374AAA"/>
    <w:rsid w:val="0038141E"/>
    <w:rsid w:val="003851C0"/>
    <w:rsid w:val="00386B43"/>
    <w:rsid w:val="003B6E39"/>
    <w:rsid w:val="003D1D42"/>
    <w:rsid w:val="003E0094"/>
    <w:rsid w:val="003F6D25"/>
    <w:rsid w:val="00407216"/>
    <w:rsid w:val="00413F33"/>
    <w:rsid w:val="00417CD5"/>
    <w:rsid w:val="00425C7C"/>
    <w:rsid w:val="00436E87"/>
    <w:rsid w:val="00441E30"/>
    <w:rsid w:val="0044267E"/>
    <w:rsid w:val="00462487"/>
    <w:rsid w:val="0048433A"/>
    <w:rsid w:val="0048748C"/>
    <w:rsid w:val="00495D0B"/>
    <w:rsid w:val="004A55A4"/>
    <w:rsid w:val="004E3B46"/>
    <w:rsid w:val="004E74A3"/>
    <w:rsid w:val="004E7552"/>
    <w:rsid w:val="004E7D7C"/>
    <w:rsid w:val="004F340C"/>
    <w:rsid w:val="005123E3"/>
    <w:rsid w:val="00515CCE"/>
    <w:rsid w:val="00520809"/>
    <w:rsid w:val="0052270B"/>
    <w:rsid w:val="005421A1"/>
    <w:rsid w:val="005458C0"/>
    <w:rsid w:val="00545A40"/>
    <w:rsid w:val="005545FD"/>
    <w:rsid w:val="005669A2"/>
    <w:rsid w:val="00574AB6"/>
    <w:rsid w:val="00590F4C"/>
    <w:rsid w:val="005A198E"/>
    <w:rsid w:val="005B5325"/>
    <w:rsid w:val="005C1A87"/>
    <w:rsid w:val="005D3D34"/>
    <w:rsid w:val="005E17EE"/>
    <w:rsid w:val="005F1255"/>
    <w:rsid w:val="005F5CAB"/>
    <w:rsid w:val="0062674E"/>
    <w:rsid w:val="006465E3"/>
    <w:rsid w:val="00646CA0"/>
    <w:rsid w:val="00652284"/>
    <w:rsid w:val="00652BB3"/>
    <w:rsid w:val="00661961"/>
    <w:rsid w:val="006667C6"/>
    <w:rsid w:val="00676CB3"/>
    <w:rsid w:val="0067773C"/>
    <w:rsid w:val="006903CD"/>
    <w:rsid w:val="006933B8"/>
    <w:rsid w:val="006A2B67"/>
    <w:rsid w:val="006B0CC7"/>
    <w:rsid w:val="006B1CF9"/>
    <w:rsid w:val="006C5DAA"/>
    <w:rsid w:val="006D621D"/>
    <w:rsid w:val="006E2B9A"/>
    <w:rsid w:val="006E5A9F"/>
    <w:rsid w:val="007037E9"/>
    <w:rsid w:val="00706E98"/>
    <w:rsid w:val="007076FA"/>
    <w:rsid w:val="0070771F"/>
    <w:rsid w:val="007307D0"/>
    <w:rsid w:val="00731EC2"/>
    <w:rsid w:val="00735117"/>
    <w:rsid w:val="007425B2"/>
    <w:rsid w:val="00756968"/>
    <w:rsid w:val="00766065"/>
    <w:rsid w:val="00776D8B"/>
    <w:rsid w:val="007A41B7"/>
    <w:rsid w:val="007B243A"/>
    <w:rsid w:val="007B4272"/>
    <w:rsid w:val="007C2E3B"/>
    <w:rsid w:val="007D573E"/>
    <w:rsid w:val="007E4360"/>
    <w:rsid w:val="0081140A"/>
    <w:rsid w:val="00822460"/>
    <w:rsid w:val="008421A3"/>
    <w:rsid w:val="008569B2"/>
    <w:rsid w:val="0086329E"/>
    <w:rsid w:val="00883BAC"/>
    <w:rsid w:val="008A1369"/>
    <w:rsid w:val="008B2A62"/>
    <w:rsid w:val="008B2D4F"/>
    <w:rsid w:val="008B5B44"/>
    <w:rsid w:val="008E028E"/>
    <w:rsid w:val="008E5E0B"/>
    <w:rsid w:val="00924834"/>
    <w:rsid w:val="00927DBE"/>
    <w:rsid w:val="00956D37"/>
    <w:rsid w:val="00974836"/>
    <w:rsid w:val="00983679"/>
    <w:rsid w:val="009B2083"/>
    <w:rsid w:val="009B7119"/>
    <w:rsid w:val="009B7F52"/>
    <w:rsid w:val="009C01AD"/>
    <w:rsid w:val="009D6D99"/>
    <w:rsid w:val="009D7743"/>
    <w:rsid w:val="00A124B4"/>
    <w:rsid w:val="00A156A5"/>
    <w:rsid w:val="00A2051C"/>
    <w:rsid w:val="00A77057"/>
    <w:rsid w:val="00AA3D26"/>
    <w:rsid w:val="00AB23D4"/>
    <w:rsid w:val="00AC26FF"/>
    <w:rsid w:val="00AC3050"/>
    <w:rsid w:val="00AD6B66"/>
    <w:rsid w:val="00AE71B3"/>
    <w:rsid w:val="00B231C8"/>
    <w:rsid w:val="00B428AF"/>
    <w:rsid w:val="00B506E7"/>
    <w:rsid w:val="00B61E37"/>
    <w:rsid w:val="00B8563F"/>
    <w:rsid w:val="00BA48C5"/>
    <w:rsid w:val="00BB1E89"/>
    <w:rsid w:val="00BC377C"/>
    <w:rsid w:val="00BD1C9A"/>
    <w:rsid w:val="00BD622A"/>
    <w:rsid w:val="00C3375A"/>
    <w:rsid w:val="00C534F5"/>
    <w:rsid w:val="00C83C36"/>
    <w:rsid w:val="00CB06E5"/>
    <w:rsid w:val="00CC6072"/>
    <w:rsid w:val="00D147D6"/>
    <w:rsid w:val="00D274B8"/>
    <w:rsid w:val="00D32D43"/>
    <w:rsid w:val="00D6570F"/>
    <w:rsid w:val="00D6608B"/>
    <w:rsid w:val="00D76810"/>
    <w:rsid w:val="00D91144"/>
    <w:rsid w:val="00D91893"/>
    <w:rsid w:val="00D9302D"/>
    <w:rsid w:val="00D95350"/>
    <w:rsid w:val="00D9614A"/>
    <w:rsid w:val="00DA212C"/>
    <w:rsid w:val="00DA767D"/>
    <w:rsid w:val="00DA7D8B"/>
    <w:rsid w:val="00DB5F1F"/>
    <w:rsid w:val="00DD5F9E"/>
    <w:rsid w:val="00DE1497"/>
    <w:rsid w:val="00E05E46"/>
    <w:rsid w:val="00E17731"/>
    <w:rsid w:val="00E311BC"/>
    <w:rsid w:val="00E54845"/>
    <w:rsid w:val="00E66986"/>
    <w:rsid w:val="00E71029"/>
    <w:rsid w:val="00E95E3B"/>
    <w:rsid w:val="00EA75D2"/>
    <w:rsid w:val="00EC2F41"/>
    <w:rsid w:val="00EC4D45"/>
    <w:rsid w:val="00EC5EF3"/>
    <w:rsid w:val="00EE1C88"/>
    <w:rsid w:val="00EE68C2"/>
    <w:rsid w:val="00F00512"/>
    <w:rsid w:val="00F07EC1"/>
    <w:rsid w:val="00F50E21"/>
    <w:rsid w:val="00F52145"/>
    <w:rsid w:val="00F535F9"/>
    <w:rsid w:val="00FB0DDD"/>
    <w:rsid w:val="00FC0083"/>
    <w:rsid w:val="00FC5568"/>
    <w:rsid w:val="00FD0696"/>
    <w:rsid w:val="00FE0E22"/>
    <w:rsid w:val="00FF02FB"/>
    <w:rsid w:val="00FF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D0185-9E84-42A8-90FF-D4CB70C0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6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884"/>
    <w:rPr>
      <w:sz w:val="20"/>
      <w:szCs w:val="20"/>
    </w:rPr>
  </w:style>
  <w:style w:type="character" w:styleId="FootnoteReference">
    <w:name w:val="footnote reference"/>
    <w:basedOn w:val="DefaultParagraphFont"/>
    <w:uiPriority w:val="99"/>
    <w:semiHidden/>
    <w:unhideWhenUsed/>
    <w:rsid w:val="00366884"/>
    <w:rPr>
      <w:vertAlign w:val="superscript"/>
    </w:rPr>
  </w:style>
  <w:style w:type="paragraph" w:styleId="BalloonText">
    <w:name w:val="Balloon Text"/>
    <w:basedOn w:val="Normal"/>
    <w:link w:val="BalloonTextChar"/>
    <w:uiPriority w:val="99"/>
    <w:semiHidden/>
    <w:unhideWhenUsed/>
    <w:rsid w:val="00F0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C1"/>
    <w:rPr>
      <w:rFonts w:ascii="Segoe UI" w:hAnsi="Segoe UI" w:cs="Segoe UI"/>
      <w:sz w:val="18"/>
      <w:szCs w:val="18"/>
    </w:rPr>
  </w:style>
  <w:style w:type="paragraph" w:styleId="Header">
    <w:name w:val="header"/>
    <w:basedOn w:val="Normal"/>
    <w:link w:val="HeaderChar"/>
    <w:uiPriority w:val="99"/>
    <w:unhideWhenUsed/>
    <w:rsid w:val="00302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B3"/>
  </w:style>
  <w:style w:type="paragraph" w:styleId="Footer">
    <w:name w:val="footer"/>
    <w:basedOn w:val="Normal"/>
    <w:link w:val="FooterChar"/>
    <w:uiPriority w:val="99"/>
    <w:unhideWhenUsed/>
    <w:rsid w:val="00302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730">
      <w:bodyDiv w:val="1"/>
      <w:marLeft w:val="0"/>
      <w:marRight w:val="0"/>
      <w:marTop w:val="0"/>
      <w:marBottom w:val="0"/>
      <w:divBdr>
        <w:top w:val="none" w:sz="0" w:space="0" w:color="auto"/>
        <w:left w:val="none" w:sz="0" w:space="0" w:color="auto"/>
        <w:bottom w:val="none" w:sz="0" w:space="0" w:color="auto"/>
        <w:right w:val="none" w:sz="0" w:space="0" w:color="auto"/>
      </w:divBdr>
    </w:div>
    <w:div w:id="239218106">
      <w:bodyDiv w:val="1"/>
      <w:marLeft w:val="0"/>
      <w:marRight w:val="0"/>
      <w:marTop w:val="0"/>
      <w:marBottom w:val="0"/>
      <w:divBdr>
        <w:top w:val="none" w:sz="0" w:space="0" w:color="auto"/>
        <w:left w:val="none" w:sz="0" w:space="0" w:color="auto"/>
        <w:bottom w:val="none" w:sz="0" w:space="0" w:color="auto"/>
        <w:right w:val="none" w:sz="0" w:space="0" w:color="auto"/>
      </w:divBdr>
    </w:div>
    <w:div w:id="4193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ul\Documents\AttritionpaperApril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Figure 1: Annual attrition rates among primary school teachers in SSA, mid-late 2010s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Sheet2!$A$1:$A$30</c:f>
              <c:strCache>
                <c:ptCount val="30"/>
                <c:pt idx="0">
                  <c:v>Botswana</c:v>
                </c:pt>
                <c:pt idx="1">
                  <c:v>Uganda</c:v>
                </c:pt>
                <c:pt idx="2">
                  <c:v>Nigeria Katsina</c:v>
                </c:pt>
                <c:pt idx="3">
                  <c:v>Ethiopia</c:v>
                </c:pt>
                <c:pt idx="4">
                  <c:v>Togo</c:v>
                </c:pt>
                <c:pt idx="5">
                  <c:v>Tanzania</c:v>
                </c:pt>
                <c:pt idx="6">
                  <c:v>Rwanda</c:v>
                </c:pt>
                <c:pt idx="7">
                  <c:v>Cameroon</c:v>
                </c:pt>
                <c:pt idx="8">
                  <c:v>Niger</c:v>
                </c:pt>
                <c:pt idx="9">
                  <c:v>Zambia</c:v>
                </c:pt>
                <c:pt idx="10">
                  <c:v>Mali</c:v>
                </c:pt>
                <c:pt idx="11">
                  <c:v>Malawi</c:v>
                </c:pt>
                <c:pt idx="12">
                  <c:v>Sierra Leone</c:v>
                </c:pt>
                <c:pt idx="13">
                  <c:v>Eritrea</c:v>
                </c:pt>
                <c:pt idx="14">
                  <c:v>Lesotho</c:v>
                </c:pt>
                <c:pt idx="15">
                  <c:v>Gambia</c:v>
                </c:pt>
                <c:pt idx="16">
                  <c:v>Swaziland</c:v>
                </c:pt>
                <c:pt idx="17">
                  <c:v>Burkina Faso</c:v>
                </c:pt>
                <c:pt idx="18">
                  <c:v>Ghana</c:v>
                </c:pt>
                <c:pt idx="19">
                  <c:v>Tchad</c:v>
                </c:pt>
                <c:pt idx="20">
                  <c:v>Senegal</c:v>
                </c:pt>
                <c:pt idx="21">
                  <c:v>Kenya</c:v>
                </c:pt>
                <c:pt idx="22">
                  <c:v>South Africa</c:v>
                </c:pt>
                <c:pt idx="23">
                  <c:v>Benin</c:v>
                </c:pt>
                <c:pt idx="24">
                  <c:v>Cote d'Ivoire</c:v>
                </c:pt>
                <c:pt idx="25">
                  <c:v>Liberia</c:v>
                </c:pt>
                <c:pt idx="26">
                  <c:v>Burundi</c:v>
                </c:pt>
                <c:pt idx="27">
                  <c:v>Namibia</c:v>
                </c:pt>
                <c:pt idx="28">
                  <c:v>Angola</c:v>
                </c:pt>
                <c:pt idx="29">
                  <c:v>Guinea</c:v>
                </c:pt>
              </c:strCache>
            </c:strRef>
          </c:cat>
          <c:val>
            <c:numRef>
              <c:f>Sheet2!$C$1:$C$30</c:f>
              <c:numCache>
                <c:formatCode>General</c:formatCode>
                <c:ptCount val="30"/>
                <c:pt idx="0">
                  <c:v>1.03</c:v>
                </c:pt>
                <c:pt idx="1">
                  <c:v>1.27</c:v>
                </c:pt>
                <c:pt idx="2">
                  <c:v>1.6</c:v>
                </c:pt>
                <c:pt idx="3">
                  <c:v>1.68</c:v>
                </c:pt>
                <c:pt idx="4">
                  <c:v>2.04</c:v>
                </c:pt>
                <c:pt idx="5">
                  <c:v>2.1</c:v>
                </c:pt>
                <c:pt idx="6">
                  <c:v>2.12</c:v>
                </c:pt>
                <c:pt idx="7">
                  <c:v>2.4</c:v>
                </c:pt>
                <c:pt idx="8">
                  <c:v>2.4500000000000002</c:v>
                </c:pt>
                <c:pt idx="9">
                  <c:v>2.5499999999999998</c:v>
                </c:pt>
                <c:pt idx="10">
                  <c:v>2.6</c:v>
                </c:pt>
                <c:pt idx="11">
                  <c:v>2.7</c:v>
                </c:pt>
                <c:pt idx="12">
                  <c:v>2.8</c:v>
                </c:pt>
                <c:pt idx="13">
                  <c:v>2.8</c:v>
                </c:pt>
                <c:pt idx="14">
                  <c:v>3</c:v>
                </c:pt>
                <c:pt idx="15">
                  <c:v>3</c:v>
                </c:pt>
                <c:pt idx="16">
                  <c:v>3.1</c:v>
                </c:pt>
                <c:pt idx="17">
                  <c:v>3.34</c:v>
                </c:pt>
                <c:pt idx="18">
                  <c:v>4</c:v>
                </c:pt>
                <c:pt idx="19">
                  <c:v>4</c:v>
                </c:pt>
                <c:pt idx="20">
                  <c:v>4.5999999999999996</c:v>
                </c:pt>
                <c:pt idx="21">
                  <c:v>5</c:v>
                </c:pt>
                <c:pt idx="22">
                  <c:v>5.5</c:v>
                </c:pt>
                <c:pt idx="23">
                  <c:v>6</c:v>
                </c:pt>
                <c:pt idx="24">
                  <c:v>6.47</c:v>
                </c:pt>
                <c:pt idx="25">
                  <c:v>6.5</c:v>
                </c:pt>
                <c:pt idx="26">
                  <c:v>11.4</c:v>
                </c:pt>
                <c:pt idx="27">
                  <c:v>11.8</c:v>
                </c:pt>
                <c:pt idx="28">
                  <c:v>14.7</c:v>
                </c:pt>
                <c:pt idx="29">
                  <c:v>21.6</c:v>
                </c:pt>
              </c:numCache>
            </c:numRef>
          </c:val>
        </c:ser>
        <c:dLbls>
          <c:showLegendKey val="0"/>
          <c:showVal val="0"/>
          <c:showCatName val="0"/>
          <c:showSerName val="0"/>
          <c:showPercent val="0"/>
          <c:showBubbleSize val="0"/>
        </c:dLbls>
        <c:gapWidth val="219"/>
        <c:overlap val="-27"/>
        <c:axId val="-1498747504"/>
        <c:axId val="-1498750768"/>
      </c:barChart>
      <c:catAx>
        <c:axId val="-149874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0768"/>
        <c:crosses val="autoZero"/>
        <c:auto val="1"/>
        <c:lblAlgn val="ctr"/>
        <c:lblOffset val="100"/>
        <c:noMultiLvlLbl val="0"/>
      </c:catAx>
      <c:valAx>
        <c:axId val="-149875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4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Figure 2 : Attrition rates among secondary school teachers in SSA, mid-late 2010s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data!$A$5:$A$18</c:f>
              <c:strCache>
                <c:ptCount val="14"/>
                <c:pt idx="0">
                  <c:v>Gambia</c:v>
                </c:pt>
                <c:pt idx="1">
                  <c:v>Ethiopia</c:v>
                </c:pt>
                <c:pt idx="2">
                  <c:v>Tanzania</c:v>
                </c:pt>
                <c:pt idx="3">
                  <c:v>Eritrea</c:v>
                </c:pt>
                <c:pt idx="4">
                  <c:v>Uganda</c:v>
                </c:pt>
                <c:pt idx="5">
                  <c:v>Mali</c:v>
                </c:pt>
                <c:pt idx="6">
                  <c:v>Malawi</c:v>
                </c:pt>
                <c:pt idx="7">
                  <c:v>Zambia</c:v>
                </c:pt>
                <c:pt idx="8">
                  <c:v>Burkina Faso</c:v>
                </c:pt>
                <c:pt idx="9">
                  <c:v>Togo</c:v>
                </c:pt>
                <c:pt idx="10">
                  <c:v>Niger</c:v>
                </c:pt>
                <c:pt idx="11">
                  <c:v>Rwanda</c:v>
                </c:pt>
                <c:pt idx="12">
                  <c:v>Guinea</c:v>
                </c:pt>
                <c:pt idx="13">
                  <c:v>Sierra Leone</c:v>
                </c:pt>
              </c:strCache>
            </c:strRef>
          </c:cat>
          <c:val>
            <c:numRef>
              <c:f>data!$B$5:$B$18</c:f>
              <c:numCache>
                <c:formatCode>General</c:formatCode>
                <c:ptCount val="14"/>
                <c:pt idx="0">
                  <c:v>0.28999999999999998</c:v>
                </c:pt>
                <c:pt idx="1">
                  <c:v>2.6</c:v>
                </c:pt>
                <c:pt idx="2">
                  <c:v>2.67</c:v>
                </c:pt>
                <c:pt idx="3">
                  <c:v>2.8</c:v>
                </c:pt>
                <c:pt idx="4">
                  <c:v>3.42</c:v>
                </c:pt>
                <c:pt idx="5">
                  <c:v>3.9</c:v>
                </c:pt>
                <c:pt idx="6">
                  <c:v>4.3899999999999997</c:v>
                </c:pt>
                <c:pt idx="7">
                  <c:v>5.0999999999999996</c:v>
                </c:pt>
                <c:pt idx="8">
                  <c:v>5.6</c:v>
                </c:pt>
                <c:pt idx="9">
                  <c:v>6.1</c:v>
                </c:pt>
                <c:pt idx="10">
                  <c:v>13.1</c:v>
                </c:pt>
                <c:pt idx="11">
                  <c:v>15.8</c:v>
                </c:pt>
                <c:pt idx="12">
                  <c:v>16.600000000000001</c:v>
                </c:pt>
                <c:pt idx="13">
                  <c:v>19.329999999999998</c:v>
                </c:pt>
              </c:numCache>
            </c:numRef>
          </c:val>
        </c:ser>
        <c:dLbls>
          <c:showLegendKey val="0"/>
          <c:showVal val="0"/>
          <c:showCatName val="0"/>
          <c:showSerName val="0"/>
          <c:showPercent val="0"/>
          <c:showBubbleSize val="0"/>
        </c:dLbls>
        <c:gapWidth val="219"/>
        <c:overlap val="-27"/>
        <c:axId val="-1498748592"/>
        <c:axId val="-1498752400"/>
      </c:barChart>
      <c:catAx>
        <c:axId val="-149874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2400"/>
        <c:crosses val="autoZero"/>
        <c:auto val="1"/>
        <c:lblAlgn val="ctr"/>
        <c:lblOffset val="100"/>
        <c:noMultiLvlLbl val="0"/>
      </c:catAx>
      <c:valAx>
        <c:axId val="-149875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4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Figure 3: Resignation rates among primary school teachers in anglophone Eastern and Southern Africa, mid-late 2010s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fig3resignations!$A$1:$A$9</c:f>
              <c:strCache>
                <c:ptCount val="9"/>
                <c:pt idx="0">
                  <c:v>Botswana</c:v>
                </c:pt>
                <c:pt idx="1">
                  <c:v>Swaziland</c:v>
                </c:pt>
                <c:pt idx="2">
                  <c:v>Tanzania</c:v>
                </c:pt>
                <c:pt idx="3">
                  <c:v>Uganda</c:v>
                </c:pt>
                <c:pt idx="4">
                  <c:v>Malawi</c:v>
                </c:pt>
                <c:pt idx="5">
                  <c:v>Ethiopia</c:v>
                </c:pt>
                <c:pt idx="6">
                  <c:v>Zambia</c:v>
                </c:pt>
                <c:pt idx="7">
                  <c:v>Namibia</c:v>
                </c:pt>
                <c:pt idx="8">
                  <c:v>South Africa</c:v>
                </c:pt>
              </c:strCache>
            </c:strRef>
          </c:cat>
          <c:val>
            <c:numRef>
              <c:f>fig3resignations!$B$1:$B$9</c:f>
              <c:numCache>
                <c:formatCode>General</c:formatCode>
                <c:ptCount val="9"/>
                <c:pt idx="0">
                  <c:v>0.17</c:v>
                </c:pt>
                <c:pt idx="1">
                  <c:v>0.27</c:v>
                </c:pt>
                <c:pt idx="2">
                  <c:v>0.38</c:v>
                </c:pt>
                <c:pt idx="3">
                  <c:v>0.56999999999999995</c:v>
                </c:pt>
                <c:pt idx="4">
                  <c:v>0.56999999999999995</c:v>
                </c:pt>
                <c:pt idx="5">
                  <c:v>1</c:v>
                </c:pt>
                <c:pt idx="6">
                  <c:v>1.01</c:v>
                </c:pt>
                <c:pt idx="7">
                  <c:v>2</c:v>
                </c:pt>
                <c:pt idx="8">
                  <c:v>3.35</c:v>
                </c:pt>
              </c:numCache>
            </c:numRef>
          </c:val>
        </c:ser>
        <c:dLbls>
          <c:showLegendKey val="0"/>
          <c:showVal val="0"/>
          <c:showCatName val="0"/>
          <c:showSerName val="0"/>
          <c:showPercent val="0"/>
          <c:showBubbleSize val="0"/>
        </c:dLbls>
        <c:gapWidth val="219"/>
        <c:overlap val="-27"/>
        <c:axId val="-1498749136"/>
        <c:axId val="-1498753488"/>
      </c:barChart>
      <c:catAx>
        <c:axId val="-149874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3488"/>
        <c:crosses val="autoZero"/>
        <c:auto val="1"/>
        <c:lblAlgn val="ctr"/>
        <c:lblOffset val="100"/>
        <c:noMultiLvlLbl val="0"/>
      </c:catAx>
      <c:valAx>
        <c:axId val="-149875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4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Figure 4: Scatter plots of primary teacher attrition rates and annual pay, mid-late 2010s.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fig1TARtotal!$R$2:$R$24</c:f>
              <c:numCache>
                <c:formatCode>General</c:formatCode>
                <c:ptCount val="23"/>
                <c:pt idx="0">
                  <c:v>14195</c:v>
                </c:pt>
                <c:pt idx="1">
                  <c:v>7432</c:v>
                </c:pt>
                <c:pt idx="2">
                  <c:v>5795</c:v>
                </c:pt>
                <c:pt idx="3">
                  <c:v>11037</c:v>
                </c:pt>
                <c:pt idx="4">
                  <c:v>18624</c:v>
                </c:pt>
                <c:pt idx="5">
                  <c:v>6990</c:v>
                </c:pt>
                <c:pt idx="6">
                  <c:v>3132</c:v>
                </c:pt>
                <c:pt idx="7">
                  <c:v>5800</c:v>
                </c:pt>
                <c:pt idx="8">
                  <c:v>7835</c:v>
                </c:pt>
                <c:pt idx="9">
                  <c:v>10700</c:v>
                </c:pt>
                <c:pt idx="12">
                  <c:v>4500</c:v>
                </c:pt>
                <c:pt idx="13">
                  <c:v>10600</c:v>
                </c:pt>
                <c:pt idx="14">
                  <c:v>4864</c:v>
                </c:pt>
                <c:pt idx="15">
                  <c:v>5270</c:v>
                </c:pt>
                <c:pt idx="16">
                  <c:v>2180</c:v>
                </c:pt>
                <c:pt idx="17">
                  <c:v>13920</c:v>
                </c:pt>
                <c:pt idx="18">
                  <c:v>6523</c:v>
                </c:pt>
                <c:pt idx="19">
                  <c:v>5800</c:v>
                </c:pt>
                <c:pt idx="20">
                  <c:v>12350</c:v>
                </c:pt>
                <c:pt idx="21">
                  <c:v>4800</c:v>
                </c:pt>
                <c:pt idx="22">
                  <c:v>10725</c:v>
                </c:pt>
              </c:numCache>
            </c:numRef>
          </c:xVal>
          <c:yVal>
            <c:numRef>
              <c:f>fig1TARtotal!$U$2:$U$24</c:f>
              <c:numCache>
                <c:formatCode>General</c:formatCode>
                <c:ptCount val="23"/>
                <c:pt idx="0">
                  <c:v>6</c:v>
                </c:pt>
                <c:pt idx="1">
                  <c:v>1.03</c:v>
                </c:pt>
                <c:pt idx="2">
                  <c:v>3.34</c:v>
                </c:pt>
                <c:pt idx="3">
                  <c:v>2.4</c:v>
                </c:pt>
                <c:pt idx="4">
                  <c:v>6.47</c:v>
                </c:pt>
                <c:pt idx="5">
                  <c:v>2.8</c:v>
                </c:pt>
                <c:pt idx="6">
                  <c:v>3</c:v>
                </c:pt>
                <c:pt idx="7">
                  <c:v>4</c:v>
                </c:pt>
                <c:pt idx="8">
                  <c:v>21.6</c:v>
                </c:pt>
                <c:pt idx="9">
                  <c:v>5</c:v>
                </c:pt>
                <c:pt idx="10">
                  <c:v>3</c:v>
                </c:pt>
                <c:pt idx="11">
                  <c:v>6.5</c:v>
                </c:pt>
                <c:pt idx="12">
                  <c:v>2.7</c:v>
                </c:pt>
                <c:pt idx="13">
                  <c:v>2.6</c:v>
                </c:pt>
                <c:pt idx="14">
                  <c:v>2.4500000000000002</c:v>
                </c:pt>
                <c:pt idx="15">
                  <c:v>1.6</c:v>
                </c:pt>
                <c:pt idx="16">
                  <c:v>2.12</c:v>
                </c:pt>
                <c:pt idx="17">
                  <c:v>4.5999999999999996</c:v>
                </c:pt>
                <c:pt idx="18">
                  <c:v>2.8</c:v>
                </c:pt>
                <c:pt idx="19">
                  <c:v>2.1</c:v>
                </c:pt>
                <c:pt idx="20">
                  <c:v>2.04</c:v>
                </c:pt>
                <c:pt idx="21">
                  <c:v>1.27</c:v>
                </c:pt>
                <c:pt idx="22">
                  <c:v>2.5499999999999998</c:v>
                </c:pt>
              </c:numCache>
            </c:numRef>
          </c:yVal>
          <c:smooth val="0"/>
        </c:ser>
        <c:dLbls>
          <c:showLegendKey val="0"/>
          <c:showVal val="0"/>
          <c:showCatName val="0"/>
          <c:showSerName val="0"/>
          <c:showPercent val="0"/>
          <c:showBubbleSize val="0"/>
        </c:dLbls>
        <c:axId val="-1498748048"/>
        <c:axId val="-1498754576"/>
      </c:scatterChart>
      <c:valAx>
        <c:axId val="-149874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Average annual pay (US$ ppp 2020)</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4576"/>
        <c:crosses val="autoZero"/>
        <c:crossBetween val="midCat"/>
      </c:valAx>
      <c:valAx>
        <c:axId val="-149875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Annual attrition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48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Figure 5: Number of teachers as a percentage of total formal sector employment, mid-late 2010s </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'T%FS'!$A$4:$A$35</c:f>
              <c:strCache>
                <c:ptCount val="32"/>
                <c:pt idx="0">
                  <c:v>South Africa</c:v>
                </c:pt>
                <c:pt idx="1">
                  <c:v>Malawi</c:v>
                </c:pt>
                <c:pt idx="2">
                  <c:v>Angola</c:v>
                </c:pt>
                <c:pt idx="3">
                  <c:v>Lesotho</c:v>
                </c:pt>
                <c:pt idx="4">
                  <c:v>Liberia</c:v>
                </c:pt>
                <c:pt idx="5">
                  <c:v>Rwanda</c:v>
                </c:pt>
                <c:pt idx="6">
                  <c:v>Guinea</c:v>
                </c:pt>
                <c:pt idx="7">
                  <c:v>Zimbabwe</c:v>
                </c:pt>
                <c:pt idx="8">
                  <c:v>Namibia</c:v>
                </c:pt>
                <c:pt idx="9">
                  <c:v>Ethiopia</c:v>
                </c:pt>
                <c:pt idx="10">
                  <c:v>Nigeria </c:v>
                </c:pt>
                <c:pt idx="11">
                  <c:v>Uganda</c:v>
                </c:pt>
                <c:pt idx="12">
                  <c:v>Mali</c:v>
                </c:pt>
                <c:pt idx="13">
                  <c:v>Swaziland</c:v>
                </c:pt>
                <c:pt idx="14">
                  <c:v>Tanzania</c:v>
                </c:pt>
                <c:pt idx="15">
                  <c:v>Mozambique</c:v>
                </c:pt>
                <c:pt idx="16">
                  <c:v>Zambia</c:v>
                </c:pt>
                <c:pt idx="17">
                  <c:v>DRC</c:v>
                </c:pt>
                <c:pt idx="18">
                  <c:v>Madagascar</c:v>
                </c:pt>
                <c:pt idx="19">
                  <c:v>Gambia</c:v>
                </c:pt>
                <c:pt idx="20">
                  <c:v>Cote d'Ivoire</c:v>
                </c:pt>
                <c:pt idx="21">
                  <c:v>Kenya</c:v>
                </c:pt>
                <c:pt idx="22">
                  <c:v>Kenya</c:v>
                </c:pt>
                <c:pt idx="23">
                  <c:v>Burkina Faso</c:v>
                </c:pt>
                <c:pt idx="24">
                  <c:v>Niger</c:v>
                </c:pt>
                <c:pt idx="25">
                  <c:v>Togo</c:v>
                </c:pt>
                <c:pt idx="26">
                  <c:v>Cameroon</c:v>
                </c:pt>
                <c:pt idx="27">
                  <c:v>Senegal</c:v>
                </c:pt>
                <c:pt idx="28">
                  <c:v>Ghana</c:v>
                </c:pt>
                <c:pt idx="29">
                  <c:v>Benin</c:v>
                </c:pt>
                <c:pt idx="30">
                  <c:v>Burundi</c:v>
                </c:pt>
                <c:pt idx="31">
                  <c:v>Sierra Leone</c:v>
                </c:pt>
              </c:strCache>
            </c:strRef>
          </c:cat>
          <c:val>
            <c:numRef>
              <c:f>'T%FS'!$B$4:$B$35</c:f>
              <c:numCache>
                <c:formatCode>General</c:formatCode>
                <c:ptCount val="32"/>
                <c:pt idx="0">
                  <c:v>5.3</c:v>
                </c:pt>
                <c:pt idx="1">
                  <c:v>6.3</c:v>
                </c:pt>
                <c:pt idx="2">
                  <c:v>6.9</c:v>
                </c:pt>
                <c:pt idx="3">
                  <c:v>7</c:v>
                </c:pt>
                <c:pt idx="4">
                  <c:v>7.4</c:v>
                </c:pt>
                <c:pt idx="5">
                  <c:v>7.5</c:v>
                </c:pt>
                <c:pt idx="6">
                  <c:v>7.6</c:v>
                </c:pt>
                <c:pt idx="7">
                  <c:v>8.6999999999999993</c:v>
                </c:pt>
                <c:pt idx="8">
                  <c:v>9.8000000000000007</c:v>
                </c:pt>
                <c:pt idx="9">
                  <c:v>10.8</c:v>
                </c:pt>
                <c:pt idx="10">
                  <c:v>11.8</c:v>
                </c:pt>
                <c:pt idx="11">
                  <c:v>12.3</c:v>
                </c:pt>
                <c:pt idx="12">
                  <c:v>13.1</c:v>
                </c:pt>
                <c:pt idx="13">
                  <c:v>13.7</c:v>
                </c:pt>
                <c:pt idx="14">
                  <c:v>14.9</c:v>
                </c:pt>
                <c:pt idx="15">
                  <c:v>15.2</c:v>
                </c:pt>
                <c:pt idx="16">
                  <c:v>17</c:v>
                </c:pt>
                <c:pt idx="17">
                  <c:v>17.7</c:v>
                </c:pt>
                <c:pt idx="18">
                  <c:v>18.5</c:v>
                </c:pt>
                <c:pt idx="19">
                  <c:v>18.600000000000001</c:v>
                </c:pt>
                <c:pt idx="20">
                  <c:v>19.899999999999999</c:v>
                </c:pt>
                <c:pt idx="21">
                  <c:v>20.100000000000001</c:v>
                </c:pt>
                <c:pt idx="22">
                  <c:v>20.12</c:v>
                </c:pt>
                <c:pt idx="23">
                  <c:v>20.5</c:v>
                </c:pt>
                <c:pt idx="24">
                  <c:v>22.3</c:v>
                </c:pt>
                <c:pt idx="25">
                  <c:v>22.3</c:v>
                </c:pt>
                <c:pt idx="26">
                  <c:v>23.5</c:v>
                </c:pt>
                <c:pt idx="27">
                  <c:v>25.3</c:v>
                </c:pt>
                <c:pt idx="28">
                  <c:v>26.2</c:v>
                </c:pt>
                <c:pt idx="29">
                  <c:v>27.8</c:v>
                </c:pt>
                <c:pt idx="30">
                  <c:v>35.200000000000003</c:v>
                </c:pt>
                <c:pt idx="31">
                  <c:v>38.299999999999997</c:v>
                </c:pt>
              </c:numCache>
            </c:numRef>
          </c:val>
        </c:ser>
        <c:dLbls>
          <c:showLegendKey val="0"/>
          <c:showVal val="0"/>
          <c:showCatName val="0"/>
          <c:showSerName val="0"/>
          <c:showPercent val="0"/>
          <c:showBubbleSize val="0"/>
        </c:dLbls>
        <c:gapWidth val="219"/>
        <c:overlap val="-27"/>
        <c:axId val="-1498754032"/>
        <c:axId val="-1498752944"/>
      </c:barChart>
      <c:catAx>
        <c:axId val="-149875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2944"/>
        <c:crosses val="autoZero"/>
        <c:auto val="1"/>
        <c:lblAlgn val="ctr"/>
        <c:lblOffset val="100"/>
        <c:noMultiLvlLbl val="0"/>
      </c:catAx>
      <c:valAx>
        <c:axId val="-149875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5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Figure 6: Teacher graduates from tertiary education institutions as a percentage of total teachers in post, mid-late 2010s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'T%FS'!$D$5:$D$25</c:f>
              <c:strCache>
                <c:ptCount val="21"/>
                <c:pt idx="0">
                  <c:v>Burundi</c:v>
                </c:pt>
                <c:pt idx="1">
                  <c:v>Congo</c:v>
                </c:pt>
                <c:pt idx="2">
                  <c:v>Madagascar</c:v>
                </c:pt>
                <c:pt idx="3">
                  <c:v>Niger</c:v>
                </c:pt>
                <c:pt idx="4">
                  <c:v>DRC</c:v>
                </c:pt>
                <c:pt idx="5">
                  <c:v>Kenya</c:v>
                </c:pt>
                <c:pt idx="6">
                  <c:v>Eritrea</c:v>
                </c:pt>
                <c:pt idx="7">
                  <c:v>Cameroon</c:v>
                </c:pt>
                <c:pt idx="8">
                  <c:v>Benin</c:v>
                </c:pt>
                <c:pt idx="9">
                  <c:v>Botswana</c:v>
                </c:pt>
                <c:pt idx="10">
                  <c:v>Zimbabwe</c:v>
                </c:pt>
                <c:pt idx="11">
                  <c:v>Swaziland</c:v>
                </c:pt>
                <c:pt idx="12">
                  <c:v>Rwanda</c:v>
                </c:pt>
                <c:pt idx="13">
                  <c:v>Burkina Faso</c:v>
                </c:pt>
                <c:pt idx="14">
                  <c:v>Tanzania</c:v>
                </c:pt>
                <c:pt idx="15">
                  <c:v>Lesotho</c:v>
                </c:pt>
                <c:pt idx="16">
                  <c:v>Mozambique</c:v>
                </c:pt>
                <c:pt idx="17">
                  <c:v>South Africa</c:v>
                </c:pt>
                <c:pt idx="18">
                  <c:v>Ghana</c:v>
                </c:pt>
                <c:pt idx="19">
                  <c:v>Namibia</c:v>
                </c:pt>
                <c:pt idx="20">
                  <c:v>Ethiopia</c:v>
                </c:pt>
              </c:strCache>
            </c:strRef>
          </c:cat>
          <c:val>
            <c:numRef>
              <c:f>'T%FS'!$E$5:$E$25</c:f>
              <c:numCache>
                <c:formatCode>General</c:formatCode>
                <c:ptCount val="21"/>
                <c:pt idx="0">
                  <c:v>1.4</c:v>
                </c:pt>
                <c:pt idx="1">
                  <c:v>2.4</c:v>
                </c:pt>
                <c:pt idx="2">
                  <c:v>2.9</c:v>
                </c:pt>
                <c:pt idx="3">
                  <c:v>3.1</c:v>
                </c:pt>
                <c:pt idx="4">
                  <c:v>6.9</c:v>
                </c:pt>
                <c:pt idx="5">
                  <c:v>7.9</c:v>
                </c:pt>
                <c:pt idx="6">
                  <c:v>10</c:v>
                </c:pt>
                <c:pt idx="7">
                  <c:v>11.5</c:v>
                </c:pt>
                <c:pt idx="8">
                  <c:v>12.3</c:v>
                </c:pt>
                <c:pt idx="9">
                  <c:v>16.7</c:v>
                </c:pt>
                <c:pt idx="10">
                  <c:v>20</c:v>
                </c:pt>
                <c:pt idx="11">
                  <c:v>23.8</c:v>
                </c:pt>
                <c:pt idx="12">
                  <c:v>25</c:v>
                </c:pt>
                <c:pt idx="13">
                  <c:v>25.3</c:v>
                </c:pt>
                <c:pt idx="14">
                  <c:v>26.1</c:v>
                </c:pt>
                <c:pt idx="15">
                  <c:v>40</c:v>
                </c:pt>
                <c:pt idx="16">
                  <c:v>44.7</c:v>
                </c:pt>
                <c:pt idx="17">
                  <c:v>50.7</c:v>
                </c:pt>
                <c:pt idx="18">
                  <c:v>53.3</c:v>
                </c:pt>
                <c:pt idx="19">
                  <c:v>60.6</c:v>
                </c:pt>
                <c:pt idx="20">
                  <c:v>65.3</c:v>
                </c:pt>
              </c:numCache>
            </c:numRef>
          </c:val>
        </c:ser>
        <c:dLbls>
          <c:showLegendKey val="0"/>
          <c:showVal val="0"/>
          <c:showCatName val="0"/>
          <c:showSerName val="0"/>
          <c:showPercent val="0"/>
          <c:showBubbleSize val="0"/>
        </c:dLbls>
        <c:gapWidth val="219"/>
        <c:overlap val="-27"/>
        <c:axId val="-1499671856"/>
        <c:axId val="-1499672400"/>
      </c:barChart>
      <c:catAx>
        <c:axId val="-149967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9672400"/>
        <c:crosses val="autoZero"/>
        <c:auto val="1"/>
        <c:lblAlgn val="ctr"/>
        <c:lblOffset val="100"/>
        <c:noMultiLvlLbl val="0"/>
      </c:catAx>
      <c:valAx>
        <c:axId val="-149967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967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CB88-A3A8-4B06-A1CF-5188596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Microsoft account</cp:lastModifiedBy>
  <cp:revision>4</cp:revision>
  <cp:lastPrinted>2022-05-19T18:11:00Z</cp:lastPrinted>
  <dcterms:created xsi:type="dcterms:W3CDTF">2022-10-15T14:25:00Z</dcterms:created>
  <dcterms:modified xsi:type="dcterms:W3CDTF">2022-10-15T14:38:00Z</dcterms:modified>
</cp:coreProperties>
</file>